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F129F" w14:textId="46FF2AB6" w:rsidR="00574F00" w:rsidRPr="00E11754" w:rsidRDefault="00574F00" w:rsidP="00574F00">
      <w:pPr>
        <w:spacing w:line="360" w:lineRule="auto"/>
        <w:jc w:val="center"/>
        <w:rPr>
          <w:rFonts w:ascii="Times New Roman" w:hAnsi="Times New Roman" w:cs="Times New Roman"/>
          <w:b/>
          <w:sz w:val="24"/>
          <w:szCs w:val="24"/>
        </w:rPr>
      </w:pPr>
    </w:p>
    <w:p w14:paraId="521BF106" w14:textId="1F968248" w:rsidR="0051314C" w:rsidRPr="00E11754" w:rsidRDefault="00D51A6D" w:rsidP="008035D1">
      <w:pPr>
        <w:spacing w:line="360" w:lineRule="auto"/>
        <w:rPr>
          <w:rFonts w:ascii="Times New Roman" w:hAnsi="Times New Roman" w:cs="Times New Roman"/>
          <w:b/>
          <w:bCs/>
          <w:sz w:val="24"/>
          <w:szCs w:val="24"/>
        </w:rPr>
      </w:pPr>
      <w:r w:rsidRPr="00E11754">
        <w:rPr>
          <w:rFonts w:ascii="Times New Roman" w:hAnsi="Times New Roman" w:cs="Times New Roman"/>
          <w:noProof/>
          <w:sz w:val="24"/>
          <w:szCs w:val="24"/>
        </w:rPr>
        <w:drawing>
          <wp:inline distT="0" distB="0" distL="0" distR="0" wp14:anchorId="3EB1EDF7" wp14:editId="4B02EC9B">
            <wp:extent cx="5608322" cy="1265158"/>
            <wp:effectExtent l="0" t="0" r="0" b="0"/>
            <wp:docPr id="275400986" name="Obraz 27540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00986"/>
                    <pic:cNvPicPr/>
                  </pic:nvPicPr>
                  <pic:blipFill>
                    <a:blip r:embed="rId8">
                      <a:extLst>
                        <a:ext uri="{28A0092B-C50C-407E-A947-70E740481C1C}">
                          <a14:useLocalDpi xmlns:a14="http://schemas.microsoft.com/office/drawing/2010/main" val="0"/>
                        </a:ext>
                      </a:extLst>
                    </a:blip>
                    <a:stretch>
                      <a:fillRect/>
                    </a:stretch>
                  </pic:blipFill>
                  <pic:spPr>
                    <a:xfrm>
                      <a:off x="0" y="0"/>
                      <a:ext cx="5608322" cy="1265158"/>
                    </a:xfrm>
                    <a:prstGeom prst="rect">
                      <a:avLst/>
                    </a:prstGeom>
                  </pic:spPr>
                </pic:pic>
              </a:graphicData>
            </a:graphic>
          </wp:inline>
        </w:drawing>
      </w:r>
    </w:p>
    <w:p w14:paraId="0F19AC29" w14:textId="77777777" w:rsidR="00C406E0" w:rsidRPr="009134CC" w:rsidRDefault="00C406E0" w:rsidP="00574F00">
      <w:pPr>
        <w:spacing w:line="360" w:lineRule="auto"/>
        <w:jc w:val="center"/>
        <w:rPr>
          <w:rFonts w:ascii="Times New Roman" w:hAnsi="Times New Roman" w:cs="Times New Roman"/>
          <w:b/>
          <w:bCs/>
          <w:sz w:val="28"/>
          <w:szCs w:val="28"/>
        </w:rPr>
      </w:pPr>
      <w:r w:rsidRPr="009134CC">
        <w:rPr>
          <w:rFonts w:ascii="Times New Roman" w:hAnsi="Times New Roman" w:cs="Times New Roman"/>
          <w:b/>
          <w:bCs/>
          <w:sz w:val="28"/>
          <w:szCs w:val="28"/>
        </w:rPr>
        <w:t xml:space="preserve">GDAŃSKI UNIWERSYTET MEDYCZNY </w:t>
      </w:r>
    </w:p>
    <w:p w14:paraId="5D287D39" w14:textId="43437CDB" w:rsidR="0051314C" w:rsidRPr="009134CC" w:rsidRDefault="00C406E0" w:rsidP="00574F00">
      <w:pPr>
        <w:spacing w:line="360" w:lineRule="auto"/>
        <w:jc w:val="center"/>
        <w:rPr>
          <w:rFonts w:ascii="Times New Roman" w:hAnsi="Times New Roman" w:cs="Times New Roman"/>
          <w:b/>
          <w:bCs/>
          <w:sz w:val="28"/>
          <w:szCs w:val="28"/>
        </w:rPr>
      </w:pPr>
      <w:r w:rsidRPr="009134CC">
        <w:rPr>
          <w:rFonts w:ascii="Times New Roman" w:hAnsi="Times New Roman" w:cs="Times New Roman"/>
          <w:b/>
          <w:bCs/>
          <w:sz w:val="28"/>
          <w:szCs w:val="28"/>
        </w:rPr>
        <w:t>Wydział Farmaceutyczny</w:t>
      </w:r>
    </w:p>
    <w:p w14:paraId="6343CE5C" w14:textId="77777777" w:rsidR="00C406E0" w:rsidRPr="009134CC" w:rsidRDefault="00C406E0" w:rsidP="00574F00">
      <w:pPr>
        <w:spacing w:line="360" w:lineRule="auto"/>
        <w:jc w:val="center"/>
        <w:rPr>
          <w:rFonts w:ascii="Times New Roman" w:hAnsi="Times New Roman" w:cs="Times New Roman"/>
          <w:b/>
          <w:bCs/>
          <w:sz w:val="28"/>
          <w:szCs w:val="28"/>
        </w:rPr>
      </w:pPr>
    </w:p>
    <w:p w14:paraId="39C9F5F4" w14:textId="46FF2AB6" w:rsidR="009134CC" w:rsidRDefault="00C406E0" w:rsidP="09C32CB7">
      <w:pPr>
        <w:spacing w:line="360" w:lineRule="auto"/>
        <w:jc w:val="center"/>
        <w:rPr>
          <w:rFonts w:ascii="Times New Roman" w:hAnsi="Times New Roman" w:cs="Times New Roman"/>
          <w:b/>
          <w:bCs/>
          <w:sz w:val="28"/>
          <w:szCs w:val="28"/>
        </w:rPr>
      </w:pPr>
      <w:r w:rsidRPr="009134CC">
        <w:rPr>
          <w:rFonts w:ascii="Times New Roman" w:hAnsi="Times New Roman" w:cs="Times New Roman"/>
          <w:b/>
          <w:bCs/>
          <w:sz w:val="28"/>
          <w:szCs w:val="28"/>
        </w:rPr>
        <w:t>Olga Maliszewska</w:t>
      </w:r>
    </w:p>
    <w:p w14:paraId="4A180E1D" w14:textId="46FF2AB6" w:rsidR="008035D1" w:rsidRPr="009B0117" w:rsidRDefault="008035D1" w:rsidP="09C32CB7">
      <w:pPr>
        <w:spacing w:line="360" w:lineRule="auto"/>
        <w:jc w:val="center"/>
        <w:rPr>
          <w:rFonts w:ascii="Times New Roman" w:hAnsi="Times New Roman" w:cs="Times New Roman"/>
          <w:b/>
          <w:bCs/>
          <w:sz w:val="28"/>
          <w:szCs w:val="28"/>
        </w:rPr>
      </w:pPr>
    </w:p>
    <w:p w14:paraId="52D17870" w14:textId="46FF2AB6" w:rsidR="00AA4992" w:rsidRPr="009134CC" w:rsidRDefault="09C32CB7" w:rsidP="09C32CB7">
      <w:pPr>
        <w:spacing w:line="360" w:lineRule="auto"/>
        <w:jc w:val="center"/>
        <w:rPr>
          <w:rFonts w:ascii="Times New Roman" w:hAnsi="Times New Roman" w:cs="Times New Roman"/>
          <w:b/>
          <w:sz w:val="28"/>
          <w:szCs w:val="28"/>
        </w:rPr>
      </w:pPr>
      <w:r w:rsidRPr="009134CC">
        <w:rPr>
          <w:rFonts w:ascii="Times New Roman" w:hAnsi="Times New Roman" w:cs="Times New Roman"/>
          <w:b/>
          <w:bCs/>
          <w:sz w:val="28"/>
          <w:szCs w:val="28"/>
        </w:rPr>
        <w:t xml:space="preserve">Optymalizacja metod chromatograficznych jako narzędzi </w:t>
      </w:r>
      <w:r w:rsidR="00AA4992">
        <w:br/>
      </w:r>
      <w:r w:rsidRPr="009134CC">
        <w:rPr>
          <w:rFonts w:ascii="Times New Roman" w:hAnsi="Times New Roman" w:cs="Times New Roman"/>
          <w:b/>
          <w:bCs/>
          <w:sz w:val="28"/>
          <w:szCs w:val="28"/>
        </w:rPr>
        <w:t xml:space="preserve">analitycznych do pomiaru stężeń wybranych leków </w:t>
      </w:r>
      <w:r w:rsidR="00AA4992">
        <w:br/>
      </w:r>
      <w:r w:rsidRPr="009134CC">
        <w:rPr>
          <w:rFonts w:ascii="Times New Roman" w:hAnsi="Times New Roman" w:cs="Times New Roman"/>
          <w:b/>
          <w:bCs/>
          <w:sz w:val="28"/>
          <w:szCs w:val="28"/>
        </w:rPr>
        <w:t>cytostatycznych w materiale biologicznym</w:t>
      </w:r>
    </w:p>
    <w:p w14:paraId="5EE4C866" w14:textId="46FF2AB6" w:rsidR="008035D1" w:rsidRPr="000D6A5E" w:rsidRDefault="008035D1" w:rsidP="009A4D54">
      <w:pPr>
        <w:spacing w:after="0" w:line="360" w:lineRule="auto"/>
        <w:ind w:firstLine="4"/>
        <w:jc w:val="center"/>
        <w:rPr>
          <w:rFonts w:ascii="Times New Roman" w:hAnsi="Times New Roman" w:cs="Times New Roman"/>
          <w:b/>
          <w:bCs/>
          <w:color w:val="FF0000"/>
          <w:sz w:val="28"/>
          <w:szCs w:val="28"/>
        </w:rPr>
      </w:pPr>
    </w:p>
    <w:p w14:paraId="69F85F46" w14:textId="7515C4B8" w:rsidR="009A4D54" w:rsidRPr="009A4D54" w:rsidRDefault="009A4D54" w:rsidP="009A4D54">
      <w:pPr>
        <w:spacing w:after="0" w:line="360" w:lineRule="auto"/>
        <w:ind w:firstLine="4"/>
        <w:jc w:val="center"/>
        <w:rPr>
          <w:rFonts w:ascii="Times New Roman" w:hAnsi="Times New Roman" w:cs="Times New Roman"/>
          <w:b/>
          <w:i/>
          <w:sz w:val="28"/>
          <w:szCs w:val="28"/>
          <w:lang w:val="en-GB"/>
        </w:rPr>
      </w:pPr>
      <w:r w:rsidRPr="411A8DE3">
        <w:rPr>
          <w:rFonts w:ascii="Times New Roman" w:hAnsi="Times New Roman" w:cs="Times New Roman"/>
          <w:b/>
          <w:i/>
          <w:sz w:val="28"/>
          <w:szCs w:val="28"/>
          <w:lang w:val="en-GB"/>
        </w:rPr>
        <w:t xml:space="preserve">Optimization of chromatographic methods as </w:t>
      </w:r>
      <w:r w:rsidR="411A8DE3" w:rsidRPr="411A8DE3">
        <w:rPr>
          <w:rFonts w:ascii="Times New Roman" w:hAnsi="Times New Roman" w:cs="Times New Roman"/>
          <w:b/>
          <w:bCs/>
          <w:i/>
          <w:iCs/>
          <w:sz w:val="28"/>
          <w:szCs w:val="28"/>
          <w:lang w:val="en-GB"/>
        </w:rPr>
        <w:t xml:space="preserve">analytical </w:t>
      </w:r>
      <w:r w:rsidRPr="411A8DE3">
        <w:rPr>
          <w:rFonts w:ascii="Times New Roman" w:hAnsi="Times New Roman" w:cs="Times New Roman"/>
          <w:b/>
          <w:i/>
          <w:sz w:val="28"/>
          <w:szCs w:val="28"/>
          <w:lang w:val="en-GB"/>
        </w:rPr>
        <w:t>tools</w:t>
      </w:r>
    </w:p>
    <w:p w14:paraId="786BEA13" w14:textId="241A109C" w:rsidR="009A4D54" w:rsidRPr="009A4D54" w:rsidRDefault="009A4D54" w:rsidP="009A4D54">
      <w:pPr>
        <w:spacing w:after="0" w:line="360" w:lineRule="auto"/>
        <w:ind w:firstLine="4"/>
        <w:jc w:val="center"/>
        <w:rPr>
          <w:rFonts w:ascii="Times New Roman" w:hAnsi="Times New Roman" w:cs="Times New Roman"/>
          <w:b/>
          <w:i/>
          <w:sz w:val="28"/>
          <w:szCs w:val="28"/>
          <w:lang w:val="en-GB"/>
        </w:rPr>
      </w:pPr>
      <w:r w:rsidRPr="411A8DE3">
        <w:rPr>
          <w:rFonts w:ascii="Times New Roman" w:hAnsi="Times New Roman" w:cs="Times New Roman"/>
          <w:b/>
          <w:i/>
          <w:sz w:val="28"/>
          <w:szCs w:val="28"/>
          <w:lang w:val="en-GB"/>
        </w:rPr>
        <w:t xml:space="preserve">for </w:t>
      </w:r>
      <w:r w:rsidR="411A8DE3" w:rsidRPr="411A8DE3">
        <w:rPr>
          <w:rFonts w:ascii="Times New Roman" w:hAnsi="Times New Roman" w:cs="Times New Roman"/>
          <w:b/>
          <w:bCs/>
          <w:i/>
          <w:iCs/>
          <w:sz w:val="28"/>
          <w:szCs w:val="28"/>
          <w:lang w:val="en-GB"/>
        </w:rPr>
        <w:t xml:space="preserve">the </w:t>
      </w:r>
      <w:r w:rsidRPr="411A8DE3">
        <w:rPr>
          <w:rFonts w:ascii="Times New Roman" w:hAnsi="Times New Roman" w:cs="Times New Roman"/>
          <w:b/>
          <w:i/>
          <w:sz w:val="28"/>
          <w:szCs w:val="28"/>
          <w:lang w:val="en-GB"/>
        </w:rPr>
        <w:t>determi</w:t>
      </w:r>
      <w:r w:rsidR="00346BCE" w:rsidRPr="411A8DE3">
        <w:rPr>
          <w:rFonts w:ascii="Times New Roman" w:hAnsi="Times New Roman" w:cs="Times New Roman"/>
          <w:b/>
          <w:i/>
          <w:sz w:val="28"/>
          <w:szCs w:val="28"/>
          <w:lang w:val="en-GB"/>
        </w:rPr>
        <w:t xml:space="preserve">nation of </w:t>
      </w:r>
      <w:r w:rsidRPr="411A8DE3">
        <w:rPr>
          <w:rFonts w:ascii="Times New Roman" w:hAnsi="Times New Roman" w:cs="Times New Roman"/>
          <w:b/>
          <w:i/>
          <w:sz w:val="28"/>
          <w:szCs w:val="28"/>
          <w:lang w:val="en-GB"/>
        </w:rPr>
        <w:t xml:space="preserve">selected </w:t>
      </w:r>
      <w:r w:rsidR="411A8DE3" w:rsidRPr="411A8DE3">
        <w:rPr>
          <w:rFonts w:ascii="Times New Roman" w:hAnsi="Times New Roman" w:cs="Times New Roman"/>
          <w:b/>
          <w:bCs/>
          <w:i/>
          <w:iCs/>
          <w:sz w:val="28"/>
          <w:szCs w:val="28"/>
          <w:lang w:val="en-GB"/>
        </w:rPr>
        <w:t xml:space="preserve">cytostatic </w:t>
      </w:r>
      <w:r w:rsidRPr="411A8DE3">
        <w:rPr>
          <w:rFonts w:ascii="Times New Roman" w:hAnsi="Times New Roman" w:cs="Times New Roman"/>
          <w:b/>
          <w:i/>
          <w:sz w:val="28"/>
          <w:szCs w:val="28"/>
          <w:lang w:val="en-GB"/>
        </w:rPr>
        <w:t>drugs</w:t>
      </w:r>
    </w:p>
    <w:p w14:paraId="450B8ACC" w14:textId="73EAE03F" w:rsidR="009134CC" w:rsidRPr="00331B23" w:rsidRDefault="009A4D54" w:rsidP="009A4D54">
      <w:pPr>
        <w:spacing w:after="0" w:line="360" w:lineRule="auto"/>
        <w:ind w:firstLine="4"/>
        <w:jc w:val="center"/>
        <w:rPr>
          <w:rFonts w:ascii="Times New Roman" w:hAnsi="Times New Roman" w:cs="Times New Roman"/>
          <w:b/>
          <w:i/>
          <w:sz w:val="28"/>
          <w:szCs w:val="28"/>
        </w:rPr>
      </w:pPr>
      <w:r w:rsidRPr="411A8DE3">
        <w:rPr>
          <w:rFonts w:ascii="Times New Roman" w:hAnsi="Times New Roman" w:cs="Times New Roman"/>
          <w:b/>
          <w:i/>
          <w:sz w:val="28"/>
          <w:szCs w:val="28"/>
          <w:lang w:val="en-GB"/>
        </w:rPr>
        <w:t xml:space="preserve"> </w:t>
      </w:r>
      <w:r w:rsidRPr="00331B23">
        <w:rPr>
          <w:rFonts w:ascii="Times New Roman" w:hAnsi="Times New Roman" w:cs="Times New Roman"/>
          <w:b/>
          <w:i/>
          <w:sz w:val="28"/>
          <w:szCs w:val="28"/>
        </w:rPr>
        <w:t xml:space="preserve">in </w:t>
      </w:r>
      <w:proofErr w:type="spellStart"/>
      <w:r w:rsidRPr="00331B23">
        <w:rPr>
          <w:rFonts w:ascii="Times New Roman" w:hAnsi="Times New Roman" w:cs="Times New Roman"/>
          <w:b/>
          <w:i/>
          <w:sz w:val="28"/>
          <w:szCs w:val="28"/>
        </w:rPr>
        <w:t>biological</w:t>
      </w:r>
      <w:proofErr w:type="spellEnd"/>
      <w:r w:rsidRPr="00331B23">
        <w:rPr>
          <w:rFonts w:ascii="Times New Roman" w:hAnsi="Times New Roman" w:cs="Times New Roman"/>
          <w:b/>
          <w:i/>
          <w:sz w:val="28"/>
          <w:szCs w:val="28"/>
        </w:rPr>
        <w:t xml:space="preserve"> </w:t>
      </w:r>
      <w:proofErr w:type="spellStart"/>
      <w:r w:rsidRPr="00331B23">
        <w:rPr>
          <w:rFonts w:ascii="Times New Roman" w:hAnsi="Times New Roman" w:cs="Times New Roman"/>
          <w:b/>
          <w:i/>
          <w:sz w:val="28"/>
          <w:szCs w:val="28"/>
        </w:rPr>
        <w:t>material</w:t>
      </w:r>
      <w:proofErr w:type="spellEnd"/>
    </w:p>
    <w:p w14:paraId="1DE9E805" w14:textId="77777777" w:rsidR="009134CC" w:rsidRPr="00331B23" w:rsidRDefault="009134CC" w:rsidP="009134CC">
      <w:pPr>
        <w:spacing w:after="0" w:line="360" w:lineRule="auto"/>
        <w:ind w:firstLine="4"/>
        <w:jc w:val="center"/>
        <w:rPr>
          <w:rFonts w:ascii="Times New Roman" w:hAnsi="Times New Roman" w:cs="Times New Roman"/>
          <w:b/>
          <w:sz w:val="28"/>
          <w:szCs w:val="28"/>
        </w:rPr>
      </w:pPr>
    </w:p>
    <w:p w14:paraId="411E9F87" w14:textId="46FF2AB6" w:rsidR="00AA4992" w:rsidRPr="00331B23" w:rsidRDefault="00AA4992" w:rsidP="009134CC">
      <w:pPr>
        <w:spacing w:after="0" w:line="360" w:lineRule="auto"/>
        <w:ind w:firstLine="4"/>
        <w:jc w:val="center"/>
        <w:rPr>
          <w:rFonts w:ascii="Times New Roman" w:hAnsi="Times New Roman" w:cs="Times New Roman"/>
          <w:bCs/>
          <w:sz w:val="28"/>
          <w:szCs w:val="28"/>
        </w:rPr>
      </w:pPr>
      <w:r w:rsidRPr="00331B23">
        <w:rPr>
          <w:rFonts w:ascii="Times New Roman" w:hAnsi="Times New Roman" w:cs="Times New Roman"/>
          <w:bCs/>
          <w:sz w:val="28"/>
          <w:szCs w:val="28"/>
        </w:rPr>
        <w:t>Praca doktorska</w:t>
      </w:r>
    </w:p>
    <w:p w14:paraId="4EBF0926" w14:textId="2F834DBF" w:rsidR="009B0117" w:rsidRPr="00331B23" w:rsidRDefault="009B0117" w:rsidP="00AA4992">
      <w:pPr>
        <w:spacing w:line="276" w:lineRule="auto"/>
        <w:rPr>
          <w:rStyle w:val="Pogrubienie"/>
          <w:rFonts w:ascii="Times New Roman" w:hAnsi="Times New Roman" w:cs="Times New Roman"/>
          <w:b w:val="0"/>
          <w:sz w:val="28"/>
          <w:szCs w:val="28"/>
        </w:rPr>
      </w:pPr>
    </w:p>
    <w:p w14:paraId="595C4F51" w14:textId="77777777" w:rsidR="008035D1" w:rsidRPr="00331B23" w:rsidRDefault="008035D1" w:rsidP="00AA4992">
      <w:pPr>
        <w:spacing w:line="276" w:lineRule="auto"/>
        <w:rPr>
          <w:rStyle w:val="Pogrubienie"/>
          <w:rFonts w:ascii="Times New Roman" w:hAnsi="Times New Roman" w:cs="Times New Roman"/>
          <w:b w:val="0"/>
          <w:sz w:val="28"/>
          <w:szCs w:val="28"/>
        </w:rPr>
      </w:pPr>
    </w:p>
    <w:p w14:paraId="1BA6F781" w14:textId="22C7F7B4" w:rsidR="00AA4992" w:rsidRPr="009134CC" w:rsidRDefault="13439D40" w:rsidP="009134CC">
      <w:pPr>
        <w:spacing w:line="276" w:lineRule="auto"/>
        <w:ind w:firstLine="4"/>
        <w:jc w:val="center"/>
        <w:rPr>
          <w:rStyle w:val="Pogrubienie"/>
          <w:rFonts w:ascii="Times New Roman" w:hAnsi="Times New Roman" w:cs="Times New Roman"/>
          <w:sz w:val="28"/>
          <w:szCs w:val="28"/>
        </w:rPr>
      </w:pPr>
      <w:r w:rsidRPr="009134CC">
        <w:rPr>
          <w:rStyle w:val="Pogrubienie"/>
          <w:rFonts w:ascii="Times New Roman" w:hAnsi="Times New Roman" w:cs="Times New Roman"/>
          <w:sz w:val="28"/>
          <w:szCs w:val="28"/>
        </w:rPr>
        <w:t>Promotor pracy:</w:t>
      </w:r>
    </w:p>
    <w:p w14:paraId="7E626868" w14:textId="522B90F0" w:rsidR="005D68DE" w:rsidRPr="009134CC" w:rsidRDefault="09C32CB7" w:rsidP="005F0028">
      <w:pPr>
        <w:spacing w:line="276" w:lineRule="auto"/>
        <w:ind w:firstLine="4"/>
        <w:jc w:val="center"/>
        <w:rPr>
          <w:rStyle w:val="Pogrubienie"/>
          <w:rFonts w:ascii="Times New Roman" w:hAnsi="Times New Roman" w:cs="Times New Roman"/>
          <w:sz w:val="28"/>
          <w:szCs w:val="28"/>
        </w:rPr>
      </w:pPr>
      <w:r w:rsidRPr="009134CC">
        <w:rPr>
          <w:rStyle w:val="Pogrubienie"/>
          <w:rFonts w:ascii="Times New Roman" w:hAnsi="Times New Roman" w:cs="Times New Roman"/>
          <w:sz w:val="28"/>
          <w:szCs w:val="28"/>
        </w:rPr>
        <w:t xml:space="preserve">dr hab. Alina </w:t>
      </w:r>
      <w:proofErr w:type="spellStart"/>
      <w:r w:rsidR="00AA4992" w:rsidRPr="009134CC">
        <w:rPr>
          <w:rStyle w:val="Pogrubienie"/>
          <w:rFonts w:ascii="Times New Roman" w:hAnsi="Times New Roman" w:cs="Times New Roman"/>
          <w:sz w:val="28"/>
          <w:szCs w:val="28"/>
        </w:rPr>
        <w:t>Pleni</w:t>
      </w:r>
      <w:r w:rsidR="005D68DE" w:rsidRPr="009134CC">
        <w:rPr>
          <w:rFonts w:ascii="Times New Roman" w:hAnsi="Times New Roman" w:cs="Times New Roman"/>
          <w:b/>
          <w:sz w:val="28"/>
          <w:szCs w:val="28"/>
        </w:rPr>
        <w:t>s</w:t>
      </w:r>
      <w:proofErr w:type="spellEnd"/>
    </w:p>
    <w:p w14:paraId="6489456A" w14:textId="022451BE" w:rsidR="008035D1" w:rsidRDefault="008035D1" w:rsidP="00D70A7E">
      <w:pPr>
        <w:spacing w:line="276" w:lineRule="auto"/>
        <w:jc w:val="center"/>
        <w:rPr>
          <w:rStyle w:val="Pogrubienie"/>
          <w:rFonts w:ascii="Times New Roman" w:hAnsi="Times New Roman" w:cs="Times New Roman"/>
          <w:sz w:val="28"/>
          <w:szCs w:val="28"/>
        </w:rPr>
      </w:pPr>
    </w:p>
    <w:p w14:paraId="040C2CFE" w14:textId="77777777" w:rsidR="007961D0" w:rsidRPr="009134CC" w:rsidRDefault="00D70A7E" w:rsidP="00D70A7E">
      <w:pPr>
        <w:spacing w:line="276" w:lineRule="auto"/>
        <w:jc w:val="center"/>
        <w:rPr>
          <w:rStyle w:val="Pogrubienie"/>
          <w:rFonts w:ascii="Times New Roman" w:hAnsi="Times New Roman" w:cs="Times New Roman"/>
          <w:sz w:val="28"/>
          <w:szCs w:val="28"/>
        </w:rPr>
      </w:pPr>
      <w:r w:rsidRPr="009134CC">
        <w:rPr>
          <w:rStyle w:val="Pogrubienie"/>
          <w:rFonts w:ascii="Times New Roman" w:hAnsi="Times New Roman" w:cs="Times New Roman"/>
          <w:sz w:val="28"/>
          <w:szCs w:val="28"/>
        </w:rPr>
        <w:t>Gdańsk, 2023</w:t>
      </w:r>
      <w:r w:rsidR="00D54AE6" w:rsidRPr="009134CC">
        <w:rPr>
          <w:rStyle w:val="Pogrubienie"/>
          <w:rFonts w:ascii="Times New Roman" w:hAnsi="Times New Roman" w:cs="Times New Roman"/>
          <w:sz w:val="28"/>
          <w:szCs w:val="28"/>
        </w:rPr>
        <w:t xml:space="preserve"> r.</w:t>
      </w:r>
    </w:p>
    <w:p w14:paraId="74213699" w14:textId="77777777" w:rsidR="00186F23" w:rsidRPr="00E11754" w:rsidRDefault="00186F23" w:rsidP="00D70A7E">
      <w:pPr>
        <w:spacing w:line="276" w:lineRule="auto"/>
        <w:jc w:val="center"/>
        <w:rPr>
          <w:rStyle w:val="Pogrubienie"/>
          <w:rFonts w:ascii="Times New Roman" w:hAnsi="Times New Roman" w:cs="Times New Roman"/>
          <w:sz w:val="24"/>
          <w:szCs w:val="24"/>
        </w:rPr>
      </w:pPr>
    </w:p>
    <w:p w14:paraId="05040A00" w14:textId="77777777" w:rsidR="007961D0" w:rsidRPr="00E11754" w:rsidRDefault="007961D0" w:rsidP="00D70A7E">
      <w:pPr>
        <w:spacing w:line="276" w:lineRule="auto"/>
        <w:jc w:val="center"/>
        <w:rPr>
          <w:rStyle w:val="Pogrubienie"/>
          <w:rFonts w:ascii="Times New Roman" w:hAnsi="Times New Roman" w:cs="Times New Roman"/>
          <w:sz w:val="24"/>
          <w:szCs w:val="24"/>
        </w:rPr>
      </w:pPr>
    </w:p>
    <w:p w14:paraId="0950391E" w14:textId="77777777" w:rsidR="00627D78" w:rsidRPr="00E11754" w:rsidRDefault="00627D78" w:rsidP="00186F23">
      <w:pPr>
        <w:spacing w:line="360" w:lineRule="auto"/>
        <w:rPr>
          <w:rFonts w:ascii="Times New Roman" w:hAnsi="Times New Roman" w:cs="Times New Roman"/>
          <w:b/>
          <w:bCs/>
          <w:i/>
          <w:iCs/>
          <w:sz w:val="24"/>
          <w:szCs w:val="24"/>
        </w:rPr>
      </w:pPr>
    </w:p>
    <w:p w14:paraId="0CAD5883" w14:textId="77777777" w:rsidR="00627D78" w:rsidRPr="00E11754" w:rsidRDefault="00627D78" w:rsidP="00186F23">
      <w:pPr>
        <w:spacing w:line="360" w:lineRule="auto"/>
        <w:rPr>
          <w:rFonts w:ascii="Times New Roman" w:hAnsi="Times New Roman" w:cs="Times New Roman"/>
          <w:b/>
          <w:bCs/>
          <w:i/>
          <w:iCs/>
          <w:sz w:val="24"/>
          <w:szCs w:val="24"/>
        </w:rPr>
      </w:pPr>
    </w:p>
    <w:p w14:paraId="56E34957" w14:textId="77777777" w:rsidR="00627D78" w:rsidRPr="00E11754" w:rsidRDefault="00627D78" w:rsidP="00186F23">
      <w:pPr>
        <w:spacing w:line="360" w:lineRule="auto"/>
        <w:rPr>
          <w:rFonts w:ascii="Times New Roman" w:hAnsi="Times New Roman" w:cs="Times New Roman"/>
          <w:b/>
          <w:bCs/>
          <w:i/>
          <w:iCs/>
          <w:sz w:val="24"/>
          <w:szCs w:val="24"/>
        </w:rPr>
      </w:pPr>
    </w:p>
    <w:p w14:paraId="499617CF" w14:textId="77777777" w:rsidR="00627D78" w:rsidRPr="00E11754" w:rsidRDefault="00627D78" w:rsidP="00186F23">
      <w:pPr>
        <w:spacing w:line="360" w:lineRule="auto"/>
        <w:rPr>
          <w:rFonts w:ascii="Times New Roman" w:hAnsi="Times New Roman" w:cs="Times New Roman"/>
          <w:b/>
          <w:bCs/>
          <w:i/>
          <w:iCs/>
          <w:sz w:val="24"/>
          <w:szCs w:val="24"/>
        </w:rPr>
      </w:pPr>
    </w:p>
    <w:p w14:paraId="39EBBA53" w14:textId="77777777" w:rsidR="00627D78" w:rsidRPr="00E11754" w:rsidRDefault="00627D78" w:rsidP="00186F23">
      <w:pPr>
        <w:spacing w:line="360" w:lineRule="auto"/>
        <w:rPr>
          <w:rFonts w:ascii="Times New Roman" w:hAnsi="Times New Roman" w:cs="Times New Roman"/>
          <w:b/>
          <w:bCs/>
          <w:i/>
          <w:iCs/>
          <w:sz w:val="24"/>
          <w:szCs w:val="24"/>
        </w:rPr>
      </w:pPr>
    </w:p>
    <w:p w14:paraId="7D4069B3" w14:textId="77777777" w:rsidR="00627D78" w:rsidRPr="00E11754" w:rsidRDefault="00627D78" w:rsidP="00186F23">
      <w:pPr>
        <w:spacing w:line="360" w:lineRule="auto"/>
        <w:rPr>
          <w:rFonts w:ascii="Times New Roman" w:hAnsi="Times New Roman" w:cs="Times New Roman"/>
          <w:b/>
          <w:bCs/>
          <w:i/>
          <w:iCs/>
          <w:sz w:val="24"/>
          <w:szCs w:val="24"/>
        </w:rPr>
      </w:pPr>
    </w:p>
    <w:p w14:paraId="1DCE82FE" w14:textId="77777777" w:rsidR="00627D78" w:rsidRPr="00E11754" w:rsidRDefault="00627D78" w:rsidP="00186F23">
      <w:pPr>
        <w:spacing w:line="360" w:lineRule="auto"/>
        <w:rPr>
          <w:rFonts w:ascii="Times New Roman" w:hAnsi="Times New Roman" w:cs="Times New Roman"/>
          <w:b/>
          <w:bCs/>
          <w:i/>
          <w:iCs/>
          <w:sz w:val="24"/>
          <w:szCs w:val="24"/>
        </w:rPr>
      </w:pPr>
    </w:p>
    <w:p w14:paraId="648A33CD" w14:textId="77777777" w:rsidR="00627D78" w:rsidRPr="00E11754" w:rsidRDefault="00627D78" w:rsidP="00186F23">
      <w:pPr>
        <w:spacing w:line="360" w:lineRule="auto"/>
        <w:rPr>
          <w:rFonts w:ascii="Times New Roman" w:hAnsi="Times New Roman" w:cs="Times New Roman"/>
          <w:b/>
          <w:bCs/>
          <w:i/>
          <w:iCs/>
          <w:sz w:val="24"/>
          <w:szCs w:val="24"/>
        </w:rPr>
      </w:pPr>
    </w:p>
    <w:p w14:paraId="323E9F3A" w14:textId="77777777" w:rsidR="00627D78" w:rsidRPr="00E11754" w:rsidRDefault="00627D78" w:rsidP="00186F23">
      <w:pPr>
        <w:spacing w:line="360" w:lineRule="auto"/>
        <w:rPr>
          <w:rFonts w:ascii="Times New Roman" w:hAnsi="Times New Roman" w:cs="Times New Roman"/>
          <w:b/>
          <w:bCs/>
          <w:i/>
          <w:iCs/>
          <w:sz w:val="24"/>
          <w:szCs w:val="24"/>
        </w:rPr>
      </w:pPr>
    </w:p>
    <w:p w14:paraId="6BAA8E12" w14:textId="77777777" w:rsidR="00627D78" w:rsidRPr="00E11754" w:rsidRDefault="00627D78" w:rsidP="00186F23">
      <w:pPr>
        <w:spacing w:line="360" w:lineRule="auto"/>
        <w:rPr>
          <w:rFonts w:ascii="Times New Roman" w:hAnsi="Times New Roman" w:cs="Times New Roman"/>
          <w:b/>
          <w:bCs/>
          <w:i/>
          <w:iCs/>
          <w:sz w:val="24"/>
          <w:szCs w:val="24"/>
        </w:rPr>
      </w:pPr>
    </w:p>
    <w:p w14:paraId="2A560F5B" w14:textId="77777777" w:rsidR="00627D78" w:rsidRPr="00E11754" w:rsidRDefault="00627D78" w:rsidP="00186F23">
      <w:pPr>
        <w:spacing w:line="360" w:lineRule="auto"/>
        <w:rPr>
          <w:rFonts w:ascii="Times New Roman" w:hAnsi="Times New Roman" w:cs="Times New Roman"/>
          <w:b/>
          <w:bCs/>
          <w:i/>
          <w:iCs/>
          <w:sz w:val="24"/>
          <w:szCs w:val="24"/>
        </w:rPr>
      </w:pPr>
    </w:p>
    <w:p w14:paraId="56B36091" w14:textId="77777777" w:rsidR="00627D78" w:rsidRPr="00E11754" w:rsidRDefault="00627D78" w:rsidP="00186F23">
      <w:pPr>
        <w:spacing w:line="360" w:lineRule="auto"/>
        <w:rPr>
          <w:rFonts w:ascii="Times New Roman" w:hAnsi="Times New Roman" w:cs="Times New Roman"/>
          <w:b/>
          <w:bCs/>
          <w:i/>
          <w:iCs/>
          <w:sz w:val="24"/>
          <w:szCs w:val="24"/>
        </w:rPr>
      </w:pPr>
    </w:p>
    <w:p w14:paraId="3A5E921E" w14:textId="77777777" w:rsidR="00627D78" w:rsidRPr="00E11754" w:rsidRDefault="00627D78" w:rsidP="00186F23">
      <w:pPr>
        <w:spacing w:line="360" w:lineRule="auto"/>
        <w:rPr>
          <w:rFonts w:ascii="Times New Roman" w:hAnsi="Times New Roman" w:cs="Times New Roman"/>
          <w:b/>
          <w:bCs/>
          <w:i/>
          <w:iCs/>
          <w:sz w:val="24"/>
          <w:szCs w:val="24"/>
        </w:rPr>
      </w:pPr>
    </w:p>
    <w:p w14:paraId="36A16877" w14:textId="77777777" w:rsidR="00627D78" w:rsidRDefault="00627D78" w:rsidP="00186F23">
      <w:pPr>
        <w:spacing w:line="360" w:lineRule="auto"/>
        <w:rPr>
          <w:rFonts w:ascii="Times New Roman" w:hAnsi="Times New Roman" w:cs="Times New Roman"/>
          <w:b/>
          <w:bCs/>
          <w:i/>
          <w:iCs/>
          <w:sz w:val="24"/>
          <w:szCs w:val="24"/>
        </w:rPr>
      </w:pPr>
    </w:p>
    <w:p w14:paraId="578C1CD9" w14:textId="77777777" w:rsidR="003228AE" w:rsidRDefault="003228AE" w:rsidP="00186F23">
      <w:pPr>
        <w:spacing w:line="360" w:lineRule="auto"/>
        <w:rPr>
          <w:rFonts w:ascii="Times New Roman" w:hAnsi="Times New Roman" w:cs="Times New Roman"/>
          <w:b/>
          <w:bCs/>
          <w:i/>
          <w:iCs/>
          <w:sz w:val="24"/>
          <w:szCs w:val="24"/>
        </w:rPr>
      </w:pPr>
    </w:p>
    <w:p w14:paraId="4829DB52" w14:textId="77777777" w:rsidR="003228AE" w:rsidRPr="00E11754" w:rsidRDefault="003228AE" w:rsidP="00186F23">
      <w:pPr>
        <w:spacing w:line="360" w:lineRule="auto"/>
        <w:rPr>
          <w:rFonts w:ascii="Times New Roman" w:hAnsi="Times New Roman" w:cs="Times New Roman"/>
          <w:b/>
          <w:bCs/>
          <w:i/>
          <w:iCs/>
          <w:sz w:val="24"/>
          <w:szCs w:val="24"/>
        </w:rPr>
      </w:pPr>
    </w:p>
    <w:p w14:paraId="13831D9F" w14:textId="1684179A" w:rsidR="00186F23" w:rsidRPr="00E11754" w:rsidRDefault="00186F23" w:rsidP="00186F23">
      <w:pPr>
        <w:spacing w:line="360" w:lineRule="auto"/>
        <w:rPr>
          <w:rFonts w:ascii="Times New Roman" w:hAnsi="Times New Roman" w:cs="Times New Roman"/>
          <w:b/>
          <w:bCs/>
          <w:i/>
          <w:iCs/>
          <w:sz w:val="24"/>
          <w:szCs w:val="24"/>
        </w:rPr>
      </w:pPr>
      <w:r w:rsidRPr="00E11754">
        <w:rPr>
          <w:rFonts w:ascii="Times New Roman" w:hAnsi="Times New Roman" w:cs="Times New Roman"/>
          <w:b/>
          <w:bCs/>
          <w:i/>
          <w:iCs/>
          <w:sz w:val="24"/>
          <w:szCs w:val="24"/>
        </w:rPr>
        <w:t>Podziękowanie</w:t>
      </w:r>
    </w:p>
    <w:p w14:paraId="6FD2BAE6" w14:textId="4A0D1753" w:rsidR="00627D78" w:rsidRPr="00E11754" w:rsidRDefault="002063C1" w:rsidP="00186F23">
      <w:pPr>
        <w:spacing w:line="360" w:lineRule="auto"/>
        <w:rPr>
          <w:rFonts w:ascii="Times New Roman" w:hAnsi="Times New Roman" w:cs="Times New Roman"/>
          <w:i/>
          <w:iCs/>
          <w:sz w:val="24"/>
          <w:szCs w:val="24"/>
        </w:rPr>
      </w:pPr>
      <w:r w:rsidRPr="00E11754">
        <w:rPr>
          <w:rFonts w:ascii="Times New Roman" w:hAnsi="Times New Roman" w:cs="Times New Roman"/>
          <w:i/>
          <w:iCs/>
          <w:sz w:val="24"/>
          <w:szCs w:val="24"/>
        </w:rPr>
        <w:t xml:space="preserve">Pragnę serdecznie podziękować mojej Promotor dr hab. Alinie </w:t>
      </w:r>
      <w:proofErr w:type="spellStart"/>
      <w:r w:rsidRPr="00E11754">
        <w:rPr>
          <w:rFonts w:ascii="Times New Roman" w:hAnsi="Times New Roman" w:cs="Times New Roman"/>
          <w:i/>
          <w:iCs/>
          <w:sz w:val="24"/>
          <w:szCs w:val="24"/>
        </w:rPr>
        <w:t>Plenis</w:t>
      </w:r>
      <w:proofErr w:type="spellEnd"/>
      <w:r w:rsidRPr="00E11754">
        <w:rPr>
          <w:rFonts w:ascii="Times New Roman" w:hAnsi="Times New Roman" w:cs="Times New Roman"/>
          <w:i/>
          <w:iCs/>
          <w:sz w:val="24"/>
          <w:szCs w:val="24"/>
        </w:rPr>
        <w:t xml:space="preserve"> za </w:t>
      </w:r>
      <w:r w:rsidR="00A4453A" w:rsidRPr="00E11754">
        <w:rPr>
          <w:rFonts w:ascii="Times New Roman" w:hAnsi="Times New Roman" w:cs="Times New Roman"/>
          <w:i/>
          <w:iCs/>
          <w:sz w:val="24"/>
          <w:szCs w:val="24"/>
        </w:rPr>
        <w:t>wsparcie</w:t>
      </w:r>
      <w:r w:rsidR="009134CC">
        <w:rPr>
          <w:rFonts w:ascii="Times New Roman" w:hAnsi="Times New Roman" w:cs="Times New Roman"/>
          <w:i/>
          <w:iCs/>
          <w:sz w:val="24"/>
          <w:szCs w:val="24"/>
        </w:rPr>
        <w:t xml:space="preserve"> merytoryczn</w:t>
      </w:r>
      <w:r w:rsidR="00A4453A">
        <w:rPr>
          <w:rFonts w:ascii="Times New Roman" w:hAnsi="Times New Roman" w:cs="Times New Roman"/>
          <w:i/>
          <w:iCs/>
          <w:sz w:val="24"/>
          <w:szCs w:val="24"/>
        </w:rPr>
        <w:t>e</w:t>
      </w:r>
      <w:r w:rsidR="00623284">
        <w:rPr>
          <w:rFonts w:ascii="Times New Roman" w:hAnsi="Times New Roman" w:cs="Times New Roman"/>
          <w:i/>
          <w:iCs/>
          <w:sz w:val="24"/>
          <w:szCs w:val="24"/>
        </w:rPr>
        <w:t xml:space="preserve"> w trakcie prowadzonych badań</w:t>
      </w:r>
      <w:r w:rsidR="0032347C">
        <w:rPr>
          <w:rFonts w:ascii="Times New Roman" w:hAnsi="Times New Roman" w:cs="Times New Roman"/>
          <w:i/>
          <w:iCs/>
          <w:sz w:val="24"/>
          <w:szCs w:val="24"/>
        </w:rPr>
        <w:t xml:space="preserve">, jak również </w:t>
      </w:r>
      <w:r w:rsidR="000E1629">
        <w:rPr>
          <w:rFonts w:ascii="Times New Roman" w:hAnsi="Times New Roman" w:cs="Times New Roman"/>
          <w:i/>
          <w:iCs/>
          <w:sz w:val="24"/>
          <w:szCs w:val="24"/>
        </w:rPr>
        <w:t>podczas</w:t>
      </w:r>
      <w:r w:rsidR="004E11FA">
        <w:rPr>
          <w:rFonts w:ascii="Times New Roman" w:hAnsi="Times New Roman" w:cs="Times New Roman"/>
          <w:i/>
          <w:iCs/>
          <w:sz w:val="24"/>
          <w:szCs w:val="24"/>
        </w:rPr>
        <w:t xml:space="preserve"> redagowania </w:t>
      </w:r>
      <w:r w:rsidR="00A4453A">
        <w:rPr>
          <w:rFonts w:ascii="Times New Roman" w:hAnsi="Times New Roman" w:cs="Times New Roman"/>
          <w:i/>
          <w:iCs/>
          <w:sz w:val="24"/>
          <w:szCs w:val="24"/>
        </w:rPr>
        <w:t xml:space="preserve">pracy doktorskiej. Ponadto dziękuję za </w:t>
      </w:r>
      <w:r w:rsidRPr="00E11754">
        <w:rPr>
          <w:rFonts w:ascii="Times New Roman" w:hAnsi="Times New Roman" w:cs="Times New Roman"/>
          <w:i/>
          <w:iCs/>
          <w:sz w:val="24"/>
          <w:szCs w:val="24"/>
        </w:rPr>
        <w:t>życzliwość</w:t>
      </w:r>
      <w:r w:rsidR="00D832A2">
        <w:rPr>
          <w:rFonts w:ascii="Times New Roman" w:hAnsi="Times New Roman" w:cs="Times New Roman"/>
          <w:i/>
          <w:iCs/>
          <w:sz w:val="24"/>
          <w:szCs w:val="24"/>
        </w:rPr>
        <w:t xml:space="preserve">, </w:t>
      </w:r>
      <w:r w:rsidRPr="00E11754">
        <w:rPr>
          <w:rFonts w:ascii="Times New Roman" w:hAnsi="Times New Roman" w:cs="Times New Roman"/>
          <w:i/>
          <w:iCs/>
          <w:sz w:val="24"/>
          <w:szCs w:val="24"/>
        </w:rPr>
        <w:t>cierpliwość</w:t>
      </w:r>
      <w:r w:rsidR="00D832A2">
        <w:rPr>
          <w:rFonts w:ascii="Times New Roman" w:hAnsi="Times New Roman" w:cs="Times New Roman"/>
          <w:i/>
          <w:iCs/>
          <w:sz w:val="24"/>
          <w:szCs w:val="24"/>
        </w:rPr>
        <w:t xml:space="preserve"> oraz poświęcony czas</w:t>
      </w:r>
      <w:r w:rsidRPr="00E11754">
        <w:rPr>
          <w:rFonts w:ascii="Times New Roman" w:hAnsi="Times New Roman" w:cs="Times New Roman"/>
          <w:i/>
          <w:iCs/>
          <w:sz w:val="24"/>
          <w:szCs w:val="24"/>
        </w:rPr>
        <w:t xml:space="preserve">. </w:t>
      </w:r>
    </w:p>
    <w:p w14:paraId="48D559E5" w14:textId="0756EEB9" w:rsidR="00BC5CD1" w:rsidRPr="00E11754" w:rsidRDefault="002063C1" w:rsidP="00186F23">
      <w:pPr>
        <w:spacing w:line="360" w:lineRule="auto"/>
        <w:rPr>
          <w:rFonts w:ascii="Times New Roman" w:hAnsi="Times New Roman" w:cs="Times New Roman"/>
          <w:i/>
          <w:iCs/>
          <w:sz w:val="24"/>
          <w:szCs w:val="24"/>
        </w:rPr>
      </w:pPr>
      <w:r w:rsidRPr="00E11754">
        <w:rPr>
          <w:rFonts w:ascii="Times New Roman" w:hAnsi="Times New Roman" w:cs="Times New Roman"/>
          <w:i/>
          <w:iCs/>
          <w:sz w:val="24"/>
          <w:szCs w:val="24"/>
        </w:rPr>
        <w:t>Dziękuję Współautorom publikacji</w:t>
      </w:r>
      <w:r w:rsidR="00627D78" w:rsidRPr="00E11754">
        <w:rPr>
          <w:rFonts w:ascii="Times New Roman" w:hAnsi="Times New Roman" w:cs="Times New Roman"/>
          <w:i/>
          <w:iCs/>
          <w:sz w:val="24"/>
          <w:szCs w:val="24"/>
        </w:rPr>
        <w:t xml:space="preserve"> </w:t>
      </w:r>
      <w:r w:rsidR="00BC5CD1" w:rsidRPr="00E11754">
        <w:rPr>
          <w:rFonts w:ascii="Times New Roman" w:hAnsi="Times New Roman" w:cs="Times New Roman"/>
          <w:i/>
          <w:iCs/>
          <w:sz w:val="24"/>
          <w:szCs w:val="24"/>
        </w:rPr>
        <w:t>za</w:t>
      </w:r>
      <w:r w:rsidR="00612A35" w:rsidRPr="00E11754">
        <w:rPr>
          <w:rFonts w:ascii="Times New Roman" w:hAnsi="Times New Roman" w:cs="Times New Roman"/>
          <w:i/>
          <w:iCs/>
          <w:sz w:val="24"/>
          <w:szCs w:val="24"/>
        </w:rPr>
        <w:t xml:space="preserve"> pomoc oraz</w:t>
      </w:r>
      <w:r w:rsidR="00BC5CD1" w:rsidRPr="00E11754">
        <w:rPr>
          <w:rFonts w:ascii="Times New Roman" w:hAnsi="Times New Roman" w:cs="Times New Roman"/>
          <w:i/>
          <w:iCs/>
          <w:sz w:val="24"/>
          <w:szCs w:val="24"/>
        </w:rPr>
        <w:t xml:space="preserve"> cenne wskazówki podczas prowadzenia badań.</w:t>
      </w:r>
    </w:p>
    <w:p w14:paraId="5D0389B2" w14:textId="77777777" w:rsidR="00612A35" w:rsidRPr="00E11754" w:rsidRDefault="00612A35" w:rsidP="00186F23">
      <w:pPr>
        <w:spacing w:line="360" w:lineRule="auto"/>
        <w:rPr>
          <w:rFonts w:ascii="Times New Roman" w:hAnsi="Times New Roman" w:cs="Times New Roman"/>
          <w:i/>
          <w:iCs/>
          <w:sz w:val="24"/>
          <w:szCs w:val="24"/>
        </w:rPr>
      </w:pPr>
    </w:p>
    <w:p w14:paraId="74FDAC2A" w14:textId="62B39F2E" w:rsidR="003228AE" w:rsidRDefault="003228AE" w:rsidP="003228AE">
      <w:pPr>
        <w:spacing w:line="360" w:lineRule="auto"/>
        <w:rPr>
          <w:rFonts w:ascii="Times New Roman" w:hAnsi="Times New Roman" w:cs="Times New Roman"/>
          <w:i/>
          <w:iCs/>
          <w:sz w:val="24"/>
          <w:szCs w:val="24"/>
        </w:rPr>
      </w:pPr>
    </w:p>
    <w:sdt>
      <w:sdtPr>
        <w:rPr>
          <w:rFonts w:asciiTheme="minorHAnsi" w:eastAsiaTheme="minorEastAsia" w:hAnsiTheme="minorHAnsi" w:cstheme="minorBidi"/>
          <w:color w:val="auto"/>
          <w:sz w:val="22"/>
          <w:szCs w:val="22"/>
        </w:rPr>
        <w:id w:val="-419412665"/>
        <w:docPartObj>
          <w:docPartGallery w:val="Table of Contents"/>
          <w:docPartUnique/>
        </w:docPartObj>
      </w:sdtPr>
      <w:sdtEndPr>
        <w:rPr>
          <w:b/>
          <w:bCs/>
        </w:rPr>
      </w:sdtEndPr>
      <w:sdtContent>
        <w:p w14:paraId="6E7B0047" w14:textId="30A2E037" w:rsidR="0077772B" w:rsidRPr="00EA1D6D" w:rsidRDefault="0077772B">
          <w:pPr>
            <w:pStyle w:val="Nagwekspisutreci"/>
            <w:rPr>
              <w:rFonts w:ascii="Times New Roman" w:hAnsi="Times New Roman" w:cs="Times New Roman"/>
            </w:rPr>
          </w:pPr>
          <w:r w:rsidRPr="00EA1D6D">
            <w:rPr>
              <w:rFonts w:ascii="Times New Roman" w:hAnsi="Times New Roman" w:cs="Times New Roman"/>
            </w:rPr>
            <w:t>Spis treści</w:t>
          </w:r>
        </w:p>
        <w:p w14:paraId="143100E4" w14:textId="62FBADF0" w:rsidR="0077772B" w:rsidRPr="00EA1D6D" w:rsidRDefault="0077772B">
          <w:pPr>
            <w:pStyle w:val="Spistreci1"/>
            <w:rPr>
              <w:rFonts w:ascii="Times New Roman" w:hAnsi="Times New Roman"/>
              <w:b w:val="0"/>
              <w:bCs w:val="0"/>
              <w:kern w:val="2"/>
              <w14:ligatures w14:val="standardContextual"/>
            </w:rPr>
          </w:pPr>
          <w:r>
            <w:fldChar w:fldCharType="begin"/>
          </w:r>
          <w:r>
            <w:instrText xml:space="preserve"> TOC \o "1-3" \h \z \u </w:instrText>
          </w:r>
          <w:r>
            <w:fldChar w:fldCharType="separate"/>
          </w:r>
          <w:hyperlink w:anchor="_Toc137702464" w:history="1">
            <w:r w:rsidRPr="00EA1D6D">
              <w:rPr>
                <w:rStyle w:val="Hipercze"/>
                <w:rFonts w:ascii="Times New Roman" w:hAnsi="Times New Roman"/>
                <w:b w:val="0"/>
                <w:bCs w:val="0"/>
              </w:rPr>
              <w:t>Wykaz skrótów:</w:t>
            </w:r>
            <w:r w:rsidRPr="00EA1D6D">
              <w:rPr>
                <w:rFonts w:ascii="Times New Roman" w:hAnsi="Times New Roman"/>
                <w:b w:val="0"/>
                <w:bCs w:val="0"/>
                <w:webHidden/>
              </w:rPr>
              <w:tab/>
            </w:r>
            <w:r w:rsidRPr="00EA1D6D">
              <w:rPr>
                <w:rFonts w:ascii="Times New Roman" w:hAnsi="Times New Roman"/>
                <w:b w:val="0"/>
                <w:bCs w:val="0"/>
                <w:webHidden/>
              </w:rPr>
              <w:fldChar w:fldCharType="begin"/>
            </w:r>
            <w:r w:rsidRPr="00EA1D6D">
              <w:rPr>
                <w:rFonts w:ascii="Times New Roman" w:hAnsi="Times New Roman"/>
                <w:b w:val="0"/>
                <w:bCs w:val="0"/>
                <w:webHidden/>
              </w:rPr>
              <w:instrText xml:space="preserve"> PAGEREF _Toc137702464 \h </w:instrText>
            </w:r>
            <w:r w:rsidRPr="00EA1D6D">
              <w:rPr>
                <w:rFonts w:ascii="Times New Roman" w:hAnsi="Times New Roman"/>
                <w:b w:val="0"/>
                <w:bCs w:val="0"/>
                <w:webHidden/>
              </w:rPr>
            </w:r>
            <w:r w:rsidRPr="00EA1D6D">
              <w:rPr>
                <w:rFonts w:ascii="Times New Roman" w:hAnsi="Times New Roman"/>
                <w:b w:val="0"/>
                <w:bCs w:val="0"/>
                <w:webHidden/>
              </w:rPr>
              <w:fldChar w:fldCharType="separate"/>
            </w:r>
            <w:r w:rsidR="00C32263">
              <w:rPr>
                <w:rFonts w:ascii="Times New Roman" w:hAnsi="Times New Roman"/>
                <w:b w:val="0"/>
                <w:bCs w:val="0"/>
                <w:webHidden/>
              </w:rPr>
              <w:t>4</w:t>
            </w:r>
            <w:r w:rsidRPr="00EA1D6D">
              <w:rPr>
                <w:rFonts w:ascii="Times New Roman" w:hAnsi="Times New Roman"/>
                <w:b w:val="0"/>
                <w:bCs w:val="0"/>
                <w:webHidden/>
              </w:rPr>
              <w:fldChar w:fldCharType="end"/>
            </w:r>
          </w:hyperlink>
        </w:p>
        <w:p w14:paraId="36FBE0A1" w14:textId="4FF65427" w:rsidR="0077772B" w:rsidRPr="00EA1D6D" w:rsidRDefault="00C32263">
          <w:pPr>
            <w:pStyle w:val="Spistreci1"/>
            <w:rPr>
              <w:rFonts w:ascii="Times New Roman" w:hAnsi="Times New Roman"/>
              <w:b w:val="0"/>
              <w:bCs w:val="0"/>
              <w:kern w:val="2"/>
              <w14:ligatures w14:val="standardContextual"/>
            </w:rPr>
          </w:pPr>
          <w:hyperlink w:anchor="_Toc137702465" w:history="1">
            <w:r w:rsidR="0077772B" w:rsidRPr="00EA1D6D">
              <w:rPr>
                <w:rStyle w:val="Hipercze"/>
                <w:rFonts w:ascii="Times New Roman" w:hAnsi="Times New Roman"/>
                <w:b w:val="0"/>
                <w:bCs w:val="0"/>
              </w:rPr>
              <w:t>Spis publikacji, w których opublikowano wyniki pracy doktorskiej:</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_Toc137702465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6</w:t>
            </w:r>
            <w:r w:rsidR="0077772B" w:rsidRPr="00EA1D6D">
              <w:rPr>
                <w:rFonts w:ascii="Times New Roman" w:hAnsi="Times New Roman"/>
                <w:b w:val="0"/>
                <w:bCs w:val="0"/>
                <w:webHidden/>
              </w:rPr>
              <w:fldChar w:fldCharType="end"/>
            </w:r>
          </w:hyperlink>
        </w:p>
        <w:p w14:paraId="77E543FF" w14:textId="068A8998" w:rsidR="0077772B" w:rsidRPr="00EA1D6D" w:rsidRDefault="00C32263">
          <w:pPr>
            <w:pStyle w:val="Spistreci1"/>
            <w:rPr>
              <w:rFonts w:ascii="Times New Roman" w:hAnsi="Times New Roman"/>
              <w:b w:val="0"/>
              <w:bCs w:val="0"/>
              <w:kern w:val="2"/>
              <w14:ligatures w14:val="standardContextual"/>
            </w:rPr>
          </w:pPr>
          <w:hyperlink w:anchor="_Toc137702466" w:history="1">
            <w:r w:rsidR="0077772B" w:rsidRPr="00EA1D6D">
              <w:rPr>
                <w:rStyle w:val="Hipercze"/>
                <w:rFonts w:ascii="Times New Roman" w:hAnsi="Times New Roman"/>
                <w:b w:val="0"/>
                <w:bCs w:val="0"/>
              </w:rPr>
              <w:t>Spis publikacji, które nie wchodzą w skład pracy doktorskiej:</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_Toc137702466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8</w:t>
            </w:r>
            <w:r w:rsidR="0077772B" w:rsidRPr="00EA1D6D">
              <w:rPr>
                <w:rFonts w:ascii="Times New Roman" w:hAnsi="Times New Roman"/>
                <w:b w:val="0"/>
                <w:bCs w:val="0"/>
                <w:webHidden/>
              </w:rPr>
              <w:fldChar w:fldCharType="end"/>
            </w:r>
          </w:hyperlink>
        </w:p>
        <w:p w14:paraId="316E80BA" w14:textId="5BC0E4F5" w:rsidR="0077772B" w:rsidRPr="00EA1D6D" w:rsidRDefault="00C32263">
          <w:pPr>
            <w:pStyle w:val="Spistreci1"/>
            <w:rPr>
              <w:rFonts w:ascii="Times New Roman" w:hAnsi="Times New Roman"/>
              <w:b w:val="0"/>
              <w:bCs w:val="0"/>
              <w:kern w:val="2"/>
              <w14:ligatures w14:val="standardContextual"/>
            </w:rPr>
          </w:pPr>
          <w:hyperlink w:anchor="_Toc137702467" w:history="1">
            <w:r w:rsidR="0077772B" w:rsidRPr="00EA1D6D">
              <w:rPr>
                <w:rStyle w:val="Hipercze"/>
                <w:rFonts w:ascii="Times New Roman" w:hAnsi="Times New Roman"/>
                <w:b w:val="0"/>
                <w:bCs w:val="0"/>
              </w:rPr>
              <w:t>Spis streszczeń zjazdowych, które są związane z rozprawą doktorską:</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_Toc137702467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8</w:t>
            </w:r>
            <w:r w:rsidR="0077772B" w:rsidRPr="00EA1D6D">
              <w:rPr>
                <w:rFonts w:ascii="Times New Roman" w:hAnsi="Times New Roman"/>
                <w:b w:val="0"/>
                <w:bCs w:val="0"/>
                <w:webHidden/>
              </w:rPr>
              <w:fldChar w:fldCharType="end"/>
            </w:r>
          </w:hyperlink>
        </w:p>
        <w:p w14:paraId="774D3968" w14:textId="664FC466" w:rsidR="0077772B" w:rsidRPr="00EA1D6D" w:rsidRDefault="00C32263">
          <w:pPr>
            <w:pStyle w:val="Spistreci1"/>
            <w:rPr>
              <w:rFonts w:ascii="Times New Roman" w:hAnsi="Times New Roman"/>
              <w:b w:val="0"/>
              <w:bCs w:val="0"/>
              <w:kern w:val="2"/>
              <w14:ligatures w14:val="standardContextual"/>
            </w:rPr>
          </w:pPr>
          <w:hyperlink w:anchor="_Toc137702468" w:history="1">
            <w:r w:rsidR="0077772B" w:rsidRPr="00EA1D6D">
              <w:rPr>
                <w:rStyle w:val="Hipercze"/>
                <w:rFonts w:ascii="Times New Roman" w:hAnsi="Times New Roman"/>
                <w:b w:val="0"/>
                <w:bCs w:val="0"/>
              </w:rPr>
              <w:t>Spis streszczeń zjazdowych, które nie są związane z rozprawą doktorską:</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_Toc137702468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11</w:t>
            </w:r>
            <w:r w:rsidR="0077772B" w:rsidRPr="00EA1D6D">
              <w:rPr>
                <w:rFonts w:ascii="Times New Roman" w:hAnsi="Times New Roman"/>
                <w:b w:val="0"/>
                <w:bCs w:val="0"/>
                <w:webHidden/>
              </w:rPr>
              <w:fldChar w:fldCharType="end"/>
            </w:r>
          </w:hyperlink>
        </w:p>
        <w:p w14:paraId="68A042D0" w14:textId="16F3536B" w:rsidR="0077772B" w:rsidRPr="00EA1D6D" w:rsidRDefault="00C32263">
          <w:pPr>
            <w:pStyle w:val="Spistreci1"/>
            <w:rPr>
              <w:rFonts w:ascii="Times New Roman" w:hAnsi="Times New Roman"/>
              <w:b w:val="0"/>
              <w:bCs w:val="0"/>
              <w:kern w:val="2"/>
              <w14:ligatures w14:val="standardContextual"/>
            </w:rPr>
          </w:pPr>
          <w:hyperlink w:anchor="_Toc137702469" w:history="1">
            <w:r w:rsidR="0077772B" w:rsidRPr="00EA1D6D">
              <w:rPr>
                <w:rStyle w:val="Hipercze"/>
                <w:rFonts w:ascii="Times New Roman" w:hAnsi="Times New Roman"/>
                <w:b w:val="0"/>
                <w:bCs w:val="0"/>
              </w:rPr>
              <w:t>1.</w:t>
            </w:r>
            <w:r w:rsidR="0077772B" w:rsidRPr="00EA1D6D">
              <w:rPr>
                <w:rFonts w:ascii="Times New Roman" w:hAnsi="Times New Roman"/>
                <w:b w:val="0"/>
                <w:bCs w:val="0"/>
                <w:kern w:val="2"/>
                <w14:ligatures w14:val="standardContextual"/>
              </w:rPr>
              <w:tab/>
            </w:r>
            <w:r w:rsidR="0077772B" w:rsidRPr="00EA1D6D">
              <w:rPr>
                <w:rStyle w:val="Hipercze"/>
                <w:rFonts w:ascii="Times New Roman" w:hAnsi="Times New Roman"/>
                <w:b w:val="0"/>
                <w:bCs w:val="0"/>
              </w:rPr>
              <w:t>Wstęp</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_Toc137702469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12</w:t>
            </w:r>
            <w:r w:rsidR="0077772B" w:rsidRPr="00EA1D6D">
              <w:rPr>
                <w:rFonts w:ascii="Times New Roman" w:hAnsi="Times New Roman"/>
                <w:b w:val="0"/>
                <w:bCs w:val="0"/>
                <w:webHidden/>
              </w:rPr>
              <w:fldChar w:fldCharType="end"/>
            </w:r>
          </w:hyperlink>
        </w:p>
        <w:p w14:paraId="67302577" w14:textId="4DB76B29" w:rsidR="0077772B" w:rsidRPr="00EA1D6D" w:rsidRDefault="00C32263">
          <w:pPr>
            <w:pStyle w:val="Spistreci2"/>
            <w:tabs>
              <w:tab w:val="left" w:pos="880"/>
              <w:tab w:val="right" w:leader="dot" w:pos="8777"/>
            </w:tabs>
            <w:rPr>
              <w:rFonts w:ascii="Times New Roman" w:hAnsi="Times New Roman"/>
              <w:noProof/>
              <w:kern w:val="2"/>
              <w14:ligatures w14:val="standardContextual"/>
            </w:rPr>
          </w:pPr>
          <w:hyperlink w:anchor="_Toc137702470" w:history="1">
            <w:r w:rsidR="0077772B" w:rsidRPr="00EA1D6D">
              <w:rPr>
                <w:rStyle w:val="Hipercze"/>
                <w:rFonts w:ascii="Times New Roman" w:hAnsi="Times New Roman"/>
                <w:noProof/>
              </w:rPr>
              <w:t>1.1.</w:t>
            </w:r>
            <w:r w:rsidR="0077772B" w:rsidRPr="00EA1D6D">
              <w:rPr>
                <w:rFonts w:ascii="Times New Roman" w:hAnsi="Times New Roman"/>
                <w:noProof/>
                <w:kern w:val="2"/>
                <w14:ligatures w14:val="standardContextual"/>
              </w:rPr>
              <w:tab/>
            </w:r>
            <w:r w:rsidR="0077772B" w:rsidRPr="00EA1D6D">
              <w:rPr>
                <w:rStyle w:val="Hipercze"/>
                <w:rFonts w:ascii="Times New Roman" w:hAnsi="Times New Roman"/>
                <w:noProof/>
              </w:rPr>
              <w:t>Epidemiologia nowotworów</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_Toc137702470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12</w:t>
            </w:r>
            <w:r w:rsidR="0077772B" w:rsidRPr="00EA1D6D">
              <w:rPr>
                <w:rFonts w:ascii="Times New Roman" w:hAnsi="Times New Roman"/>
                <w:noProof/>
                <w:webHidden/>
              </w:rPr>
              <w:fldChar w:fldCharType="end"/>
            </w:r>
          </w:hyperlink>
        </w:p>
        <w:p w14:paraId="3D1A2265" w14:textId="0743C148" w:rsidR="0077772B" w:rsidRPr="00EA1D6D" w:rsidRDefault="00C32263">
          <w:pPr>
            <w:pStyle w:val="Spistreci2"/>
            <w:tabs>
              <w:tab w:val="left" w:pos="880"/>
              <w:tab w:val="right" w:leader="dot" w:pos="8777"/>
            </w:tabs>
            <w:rPr>
              <w:rFonts w:ascii="Times New Roman" w:hAnsi="Times New Roman"/>
              <w:noProof/>
              <w:kern w:val="2"/>
              <w14:ligatures w14:val="standardContextual"/>
            </w:rPr>
          </w:pPr>
          <w:hyperlink w:anchor="_Toc137702471" w:history="1">
            <w:r w:rsidR="0077772B" w:rsidRPr="00EA1D6D">
              <w:rPr>
                <w:rStyle w:val="Hipercze"/>
                <w:rFonts w:ascii="Times New Roman" w:hAnsi="Times New Roman"/>
                <w:noProof/>
              </w:rPr>
              <w:t>1.2.</w:t>
            </w:r>
            <w:r w:rsidR="0077772B" w:rsidRPr="00EA1D6D">
              <w:rPr>
                <w:rFonts w:ascii="Times New Roman" w:hAnsi="Times New Roman"/>
                <w:noProof/>
                <w:kern w:val="2"/>
                <w14:ligatures w14:val="standardContextual"/>
              </w:rPr>
              <w:tab/>
            </w:r>
            <w:r w:rsidR="0077772B" w:rsidRPr="00EA1D6D">
              <w:rPr>
                <w:rStyle w:val="Hipercze"/>
                <w:rFonts w:ascii="Times New Roman" w:hAnsi="Times New Roman"/>
                <w:noProof/>
              </w:rPr>
              <w:t>Charakterystyka nowotworów</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_Toc137702471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13</w:t>
            </w:r>
            <w:r w:rsidR="0077772B" w:rsidRPr="00EA1D6D">
              <w:rPr>
                <w:rFonts w:ascii="Times New Roman" w:hAnsi="Times New Roman"/>
                <w:noProof/>
                <w:webHidden/>
              </w:rPr>
              <w:fldChar w:fldCharType="end"/>
            </w:r>
          </w:hyperlink>
        </w:p>
        <w:p w14:paraId="2EA64034" w14:textId="296C3932" w:rsidR="0077772B" w:rsidRPr="00EA1D6D" w:rsidRDefault="00C32263">
          <w:pPr>
            <w:pStyle w:val="Spistreci2"/>
            <w:tabs>
              <w:tab w:val="left" w:pos="880"/>
              <w:tab w:val="right" w:leader="dot" w:pos="8777"/>
            </w:tabs>
            <w:rPr>
              <w:rFonts w:ascii="Times New Roman" w:hAnsi="Times New Roman"/>
              <w:noProof/>
              <w:kern w:val="2"/>
              <w14:ligatures w14:val="standardContextual"/>
            </w:rPr>
          </w:pPr>
          <w:hyperlink w:anchor="_Toc137702472" w:history="1">
            <w:r w:rsidR="0077772B" w:rsidRPr="00EA1D6D">
              <w:rPr>
                <w:rStyle w:val="Hipercze"/>
                <w:rFonts w:ascii="Times New Roman" w:hAnsi="Times New Roman"/>
                <w:noProof/>
              </w:rPr>
              <w:t>1.3.</w:t>
            </w:r>
            <w:r w:rsidR="0077772B" w:rsidRPr="00EA1D6D">
              <w:rPr>
                <w:rFonts w:ascii="Times New Roman" w:hAnsi="Times New Roman"/>
                <w:noProof/>
                <w:kern w:val="2"/>
                <w14:ligatures w14:val="standardContextual"/>
              </w:rPr>
              <w:tab/>
            </w:r>
            <w:r w:rsidR="0077772B" w:rsidRPr="00EA1D6D">
              <w:rPr>
                <w:rStyle w:val="Hipercze"/>
                <w:rFonts w:ascii="Times New Roman" w:hAnsi="Times New Roman"/>
                <w:noProof/>
              </w:rPr>
              <w:t>Sposoby leczenia onkologicznego</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_Toc137702472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15</w:t>
            </w:r>
            <w:r w:rsidR="0077772B" w:rsidRPr="00EA1D6D">
              <w:rPr>
                <w:rFonts w:ascii="Times New Roman" w:hAnsi="Times New Roman"/>
                <w:noProof/>
                <w:webHidden/>
              </w:rPr>
              <w:fldChar w:fldCharType="end"/>
            </w:r>
          </w:hyperlink>
        </w:p>
        <w:p w14:paraId="3AF9D79E" w14:textId="6738CBEF" w:rsidR="0077772B" w:rsidRPr="00EA1D6D" w:rsidRDefault="00C32263">
          <w:pPr>
            <w:pStyle w:val="Spistreci2"/>
            <w:tabs>
              <w:tab w:val="left" w:pos="880"/>
              <w:tab w:val="right" w:leader="dot" w:pos="8777"/>
            </w:tabs>
            <w:rPr>
              <w:rFonts w:ascii="Times New Roman" w:hAnsi="Times New Roman"/>
              <w:noProof/>
              <w:kern w:val="2"/>
              <w14:ligatures w14:val="standardContextual"/>
            </w:rPr>
          </w:pPr>
          <w:hyperlink w:anchor="_Toc137702473" w:history="1">
            <w:r w:rsidR="0077772B" w:rsidRPr="00EA1D6D">
              <w:rPr>
                <w:rStyle w:val="Hipercze"/>
                <w:rFonts w:ascii="Times New Roman" w:hAnsi="Times New Roman"/>
                <w:noProof/>
              </w:rPr>
              <w:t>1.4.</w:t>
            </w:r>
            <w:r w:rsidR="0077772B" w:rsidRPr="00EA1D6D">
              <w:rPr>
                <w:rFonts w:ascii="Times New Roman" w:hAnsi="Times New Roman"/>
                <w:noProof/>
                <w:kern w:val="2"/>
                <w14:ligatures w14:val="standardContextual"/>
              </w:rPr>
              <w:tab/>
            </w:r>
            <w:r w:rsidR="0077772B" w:rsidRPr="00EA1D6D">
              <w:rPr>
                <w:rStyle w:val="Hipercze"/>
                <w:rFonts w:ascii="Times New Roman" w:hAnsi="Times New Roman"/>
                <w:noProof/>
              </w:rPr>
              <w:t>Charakterystyka leków przeciwnowotworowych</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_Toc137702473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16</w:t>
            </w:r>
            <w:r w:rsidR="0077772B" w:rsidRPr="00EA1D6D">
              <w:rPr>
                <w:rFonts w:ascii="Times New Roman" w:hAnsi="Times New Roman"/>
                <w:noProof/>
                <w:webHidden/>
              </w:rPr>
              <w:fldChar w:fldCharType="end"/>
            </w:r>
          </w:hyperlink>
        </w:p>
        <w:p w14:paraId="1DD1A23D" w14:textId="256F1A72" w:rsidR="0077772B" w:rsidRPr="00EA1D6D" w:rsidRDefault="00C32263">
          <w:pPr>
            <w:pStyle w:val="Spistreci3"/>
            <w:rPr>
              <w:rFonts w:ascii="Times New Roman" w:hAnsi="Times New Roman"/>
              <w:noProof/>
              <w:kern w:val="2"/>
              <w14:ligatures w14:val="standardContextual"/>
            </w:rPr>
          </w:pPr>
          <w:hyperlink w:anchor="_Toc137702474" w:history="1">
            <w:r w:rsidR="0077772B" w:rsidRPr="00EA1D6D">
              <w:rPr>
                <w:rStyle w:val="Hipercze"/>
                <w:rFonts w:ascii="Times New Roman" w:hAnsi="Times New Roman"/>
                <w:i/>
                <w:iCs/>
                <w:noProof/>
              </w:rPr>
              <w:t>1.4.1. Antracykliny</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_Toc137702474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16</w:t>
            </w:r>
            <w:r w:rsidR="0077772B" w:rsidRPr="00EA1D6D">
              <w:rPr>
                <w:rFonts w:ascii="Times New Roman" w:hAnsi="Times New Roman"/>
                <w:noProof/>
                <w:webHidden/>
              </w:rPr>
              <w:fldChar w:fldCharType="end"/>
            </w:r>
          </w:hyperlink>
        </w:p>
        <w:p w14:paraId="0E49CFD6" w14:textId="354B5E64" w:rsidR="0077772B" w:rsidRPr="00EA1D6D" w:rsidRDefault="00C32263">
          <w:pPr>
            <w:pStyle w:val="Spistreci3"/>
            <w:rPr>
              <w:rFonts w:ascii="Times New Roman" w:hAnsi="Times New Roman"/>
              <w:noProof/>
              <w:kern w:val="2"/>
              <w14:ligatures w14:val="standardContextual"/>
            </w:rPr>
          </w:pPr>
          <w:hyperlink w:anchor="_Toc137702475" w:history="1">
            <w:r w:rsidR="0077772B" w:rsidRPr="00EA1D6D">
              <w:rPr>
                <w:rStyle w:val="Hipercze"/>
                <w:rFonts w:ascii="Times New Roman" w:hAnsi="Times New Roman"/>
                <w:i/>
                <w:iCs/>
                <w:noProof/>
              </w:rPr>
              <w:t>1.4.2. Taksany</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_Toc137702475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19</w:t>
            </w:r>
            <w:r w:rsidR="0077772B" w:rsidRPr="00EA1D6D">
              <w:rPr>
                <w:rFonts w:ascii="Times New Roman" w:hAnsi="Times New Roman"/>
                <w:noProof/>
                <w:webHidden/>
              </w:rPr>
              <w:fldChar w:fldCharType="end"/>
            </w:r>
          </w:hyperlink>
        </w:p>
        <w:p w14:paraId="40B6F7C5" w14:textId="34AF0D7C" w:rsidR="0077772B" w:rsidRPr="00EA1D6D" w:rsidRDefault="00C32263">
          <w:pPr>
            <w:pStyle w:val="Spistreci2"/>
            <w:tabs>
              <w:tab w:val="left" w:pos="880"/>
              <w:tab w:val="right" w:leader="dot" w:pos="8777"/>
            </w:tabs>
            <w:rPr>
              <w:rFonts w:ascii="Times New Roman" w:hAnsi="Times New Roman"/>
              <w:noProof/>
              <w:kern w:val="2"/>
              <w14:ligatures w14:val="standardContextual"/>
            </w:rPr>
          </w:pPr>
          <w:hyperlink w:anchor="_Toc137702476" w:history="1">
            <w:r w:rsidR="0077772B" w:rsidRPr="00EA1D6D">
              <w:rPr>
                <w:rStyle w:val="Hipercze"/>
                <w:rFonts w:ascii="Times New Roman" w:hAnsi="Times New Roman"/>
                <w:noProof/>
              </w:rPr>
              <w:t>1.5.</w:t>
            </w:r>
            <w:r w:rsidR="0077772B" w:rsidRPr="00EA1D6D">
              <w:rPr>
                <w:rFonts w:ascii="Times New Roman" w:hAnsi="Times New Roman"/>
                <w:noProof/>
                <w:kern w:val="2"/>
                <w14:ligatures w14:val="standardContextual"/>
              </w:rPr>
              <w:tab/>
            </w:r>
            <w:r w:rsidR="0077772B" w:rsidRPr="00EA1D6D">
              <w:rPr>
                <w:rStyle w:val="Hipercze"/>
                <w:rFonts w:ascii="Times New Roman" w:hAnsi="Times New Roman"/>
                <w:noProof/>
              </w:rPr>
              <w:t>Terapia monitorowania stężeniem leku</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_Toc137702476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20</w:t>
            </w:r>
            <w:r w:rsidR="0077772B" w:rsidRPr="00EA1D6D">
              <w:rPr>
                <w:rFonts w:ascii="Times New Roman" w:hAnsi="Times New Roman"/>
                <w:noProof/>
                <w:webHidden/>
              </w:rPr>
              <w:fldChar w:fldCharType="end"/>
            </w:r>
          </w:hyperlink>
        </w:p>
        <w:p w14:paraId="464C0ECB" w14:textId="6A012347" w:rsidR="0077772B" w:rsidRPr="00EA1D6D" w:rsidRDefault="00C32263">
          <w:pPr>
            <w:pStyle w:val="Spistreci2"/>
            <w:tabs>
              <w:tab w:val="left" w:pos="880"/>
              <w:tab w:val="right" w:leader="dot" w:pos="8777"/>
            </w:tabs>
            <w:rPr>
              <w:rFonts w:ascii="Times New Roman" w:hAnsi="Times New Roman"/>
              <w:noProof/>
              <w:kern w:val="2"/>
              <w14:ligatures w14:val="standardContextual"/>
            </w:rPr>
          </w:pPr>
          <w:hyperlink w:anchor="_Toc137702477" w:history="1">
            <w:r w:rsidR="0077772B" w:rsidRPr="00EA1D6D">
              <w:rPr>
                <w:rStyle w:val="Hipercze"/>
                <w:rFonts w:ascii="Times New Roman" w:hAnsi="Times New Roman"/>
                <w:noProof/>
                <w:bdr w:val="none" w:sz="0" w:space="0" w:color="auto" w:frame="1"/>
              </w:rPr>
              <w:t>1.6.</w:t>
            </w:r>
            <w:r w:rsidR="0077772B" w:rsidRPr="00EA1D6D">
              <w:rPr>
                <w:rFonts w:ascii="Times New Roman" w:hAnsi="Times New Roman"/>
                <w:noProof/>
                <w:kern w:val="2"/>
                <w14:ligatures w14:val="standardContextual"/>
              </w:rPr>
              <w:tab/>
            </w:r>
            <w:r w:rsidR="0077772B" w:rsidRPr="00EA1D6D">
              <w:rPr>
                <w:rStyle w:val="Hipercze"/>
                <w:rFonts w:ascii="Times New Roman" w:hAnsi="Times New Roman"/>
                <w:noProof/>
                <w:bdr w:val="none" w:sz="0" w:space="0" w:color="auto" w:frame="1"/>
              </w:rPr>
              <w:t>Opracowanie metody opartej na wysokosprawnej chromatografii cieczowej</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_Toc137702477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22</w:t>
            </w:r>
            <w:r w:rsidR="0077772B" w:rsidRPr="00EA1D6D">
              <w:rPr>
                <w:rFonts w:ascii="Times New Roman" w:hAnsi="Times New Roman"/>
                <w:noProof/>
                <w:webHidden/>
              </w:rPr>
              <w:fldChar w:fldCharType="end"/>
            </w:r>
          </w:hyperlink>
        </w:p>
        <w:p w14:paraId="6EE04D7F" w14:textId="1FF6A581" w:rsidR="0077772B" w:rsidRPr="00EA1D6D" w:rsidRDefault="00C32263">
          <w:pPr>
            <w:pStyle w:val="Spistreci1"/>
            <w:rPr>
              <w:rFonts w:ascii="Times New Roman" w:hAnsi="Times New Roman"/>
              <w:b w:val="0"/>
              <w:bCs w:val="0"/>
              <w:kern w:val="2"/>
              <w14:ligatures w14:val="standardContextual"/>
            </w:rPr>
          </w:pPr>
          <w:hyperlink w:anchor="_Toc137702478" w:history="1">
            <w:r w:rsidR="0077772B" w:rsidRPr="00EA1D6D">
              <w:rPr>
                <w:rStyle w:val="Hipercze"/>
                <w:rFonts w:ascii="Times New Roman" w:hAnsi="Times New Roman"/>
                <w:b w:val="0"/>
                <w:bCs w:val="0"/>
              </w:rPr>
              <w:t>2.</w:t>
            </w:r>
            <w:r w:rsidR="0077772B" w:rsidRPr="00EA1D6D">
              <w:rPr>
                <w:rFonts w:ascii="Times New Roman" w:hAnsi="Times New Roman"/>
                <w:b w:val="0"/>
                <w:bCs w:val="0"/>
                <w:kern w:val="2"/>
                <w14:ligatures w14:val="standardContextual"/>
              </w:rPr>
              <w:tab/>
            </w:r>
            <w:r w:rsidR="0077772B" w:rsidRPr="00EA1D6D">
              <w:rPr>
                <w:rStyle w:val="Hipercze"/>
                <w:rFonts w:ascii="Times New Roman" w:hAnsi="Times New Roman"/>
                <w:b w:val="0"/>
                <w:bCs w:val="0"/>
              </w:rPr>
              <w:t>Cel pracy</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_Toc137702478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26</w:t>
            </w:r>
            <w:r w:rsidR="0077772B" w:rsidRPr="00EA1D6D">
              <w:rPr>
                <w:rFonts w:ascii="Times New Roman" w:hAnsi="Times New Roman"/>
                <w:b w:val="0"/>
                <w:bCs w:val="0"/>
                <w:webHidden/>
              </w:rPr>
              <w:fldChar w:fldCharType="end"/>
            </w:r>
          </w:hyperlink>
        </w:p>
        <w:p w14:paraId="2E09F37B" w14:textId="076196DC" w:rsidR="0077772B" w:rsidRPr="00EA1D6D" w:rsidRDefault="00C32263">
          <w:pPr>
            <w:pStyle w:val="Spistreci1"/>
            <w:rPr>
              <w:rFonts w:ascii="Times New Roman" w:hAnsi="Times New Roman"/>
              <w:b w:val="0"/>
              <w:bCs w:val="0"/>
              <w:kern w:val="2"/>
              <w14:ligatures w14:val="standardContextual"/>
            </w:rPr>
          </w:pPr>
          <w:hyperlink w:anchor="_Toc137702479" w:history="1">
            <w:r w:rsidR="0077772B" w:rsidRPr="00EA1D6D">
              <w:rPr>
                <w:rStyle w:val="Hipercze"/>
                <w:rFonts w:ascii="Times New Roman" w:hAnsi="Times New Roman"/>
                <w:b w:val="0"/>
                <w:bCs w:val="0"/>
              </w:rPr>
              <w:t>3.</w:t>
            </w:r>
            <w:r w:rsidR="0077772B" w:rsidRPr="00EA1D6D">
              <w:rPr>
                <w:rFonts w:ascii="Times New Roman" w:hAnsi="Times New Roman"/>
                <w:b w:val="0"/>
                <w:bCs w:val="0"/>
                <w:kern w:val="2"/>
                <w14:ligatures w14:val="standardContextual"/>
              </w:rPr>
              <w:tab/>
            </w:r>
            <w:r w:rsidR="0077772B" w:rsidRPr="00EA1D6D">
              <w:rPr>
                <w:rStyle w:val="Hipercze"/>
                <w:rFonts w:ascii="Times New Roman" w:hAnsi="Times New Roman"/>
                <w:b w:val="0"/>
                <w:bCs w:val="0"/>
              </w:rPr>
              <w:t>Omówienie publikacji</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_Toc137702479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28</w:t>
            </w:r>
            <w:r w:rsidR="0077772B" w:rsidRPr="00EA1D6D">
              <w:rPr>
                <w:rFonts w:ascii="Times New Roman" w:hAnsi="Times New Roman"/>
                <w:b w:val="0"/>
                <w:bCs w:val="0"/>
                <w:webHidden/>
              </w:rPr>
              <w:fldChar w:fldCharType="end"/>
            </w:r>
          </w:hyperlink>
        </w:p>
        <w:p w14:paraId="4ECE705A" w14:textId="05212C55" w:rsidR="0077772B" w:rsidRPr="00EA1D6D" w:rsidRDefault="00C32263">
          <w:pPr>
            <w:pStyle w:val="Spistreci2"/>
            <w:tabs>
              <w:tab w:val="right" w:leader="dot" w:pos="8777"/>
            </w:tabs>
            <w:rPr>
              <w:rFonts w:ascii="Times New Roman" w:hAnsi="Times New Roman"/>
              <w:noProof/>
              <w:kern w:val="2"/>
              <w14:ligatures w14:val="standardContextual"/>
            </w:rPr>
          </w:pPr>
          <w:hyperlink w:anchor="_Toc137702480" w:history="1">
            <w:r w:rsidR="0077772B" w:rsidRPr="00EA1D6D">
              <w:rPr>
                <w:rStyle w:val="Hipercze"/>
                <w:rFonts w:ascii="Times New Roman" w:hAnsi="Times New Roman"/>
                <w:noProof/>
                <w:lang w:val="en-GB"/>
              </w:rPr>
              <w:t>3.1. Publikacja 1.</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_Toc137702480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29</w:t>
            </w:r>
            <w:r w:rsidR="0077772B" w:rsidRPr="00EA1D6D">
              <w:rPr>
                <w:rFonts w:ascii="Times New Roman" w:hAnsi="Times New Roman"/>
                <w:noProof/>
                <w:webHidden/>
              </w:rPr>
              <w:fldChar w:fldCharType="end"/>
            </w:r>
          </w:hyperlink>
        </w:p>
        <w:p w14:paraId="60B90F26" w14:textId="11C7B903" w:rsidR="0077772B" w:rsidRPr="00EA1D6D" w:rsidRDefault="00C32263">
          <w:pPr>
            <w:pStyle w:val="Spistreci2"/>
            <w:tabs>
              <w:tab w:val="right" w:leader="dot" w:pos="8777"/>
            </w:tabs>
            <w:rPr>
              <w:rFonts w:ascii="Times New Roman" w:hAnsi="Times New Roman"/>
              <w:noProof/>
              <w:kern w:val="2"/>
              <w14:ligatures w14:val="standardContextual"/>
            </w:rPr>
          </w:pPr>
          <w:hyperlink w:anchor="_Toc137702481" w:history="1">
            <w:r w:rsidR="0077772B" w:rsidRPr="00EA1D6D">
              <w:rPr>
                <w:rStyle w:val="Hipercze"/>
                <w:rFonts w:ascii="Times New Roman" w:hAnsi="Times New Roman"/>
                <w:noProof/>
                <w:lang w:val="en-GB"/>
              </w:rPr>
              <w:t>3.2. Publikacja 2.</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_Toc137702481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35</w:t>
            </w:r>
            <w:r w:rsidR="0077772B" w:rsidRPr="00EA1D6D">
              <w:rPr>
                <w:rFonts w:ascii="Times New Roman" w:hAnsi="Times New Roman"/>
                <w:noProof/>
                <w:webHidden/>
              </w:rPr>
              <w:fldChar w:fldCharType="end"/>
            </w:r>
          </w:hyperlink>
        </w:p>
        <w:p w14:paraId="36871892" w14:textId="52296466" w:rsidR="0077772B" w:rsidRPr="00EA1D6D" w:rsidRDefault="00C32263">
          <w:pPr>
            <w:pStyle w:val="Spistreci2"/>
            <w:tabs>
              <w:tab w:val="right" w:leader="dot" w:pos="8777"/>
            </w:tabs>
            <w:rPr>
              <w:rFonts w:ascii="Times New Roman" w:hAnsi="Times New Roman"/>
              <w:noProof/>
              <w:kern w:val="2"/>
              <w14:ligatures w14:val="standardContextual"/>
            </w:rPr>
          </w:pPr>
          <w:hyperlink w:anchor="_Toc137702482" w:history="1">
            <w:r w:rsidR="0077772B" w:rsidRPr="00EA1D6D">
              <w:rPr>
                <w:rStyle w:val="Hipercze"/>
                <w:rFonts w:ascii="Times New Roman" w:hAnsi="Times New Roman"/>
                <w:noProof/>
                <w:lang w:val="en-GB"/>
              </w:rPr>
              <w:t>3.3. Publikacja 3.</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_Toc137702482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38</w:t>
            </w:r>
            <w:r w:rsidR="0077772B" w:rsidRPr="00EA1D6D">
              <w:rPr>
                <w:rFonts w:ascii="Times New Roman" w:hAnsi="Times New Roman"/>
                <w:noProof/>
                <w:webHidden/>
              </w:rPr>
              <w:fldChar w:fldCharType="end"/>
            </w:r>
          </w:hyperlink>
        </w:p>
        <w:p w14:paraId="77C664DD" w14:textId="51B25F3D" w:rsidR="0077772B" w:rsidRPr="00EA1D6D" w:rsidRDefault="00C32263">
          <w:pPr>
            <w:pStyle w:val="Spistreci2"/>
            <w:tabs>
              <w:tab w:val="right" w:leader="dot" w:pos="8777"/>
            </w:tabs>
            <w:rPr>
              <w:rFonts w:ascii="Times New Roman" w:hAnsi="Times New Roman"/>
              <w:noProof/>
              <w:kern w:val="2"/>
              <w14:ligatures w14:val="standardContextual"/>
            </w:rPr>
          </w:pPr>
          <w:hyperlink w:anchor="_Toc137702483" w:history="1">
            <w:r w:rsidR="0077772B" w:rsidRPr="00EA1D6D">
              <w:rPr>
                <w:rStyle w:val="Hipercze"/>
                <w:rFonts w:ascii="Times New Roman" w:hAnsi="Times New Roman"/>
                <w:noProof/>
                <w:lang w:val="en-GB"/>
              </w:rPr>
              <w:t>3.4. Publikacja 4.</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_Toc137702483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42</w:t>
            </w:r>
            <w:r w:rsidR="0077772B" w:rsidRPr="00EA1D6D">
              <w:rPr>
                <w:rFonts w:ascii="Times New Roman" w:hAnsi="Times New Roman"/>
                <w:noProof/>
                <w:webHidden/>
              </w:rPr>
              <w:fldChar w:fldCharType="end"/>
            </w:r>
          </w:hyperlink>
        </w:p>
        <w:p w14:paraId="11186B99" w14:textId="6C43EACA" w:rsidR="0077772B" w:rsidRPr="00EA1D6D" w:rsidRDefault="00C32263">
          <w:pPr>
            <w:pStyle w:val="Spistreci2"/>
            <w:tabs>
              <w:tab w:val="right" w:leader="dot" w:pos="8777"/>
            </w:tabs>
            <w:rPr>
              <w:rFonts w:ascii="Times New Roman" w:hAnsi="Times New Roman"/>
              <w:noProof/>
              <w:kern w:val="2"/>
              <w14:ligatures w14:val="standardContextual"/>
            </w:rPr>
          </w:pPr>
          <w:hyperlink w:anchor="_Toc137702484" w:history="1">
            <w:r w:rsidR="0077772B" w:rsidRPr="00EA1D6D">
              <w:rPr>
                <w:rStyle w:val="Hipercze"/>
                <w:rFonts w:ascii="Times New Roman" w:hAnsi="Times New Roman"/>
                <w:noProof/>
                <w:lang w:val="en-GB"/>
              </w:rPr>
              <w:t>3.5. Publikacja 5.</w:t>
            </w:r>
            <w:r w:rsidR="0077772B" w:rsidRPr="00EA1D6D">
              <w:rPr>
                <w:rFonts w:ascii="Times New Roman" w:hAnsi="Times New Roman"/>
                <w:noProof/>
                <w:webHidden/>
              </w:rPr>
              <w:tab/>
            </w:r>
            <w:r w:rsidR="0077772B" w:rsidRPr="00EA1D6D">
              <w:rPr>
                <w:rFonts w:ascii="Times New Roman" w:hAnsi="Times New Roman"/>
                <w:noProof/>
                <w:webHidden/>
              </w:rPr>
              <w:fldChar w:fldCharType="begin"/>
            </w:r>
            <w:r w:rsidR="0077772B" w:rsidRPr="00EA1D6D">
              <w:rPr>
                <w:rFonts w:ascii="Times New Roman" w:hAnsi="Times New Roman"/>
                <w:noProof/>
                <w:webHidden/>
              </w:rPr>
              <w:instrText xml:space="preserve"> PAGEREF _Toc137702484 \h </w:instrText>
            </w:r>
            <w:r w:rsidR="0077772B" w:rsidRPr="00EA1D6D">
              <w:rPr>
                <w:rFonts w:ascii="Times New Roman" w:hAnsi="Times New Roman"/>
                <w:noProof/>
                <w:webHidden/>
              </w:rPr>
            </w:r>
            <w:r w:rsidR="0077772B" w:rsidRPr="00EA1D6D">
              <w:rPr>
                <w:rFonts w:ascii="Times New Roman" w:hAnsi="Times New Roman"/>
                <w:noProof/>
                <w:webHidden/>
              </w:rPr>
              <w:fldChar w:fldCharType="separate"/>
            </w:r>
            <w:r>
              <w:rPr>
                <w:rFonts w:ascii="Times New Roman" w:hAnsi="Times New Roman"/>
                <w:noProof/>
                <w:webHidden/>
              </w:rPr>
              <w:t>46</w:t>
            </w:r>
            <w:r w:rsidR="0077772B" w:rsidRPr="00EA1D6D">
              <w:rPr>
                <w:rFonts w:ascii="Times New Roman" w:hAnsi="Times New Roman"/>
                <w:noProof/>
                <w:webHidden/>
              </w:rPr>
              <w:fldChar w:fldCharType="end"/>
            </w:r>
          </w:hyperlink>
        </w:p>
        <w:p w14:paraId="70E4830D" w14:textId="1FD526C3" w:rsidR="0077772B" w:rsidRPr="00EA1D6D" w:rsidRDefault="00C32263">
          <w:pPr>
            <w:pStyle w:val="Spistreci1"/>
            <w:rPr>
              <w:rFonts w:ascii="Times New Roman" w:hAnsi="Times New Roman"/>
              <w:b w:val="0"/>
              <w:bCs w:val="0"/>
              <w:kern w:val="2"/>
              <w14:ligatures w14:val="standardContextual"/>
            </w:rPr>
          </w:pPr>
          <w:hyperlink w:anchor="_Toc137702485" w:history="1">
            <w:r w:rsidR="0077772B" w:rsidRPr="00EA1D6D">
              <w:rPr>
                <w:rStyle w:val="Hipercze"/>
                <w:rFonts w:ascii="Times New Roman" w:hAnsi="Times New Roman"/>
                <w:b w:val="0"/>
                <w:bCs w:val="0"/>
              </w:rPr>
              <w:t>4.</w:t>
            </w:r>
            <w:r w:rsidR="0077772B" w:rsidRPr="00EA1D6D">
              <w:rPr>
                <w:rFonts w:ascii="Times New Roman" w:hAnsi="Times New Roman"/>
                <w:b w:val="0"/>
                <w:bCs w:val="0"/>
                <w:kern w:val="2"/>
                <w14:ligatures w14:val="standardContextual"/>
              </w:rPr>
              <w:tab/>
            </w:r>
            <w:r w:rsidR="0077772B" w:rsidRPr="00EA1D6D">
              <w:rPr>
                <w:rStyle w:val="Hipercze"/>
                <w:rFonts w:ascii="Times New Roman" w:hAnsi="Times New Roman"/>
                <w:b w:val="0"/>
                <w:bCs w:val="0"/>
              </w:rPr>
              <w:t>Podsumowanie</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_Toc137702485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49</w:t>
            </w:r>
            <w:r w:rsidR="0077772B" w:rsidRPr="00EA1D6D">
              <w:rPr>
                <w:rFonts w:ascii="Times New Roman" w:hAnsi="Times New Roman"/>
                <w:b w:val="0"/>
                <w:bCs w:val="0"/>
                <w:webHidden/>
              </w:rPr>
              <w:fldChar w:fldCharType="end"/>
            </w:r>
          </w:hyperlink>
        </w:p>
        <w:p w14:paraId="09848BF4" w14:textId="681DA316" w:rsidR="0077772B" w:rsidRPr="00EA1D6D" w:rsidRDefault="00C32263">
          <w:pPr>
            <w:pStyle w:val="Spistreci1"/>
            <w:rPr>
              <w:rFonts w:ascii="Times New Roman" w:hAnsi="Times New Roman"/>
              <w:b w:val="0"/>
              <w:bCs w:val="0"/>
              <w:kern w:val="2"/>
              <w14:ligatures w14:val="standardContextual"/>
            </w:rPr>
          </w:pPr>
          <w:hyperlink w:anchor="_Toc137702486" w:history="1">
            <w:r w:rsidR="0077772B" w:rsidRPr="00EA1D6D">
              <w:rPr>
                <w:rStyle w:val="Hipercze"/>
                <w:rFonts w:ascii="Times New Roman" w:eastAsia="CharisSIL" w:hAnsi="Times New Roman"/>
                <w:b w:val="0"/>
                <w:bCs w:val="0"/>
              </w:rPr>
              <w:t>Streszczenie</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_Toc137702486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51</w:t>
            </w:r>
            <w:r w:rsidR="0077772B" w:rsidRPr="00EA1D6D">
              <w:rPr>
                <w:rFonts w:ascii="Times New Roman" w:hAnsi="Times New Roman"/>
                <w:b w:val="0"/>
                <w:bCs w:val="0"/>
                <w:webHidden/>
              </w:rPr>
              <w:fldChar w:fldCharType="end"/>
            </w:r>
          </w:hyperlink>
        </w:p>
        <w:p w14:paraId="3CF9B76E" w14:textId="16ECDD79" w:rsidR="0077772B" w:rsidRPr="00EA1D6D" w:rsidRDefault="00C32263">
          <w:pPr>
            <w:pStyle w:val="Spistreci1"/>
            <w:rPr>
              <w:rFonts w:ascii="Times New Roman" w:hAnsi="Times New Roman"/>
              <w:b w:val="0"/>
              <w:bCs w:val="0"/>
              <w:kern w:val="2"/>
              <w14:ligatures w14:val="standardContextual"/>
            </w:rPr>
          </w:pPr>
          <w:hyperlink w:anchor="_Toc137702487" w:history="1">
            <w:r w:rsidR="0077772B" w:rsidRPr="00EA1D6D">
              <w:rPr>
                <w:rStyle w:val="Hipercze"/>
                <w:rFonts w:ascii="Times New Roman" w:hAnsi="Times New Roman"/>
                <w:b w:val="0"/>
                <w:bCs w:val="0"/>
                <w:lang w:val="en-GB"/>
              </w:rPr>
              <w:t>Summary</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_Toc137702487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53</w:t>
            </w:r>
            <w:r w:rsidR="0077772B" w:rsidRPr="00EA1D6D">
              <w:rPr>
                <w:rFonts w:ascii="Times New Roman" w:hAnsi="Times New Roman"/>
                <w:b w:val="0"/>
                <w:bCs w:val="0"/>
                <w:webHidden/>
              </w:rPr>
              <w:fldChar w:fldCharType="end"/>
            </w:r>
          </w:hyperlink>
        </w:p>
        <w:p w14:paraId="52FEBBBF" w14:textId="49D80818" w:rsidR="0077772B" w:rsidRPr="00EA1D6D" w:rsidRDefault="00C32263">
          <w:pPr>
            <w:pStyle w:val="Spistreci1"/>
            <w:rPr>
              <w:rFonts w:ascii="Times New Roman" w:hAnsi="Times New Roman"/>
              <w:b w:val="0"/>
              <w:bCs w:val="0"/>
              <w:kern w:val="2"/>
              <w14:ligatures w14:val="standardContextual"/>
            </w:rPr>
          </w:pPr>
          <w:hyperlink w:anchor="_Toc137702488" w:history="1">
            <w:r w:rsidR="0077772B" w:rsidRPr="00EA1D6D">
              <w:rPr>
                <w:rStyle w:val="Hipercze"/>
                <w:rFonts w:ascii="Times New Roman" w:hAnsi="Times New Roman"/>
                <w:b w:val="0"/>
                <w:bCs w:val="0"/>
                <w:lang w:val="en-GB"/>
              </w:rPr>
              <w:t>Referencje</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_Toc137702488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55</w:t>
            </w:r>
            <w:r w:rsidR="0077772B" w:rsidRPr="00EA1D6D">
              <w:rPr>
                <w:rFonts w:ascii="Times New Roman" w:hAnsi="Times New Roman"/>
                <w:b w:val="0"/>
                <w:bCs w:val="0"/>
                <w:webHidden/>
              </w:rPr>
              <w:fldChar w:fldCharType="end"/>
            </w:r>
          </w:hyperlink>
        </w:p>
        <w:p w14:paraId="11755E7D" w14:textId="4FD065AA" w:rsidR="0077772B" w:rsidRDefault="00C32263">
          <w:pPr>
            <w:pStyle w:val="Spistreci1"/>
            <w:rPr>
              <w:rFonts w:cstheme="minorBidi"/>
              <w:b w:val="0"/>
              <w:bCs w:val="0"/>
              <w:kern w:val="2"/>
              <w14:ligatures w14:val="standardContextual"/>
            </w:rPr>
          </w:pPr>
          <w:hyperlink w:anchor="_Toc137702489" w:history="1">
            <w:r w:rsidR="0077772B" w:rsidRPr="00EA1D6D">
              <w:rPr>
                <w:rStyle w:val="Hipercze"/>
                <w:rFonts w:ascii="Times New Roman" w:hAnsi="Times New Roman"/>
                <w:b w:val="0"/>
                <w:bCs w:val="0"/>
              </w:rPr>
              <w:t>Publikacje, które wchodzą w skład rozprawy doktorskiej</w:t>
            </w:r>
            <w:r w:rsidR="0077772B" w:rsidRPr="00EA1D6D">
              <w:rPr>
                <w:rFonts w:ascii="Times New Roman" w:hAnsi="Times New Roman"/>
                <w:b w:val="0"/>
                <w:bCs w:val="0"/>
                <w:webHidden/>
              </w:rPr>
              <w:tab/>
            </w:r>
            <w:r w:rsidR="0077772B" w:rsidRPr="00EA1D6D">
              <w:rPr>
                <w:rFonts w:ascii="Times New Roman" w:hAnsi="Times New Roman"/>
                <w:b w:val="0"/>
                <w:bCs w:val="0"/>
                <w:webHidden/>
              </w:rPr>
              <w:fldChar w:fldCharType="begin"/>
            </w:r>
            <w:r w:rsidR="0077772B" w:rsidRPr="00EA1D6D">
              <w:rPr>
                <w:rFonts w:ascii="Times New Roman" w:hAnsi="Times New Roman"/>
                <w:b w:val="0"/>
                <w:bCs w:val="0"/>
                <w:webHidden/>
              </w:rPr>
              <w:instrText xml:space="preserve"> PAGEREF _Toc137702489 \h </w:instrText>
            </w:r>
            <w:r w:rsidR="0077772B" w:rsidRPr="00EA1D6D">
              <w:rPr>
                <w:rFonts w:ascii="Times New Roman" w:hAnsi="Times New Roman"/>
                <w:b w:val="0"/>
                <w:bCs w:val="0"/>
                <w:webHidden/>
              </w:rPr>
            </w:r>
            <w:r w:rsidR="0077772B" w:rsidRPr="00EA1D6D">
              <w:rPr>
                <w:rFonts w:ascii="Times New Roman" w:hAnsi="Times New Roman"/>
                <w:b w:val="0"/>
                <w:bCs w:val="0"/>
                <w:webHidden/>
              </w:rPr>
              <w:fldChar w:fldCharType="separate"/>
            </w:r>
            <w:r>
              <w:rPr>
                <w:rFonts w:ascii="Times New Roman" w:hAnsi="Times New Roman"/>
                <w:b w:val="0"/>
                <w:bCs w:val="0"/>
                <w:webHidden/>
              </w:rPr>
              <w:t>73</w:t>
            </w:r>
            <w:r w:rsidR="0077772B" w:rsidRPr="00EA1D6D">
              <w:rPr>
                <w:rFonts w:ascii="Times New Roman" w:hAnsi="Times New Roman"/>
                <w:b w:val="0"/>
                <w:bCs w:val="0"/>
                <w:webHidden/>
              </w:rPr>
              <w:fldChar w:fldCharType="end"/>
            </w:r>
          </w:hyperlink>
        </w:p>
        <w:p w14:paraId="7FC697EE" w14:textId="0547DAD5" w:rsidR="0077772B" w:rsidRDefault="0077772B">
          <w:r>
            <w:rPr>
              <w:b/>
              <w:bCs/>
            </w:rPr>
            <w:fldChar w:fldCharType="end"/>
          </w:r>
        </w:p>
      </w:sdtContent>
    </w:sdt>
    <w:p w14:paraId="400F4D97" w14:textId="77777777" w:rsidR="00E51819" w:rsidRPr="00E11754" w:rsidRDefault="00E51819" w:rsidP="00574F00">
      <w:pPr>
        <w:spacing w:line="360" w:lineRule="auto"/>
        <w:rPr>
          <w:rFonts w:ascii="Times New Roman" w:hAnsi="Times New Roman" w:cs="Times New Roman"/>
          <w:b/>
          <w:sz w:val="24"/>
          <w:szCs w:val="24"/>
        </w:rPr>
      </w:pPr>
    </w:p>
    <w:p w14:paraId="7D462A6E" w14:textId="77777777" w:rsidR="00F052E6" w:rsidRPr="00E11754" w:rsidRDefault="00F052E6" w:rsidP="00574F00">
      <w:pPr>
        <w:spacing w:line="360" w:lineRule="auto"/>
        <w:rPr>
          <w:rFonts w:ascii="Times New Roman" w:hAnsi="Times New Roman" w:cs="Times New Roman"/>
          <w:b/>
          <w:sz w:val="24"/>
          <w:szCs w:val="24"/>
        </w:rPr>
      </w:pPr>
    </w:p>
    <w:p w14:paraId="51CEDFA9" w14:textId="77777777" w:rsidR="00F052E6" w:rsidRPr="00E11754" w:rsidRDefault="00F052E6" w:rsidP="00574F00">
      <w:pPr>
        <w:spacing w:line="360" w:lineRule="auto"/>
        <w:rPr>
          <w:rFonts w:ascii="Times New Roman" w:hAnsi="Times New Roman" w:cs="Times New Roman"/>
          <w:b/>
          <w:sz w:val="24"/>
          <w:szCs w:val="24"/>
        </w:rPr>
      </w:pPr>
    </w:p>
    <w:p w14:paraId="7A395963" w14:textId="77777777" w:rsidR="00F052E6" w:rsidRPr="00E11754" w:rsidRDefault="00F052E6" w:rsidP="00574F00">
      <w:pPr>
        <w:spacing w:line="360" w:lineRule="auto"/>
        <w:rPr>
          <w:rFonts w:ascii="Times New Roman" w:hAnsi="Times New Roman" w:cs="Times New Roman"/>
          <w:b/>
          <w:sz w:val="24"/>
          <w:szCs w:val="24"/>
        </w:rPr>
      </w:pPr>
    </w:p>
    <w:p w14:paraId="3B6B4D6A" w14:textId="77777777" w:rsidR="00A92501" w:rsidRPr="00E11754" w:rsidRDefault="00A92501" w:rsidP="00574F00">
      <w:pPr>
        <w:spacing w:line="360" w:lineRule="auto"/>
        <w:rPr>
          <w:rFonts w:ascii="Times New Roman" w:hAnsi="Times New Roman" w:cs="Times New Roman"/>
          <w:b/>
          <w:sz w:val="24"/>
          <w:szCs w:val="24"/>
        </w:rPr>
        <w:sectPr w:rsidR="00A92501" w:rsidRPr="00E11754" w:rsidSect="00FF3370">
          <w:footerReference w:type="default" r:id="rId9"/>
          <w:pgSz w:w="11906" w:h="16838"/>
          <w:pgMar w:top="1418" w:right="1134" w:bottom="1418" w:left="1985" w:header="709" w:footer="709" w:gutter="0"/>
          <w:cols w:space="708"/>
          <w:docGrid w:linePitch="360"/>
        </w:sectPr>
      </w:pPr>
    </w:p>
    <w:p w14:paraId="6D6FBDE9" w14:textId="791DA29F" w:rsidR="006C6CAA" w:rsidRPr="00E11754" w:rsidRDefault="7918CE45" w:rsidP="006C6CAA">
      <w:pPr>
        <w:pStyle w:val="Nagwek1"/>
        <w:spacing w:line="360" w:lineRule="auto"/>
        <w:jc w:val="both"/>
        <w:rPr>
          <w:rFonts w:ascii="Times New Roman" w:hAnsi="Times New Roman" w:cs="Times New Roman"/>
          <w:b/>
          <w:bCs/>
          <w:sz w:val="24"/>
          <w:szCs w:val="24"/>
        </w:rPr>
      </w:pPr>
      <w:bookmarkStart w:id="0" w:name="_Toc135306171"/>
      <w:bookmarkStart w:id="1" w:name="_Toc137702464"/>
      <w:r w:rsidRPr="7918CE45">
        <w:rPr>
          <w:rFonts w:ascii="Times New Roman" w:hAnsi="Times New Roman" w:cs="Times New Roman"/>
          <w:b/>
          <w:bCs/>
          <w:sz w:val="24"/>
          <w:szCs w:val="24"/>
        </w:rPr>
        <w:lastRenderedPageBreak/>
        <w:t>Wykaz skrótów:</w:t>
      </w:r>
      <w:bookmarkEnd w:id="0"/>
      <w:bookmarkEnd w:id="1"/>
    </w:p>
    <w:tbl>
      <w:tblPr>
        <w:tblStyle w:val="Zwykatabela4"/>
        <w:tblW w:w="0" w:type="auto"/>
        <w:tblLook w:val="04A0" w:firstRow="1" w:lastRow="0" w:firstColumn="1" w:lastColumn="0" w:noHBand="0" w:noVBand="1"/>
      </w:tblPr>
      <w:tblGrid>
        <w:gridCol w:w="1677"/>
        <w:gridCol w:w="4193"/>
        <w:gridCol w:w="2917"/>
      </w:tblGrid>
      <w:tr w:rsidR="00A6760C" w:rsidRPr="000544E4" w14:paraId="7F9B3431" w14:textId="77777777" w:rsidTr="00054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571D742" w14:textId="77777777" w:rsidR="00A6760C" w:rsidRPr="000544E4" w:rsidRDefault="00A6760C" w:rsidP="000544E4">
            <w:pPr>
              <w:spacing w:line="360" w:lineRule="auto"/>
              <w:jc w:val="center"/>
              <w:rPr>
                <w:rFonts w:ascii="Times New Roman" w:eastAsia="Times New Roman" w:hAnsi="Times New Roman" w:cs="Times New Roman"/>
                <w:b w:val="0"/>
                <w:bCs w:val="0"/>
              </w:rPr>
            </w:pPr>
            <w:r w:rsidRPr="000544E4">
              <w:rPr>
                <w:rFonts w:ascii="Times New Roman" w:eastAsia="Times New Roman" w:hAnsi="Times New Roman" w:cs="Times New Roman"/>
              </w:rPr>
              <w:t>AS</w:t>
            </w:r>
          </w:p>
        </w:tc>
        <w:tc>
          <w:tcPr>
            <w:tcW w:w="4340" w:type="dxa"/>
            <w:vAlign w:val="center"/>
          </w:tcPr>
          <w:p w14:paraId="5B5BE241" w14:textId="77777777" w:rsidR="00A6760C" w:rsidRPr="000544E4" w:rsidRDefault="00A6760C" w:rsidP="000544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proofErr w:type="spellStart"/>
            <w:r w:rsidRPr="000544E4">
              <w:rPr>
                <w:rFonts w:ascii="Times New Roman" w:eastAsia="Times New Roman" w:hAnsi="Times New Roman" w:cs="Times New Roman"/>
                <w:b w:val="0"/>
                <w:bCs w:val="0"/>
              </w:rPr>
              <w:t>n</w:t>
            </w:r>
            <w:r w:rsidRPr="000544E4">
              <w:rPr>
                <w:rFonts w:ascii="Times New Roman" w:eastAsia="Times New Roman" w:hAnsi="Times New Roman" w:cs="Times New Roman"/>
                <w:b w:val="0"/>
                <w:bCs w:val="0"/>
                <w:color w:val="000000" w:themeColor="text1"/>
              </w:rPr>
              <w:t>aczyniakomięsak</w:t>
            </w:r>
            <w:proofErr w:type="spellEnd"/>
          </w:p>
        </w:tc>
        <w:tc>
          <w:tcPr>
            <w:tcW w:w="3021" w:type="dxa"/>
            <w:vAlign w:val="center"/>
          </w:tcPr>
          <w:p w14:paraId="6F03CB4D" w14:textId="77777777" w:rsidR="00A6760C" w:rsidRPr="000544E4" w:rsidRDefault="00A6760C" w:rsidP="000544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proofErr w:type="spellStart"/>
            <w:r w:rsidRPr="000544E4">
              <w:rPr>
                <w:rFonts w:ascii="Times New Roman" w:eastAsia="Times New Roman" w:hAnsi="Times New Roman" w:cs="Times New Roman"/>
                <w:b w:val="0"/>
                <w:bCs w:val="0"/>
                <w:i/>
                <w:iCs/>
              </w:rPr>
              <w:t>Angiosarcoma</w:t>
            </w:r>
            <w:proofErr w:type="spellEnd"/>
          </w:p>
        </w:tc>
      </w:tr>
      <w:tr w:rsidR="00A6760C" w:rsidRPr="000544E4" w14:paraId="6E536096"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02E394F" w14:textId="77777777" w:rsidR="00A6760C" w:rsidRPr="000544E4" w:rsidRDefault="00A6760C" w:rsidP="000544E4">
            <w:pPr>
              <w:spacing w:line="360" w:lineRule="auto"/>
              <w:jc w:val="center"/>
              <w:rPr>
                <w:rFonts w:ascii="Times New Roman" w:eastAsia="Times New Roman" w:hAnsi="Times New Roman" w:cs="Times New Roman"/>
                <w:b w:val="0"/>
                <w:bCs w:val="0"/>
              </w:rPr>
            </w:pPr>
            <w:r w:rsidRPr="000544E4">
              <w:rPr>
                <w:rFonts w:ascii="Times New Roman" w:eastAsia="Times New Roman" w:hAnsi="Times New Roman" w:cs="Times New Roman"/>
              </w:rPr>
              <w:t>DLLME</w:t>
            </w:r>
          </w:p>
        </w:tc>
        <w:tc>
          <w:tcPr>
            <w:tcW w:w="4340" w:type="dxa"/>
            <w:vAlign w:val="center"/>
          </w:tcPr>
          <w:p w14:paraId="085948C5"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0544E4">
              <w:rPr>
                <w:rFonts w:ascii="Times New Roman" w:eastAsia="Times New Roman" w:hAnsi="Times New Roman" w:cs="Times New Roman"/>
              </w:rPr>
              <w:t xml:space="preserve">dyspersyjna </w:t>
            </w:r>
            <w:proofErr w:type="spellStart"/>
            <w:r w:rsidRPr="000544E4">
              <w:rPr>
                <w:rFonts w:ascii="Times New Roman" w:eastAsia="Times New Roman" w:hAnsi="Times New Roman" w:cs="Times New Roman"/>
              </w:rPr>
              <w:t>mikroekstrakcja</w:t>
            </w:r>
            <w:proofErr w:type="spellEnd"/>
            <w:r w:rsidRPr="000544E4">
              <w:rPr>
                <w:rFonts w:ascii="Times New Roman" w:eastAsia="Times New Roman" w:hAnsi="Times New Roman" w:cs="Times New Roman"/>
              </w:rPr>
              <w:t xml:space="preserve"> ciecz-ciecz</w:t>
            </w:r>
          </w:p>
        </w:tc>
        <w:tc>
          <w:tcPr>
            <w:tcW w:w="3021" w:type="dxa"/>
            <w:vAlign w:val="center"/>
          </w:tcPr>
          <w:p w14:paraId="64496277"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roofErr w:type="spellStart"/>
            <w:r w:rsidRPr="000544E4">
              <w:rPr>
                <w:rFonts w:ascii="Times New Roman" w:eastAsia="Times New Roman" w:hAnsi="Times New Roman" w:cs="Times New Roman"/>
                <w:i/>
                <w:iCs/>
              </w:rPr>
              <w:t>Dispersive</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liquid-liquid</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microextraction</w:t>
            </w:r>
            <w:proofErr w:type="spellEnd"/>
          </w:p>
        </w:tc>
      </w:tr>
      <w:tr w:rsidR="00A6760C" w:rsidRPr="000544E4" w14:paraId="5F30A542"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0FAD4498" w14:textId="77777777" w:rsidR="00A6760C" w:rsidRPr="000544E4" w:rsidRDefault="00A6760C" w:rsidP="000544E4">
            <w:pPr>
              <w:spacing w:line="360" w:lineRule="auto"/>
              <w:jc w:val="center"/>
              <w:rPr>
                <w:rFonts w:ascii="Times New Roman" w:eastAsia="Times New Roman" w:hAnsi="Times New Roman" w:cs="Times New Roman"/>
                <w:b w:val="0"/>
                <w:bCs w:val="0"/>
              </w:rPr>
            </w:pPr>
            <w:r w:rsidRPr="000544E4">
              <w:rPr>
                <w:rFonts w:ascii="Times New Roman" w:eastAsia="Times New Roman" w:hAnsi="Times New Roman" w:cs="Times New Roman"/>
              </w:rPr>
              <w:t>ESI</w:t>
            </w:r>
          </w:p>
        </w:tc>
        <w:tc>
          <w:tcPr>
            <w:tcW w:w="4340" w:type="dxa"/>
            <w:vAlign w:val="center"/>
          </w:tcPr>
          <w:p w14:paraId="052D367E"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44E4">
              <w:rPr>
                <w:rFonts w:ascii="Times New Roman" w:eastAsia="Times New Roman" w:hAnsi="Times New Roman" w:cs="Times New Roman"/>
              </w:rPr>
              <w:t xml:space="preserve">jonizacja poprzez </w:t>
            </w:r>
            <w:proofErr w:type="spellStart"/>
            <w:r w:rsidRPr="000544E4">
              <w:rPr>
                <w:rFonts w:ascii="Times New Roman" w:eastAsia="Times New Roman" w:hAnsi="Times New Roman" w:cs="Times New Roman"/>
              </w:rPr>
              <w:t>elektrorozpraszanie</w:t>
            </w:r>
            <w:proofErr w:type="spellEnd"/>
          </w:p>
        </w:tc>
        <w:tc>
          <w:tcPr>
            <w:tcW w:w="3021" w:type="dxa"/>
            <w:vAlign w:val="center"/>
          </w:tcPr>
          <w:p w14:paraId="329026E3"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roofErr w:type="spellStart"/>
            <w:r w:rsidRPr="000544E4">
              <w:rPr>
                <w:rFonts w:ascii="Times New Roman" w:eastAsia="Times New Roman" w:hAnsi="Times New Roman" w:cs="Times New Roman"/>
                <w:i/>
                <w:iCs/>
              </w:rPr>
              <w:t>Electrospray</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Ionisation</w:t>
            </w:r>
            <w:proofErr w:type="spellEnd"/>
          </w:p>
        </w:tc>
      </w:tr>
      <w:tr w:rsidR="00A6760C" w:rsidRPr="000544E4" w14:paraId="7E1547B0"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840CA2A" w14:textId="77777777" w:rsidR="00A6760C" w:rsidRPr="000544E4" w:rsidRDefault="00A6760C" w:rsidP="000544E4">
            <w:pPr>
              <w:spacing w:line="360" w:lineRule="auto"/>
              <w:jc w:val="center"/>
              <w:rPr>
                <w:rFonts w:ascii="Times New Roman" w:eastAsia="Times New Roman" w:hAnsi="Times New Roman" w:cs="Times New Roman"/>
                <w:b w:val="0"/>
                <w:bCs w:val="0"/>
              </w:rPr>
            </w:pPr>
            <w:r w:rsidRPr="000544E4">
              <w:rPr>
                <w:rFonts w:ascii="Times New Roman" w:eastAsia="Times New Roman" w:hAnsi="Times New Roman" w:cs="Times New Roman"/>
                <w:lang w:val="en-GB"/>
              </w:rPr>
              <w:t>FDA</w:t>
            </w:r>
          </w:p>
        </w:tc>
        <w:tc>
          <w:tcPr>
            <w:tcW w:w="4340" w:type="dxa"/>
            <w:vAlign w:val="center"/>
          </w:tcPr>
          <w:p w14:paraId="18988A65"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0544E4">
              <w:rPr>
                <w:rFonts w:ascii="Times New Roman" w:eastAsia="Times New Roman" w:hAnsi="Times New Roman" w:cs="Times New Roman"/>
              </w:rPr>
              <w:t>Agencja Żywności i Leków</w:t>
            </w:r>
          </w:p>
        </w:tc>
        <w:tc>
          <w:tcPr>
            <w:tcW w:w="3021" w:type="dxa"/>
            <w:vAlign w:val="center"/>
          </w:tcPr>
          <w:p w14:paraId="2F021611"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0544E4">
              <w:rPr>
                <w:rFonts w:ascii="Times New Roman" w:eastAsia="Times New Roman" w:hAnsi="Times New Roman" w:cs="Times New Roman"/>
                <w:i/>
                <w:iCs/>
                <w:lang w:val="en-GB"/>
              </w:rPr>
              <w:t>Food and Drug Administration</w:t>
            </w:r>
          </w:p>
        </w:tc>
      </w:tr>
      <w:tr w:rsidR="00A6760C" w:rsidRPr="000544E4" w14:paraId="440A90A2"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116C3003" w14:textId="77777777" w:rsidR="00A6760C" w:rsidRPr="000544E4" w:rsidRDefault="00A6760C" w:rsidP="000544E4">
            <w:pPr>
              <w:spacing w:line="360" w:lineRule="auto"/>
              <w:jc w:val="center"/>
              <w:rPr>
                <w:rFonts w:ascii="Times New Roman" w:eastAsia="Times New Roman" w:hAnsi="Times New Roman" w:cs="Times New Roman"/>
                <w:b w:val="0"/>
                <w:bCs w:val="0"/>
              </w:rPr>
            </w:pPr>
            <w:r w:rsidRPr="000544E4">
              <w:rPr>
                <w:rFonts w:ascii="Times New Roman" w:eastAsia="Times New Roman" w:hAnsi="Times New Roman" w:cs="Times New Roman"/>
                <w:lang w:val="en-GB"/>
              </w:rPr>
              <w:t>FL</w:t>
            </w:r>
          </w:p>
        </w:tc>
        <w:tc>
          <w:tcPr>
            <w:tcW w:w="4340" w:type="dxa"/>
            <w:vAlign w:val="center"/>
          </w:tcPr>
          <w:p w14:paraId="7E7AAD57"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roofErr w:type="spellStart"/>
            <w:r w:rsidRPr="000544E4">
              <w:rPr>
                <w:rFonts w:ascii="Times New Roman" w:eastAsia="Times New Roman" w:hAnsi="Times New Roman" w:cs="Times New Roman"/>
                <w:lang w:val="en-GB"/>
              </w:rPr>
              <w:t>detektor</w:t>
            </w:r>
            <w:proofErr w:type="spellEnd"/>
            <w:r w:rsidRPr="000544E4">
              <w:rPr>
                <w:rFonts w:ascii="Times New Roman" w:eastAsia="Times New Roman" w:hAnsi="Times New Roman" w:cs="Times New Roman"/>
                <w:lang w:val="en-GB"/>
              </w:rPr>
              <w:t xml:space="preserve"> </w:t>
            </w:r>
            <w:proofErr w:type="spellStart"/>
            <w:r w:rsidRPr="000544E4">
              <w:rPr>
                <w:rFonts w:ascii="Times New Roman" w:eastAsia="Times New Roman" w:hAnsi="Times New Roman" w:cs="Times New Roman"/>
                <w:lang w:val="en-GB"/>
              </w:rPr>
              <w:t>fluorescencyjny</w:t>
            </w:r>
            <w:proofErr w:type="spellEnd"/>
          </w:p>
        </w:tc>
        <w:tc>
          <w:tcPr>
            <w:tcW w:w="3021" w:type="dxa"/>
            <w:vAlign w:val="center"/>
          </w:tcPr>
          <w:p w14:paraId="4358E308"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44E4">
              <w:rPr>
                <w:rFonts w:ascii="Times New Roman" w:eastAsia="Times New Roman" w:hAnsi="Times New Roman" w:cs="Times New Roman"/>
                <w:i/>
                <w:iCs/>
                <w:lang w:val="en-GB"/>
              </w:rPr>
              <w:t>Fluorescence</w:t>
            </w:r>
            <w:r w:rsidRPr="000544E4">
              <w:rPr>
                <w:rFonts w:ascii="Times New Roman" w:eastAsia="Times New Roman" w:hAnsi="Times New Roman" w:cs="Times New Roman"/>
                <w:lang w:val="en-GB"/>
              </w:rPr>
              <w:t xml:space="preserve"> </w:t>
            </w:r>
            <w:r w:rsidRPr="000544E4">
              <w:rPr>
                <w:rFonts w:ascii="Times New Roman" w:eastAsia="Times New Roman" w:hAnsi="Times New Roman" w:cs="Times New Roman"/>
                <w:i/>
                <w:iCs/>
                <w:lang w:val="en-GB"/>
              </w:rPr>
              <w:t>detector</w:t>
            </w:r>
          </w:p>
        </w:tc>
      </w:tr>
      <w:tr w:rsidR="00A6760C" w:rsidRPr="000544E4" w14:paraId="1B5C6A1A"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45B71D0" w14:textId="77777777" w:rsidR="00A6760C" w:rsidRPr="000544E4" w:rsidRDefault="00A6760C" w:rsidP="000544E4">
            <w:pPr>
              <w:spacing w:line="360" w:lineRule="auto"/>
              <w:jc w:val="center"/>
              <w:rPr>
                <w:rFonts w:ascii="Times New Roman" w:eastAsia="Times New Roman" w:hAnsi="Times New Roman" w:cs="Times New Roman"/>
                <w:b w:val="0"/>
                <w:bCs w:val="0"/>
              </w:rPr>
            </w:pPr>
            <w:r w:rsidRPr="000544E4" w:rsidDel="00521B8D">
              <w:rPr>
                <w:rFonts w:ascii="Times New Roman" w:eastAsia="Times New Roman" w:hAnsi="Times New Roman" w:cs="Times New Roman"/>
              </w:rPr>
              <w:t>HL</w:t>
            </w:r>
          </w:p>
        </w:tc>
        <w:tc>
          <w:tcPr>
            <w:tcW w:w="4340" w:type="dxa"/>
            <w:vAlign w:val="center"/>
          </w:tcPr>
          <w:p w14:paraId="232A2609"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roofErr w:type="spellStart"/>
            <w:r w:rsidRPr="000544E4" w:rsidDel="00521B8D">
              <w:rPr>
                <w:rFonts w:ascii="Times New Roman" w:eastAsia="Times New Roman" w:hAnsi="Times New Roman" w:cs="Times New Roman"/>
              </w:rPr>
              <w:t>chłoniak</w:t>
            </w:r>
            <w:proofErr w:type="spellEnd"/>
            <w:r w:rsidRPr="000544E4" w:rsidDel="00521B8D">
              <w:rPr>
                <w:rFonts w:ascii="Times New Roman" w:eastAsia="Times New Roman" w:hAnsi="Times New Roman" w:cs="Times New Roman"/>
              </w:rPr>
              <w:t xml:space="preserve"> </w:t>
            </w:r>
            <w:proofErr w:type="spellStart"/>
            <w:r w:rsidRPr="000544E4" w:rsidDel="00521B8D">
              <w:rPr>
                <w:rFonts w:ascii="Times New Roman" w:eastAsia="Times New Roman" w:hAnsi="Times New Roman" w:cs="Times New Roman"/>
              </w:rPr>
              <w:t>Hodgkina</w:t>
            </w:r>
            <w:proofErr w:type="spellEnd"/>
          </w:p>
        </w:tc>
        <w:tc>
          <w:tcPr>
            <w:tcW w:w="3021" w:type="dxa"/>
            <w:vAlign w:val="center"/>
          </w:tcPr>
          <w:p w14:paraId="2301E935"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roofErr w:type="spellStart"/>
            <w:r w:rsidRPr="000544E4" w:rsidDel="00521B8D">
              <w:rPr>
                <w:rFonts w:ascii="Times New Roman" w:eastAsia="Times New Roman" w:hAnsi="Times New Roman" w:cs="Times New Roman"/>
                <w:i/>
                <w:color w:val="000000" w:themeColor="text1"/>
              </w:rPr>
              <w:t>Hodgkin</w:t>
            </w:r>
            <w:proofErr w:type="spellEnd"/>
            <w:r w:rsidRPr="000544E4" w:rsidDel="00521B8D">
              <w:rPr>
                <w:rFonts w:ascii="Times New Roman" w:eastAsia="Times New Roman" w:hAnsi="Times New Roman" w:cs="Times New Roman"/>
                <w:i/>
                <w:color w:val="000000" w:themeColor="text1"/>
              </w:rPr>
              <w:t xml:space="preserve"> </w:t>
            </w:r>
            <w:proofErr w:type="spellStart"/>
            <w:r w:rsidRPr="000544E4" w:rsidDel="00521B8D">
              <w:rPr>
                <w:rFonts w:ascii="Times New Roman" w:eastAsia="Times New Roman" w:hAnsi="Times New Roman" w:cs="Times New Roman"/>
                <w:i/>
                <w:color w:val="000000" w:themeColor="text1"/>
              </w:rPr>
              <w:t>Lymphoma</w:t>
            </w:r>
            <w:proofErr w:type="spellEnd"/>
          </w:p>
        </w:tc>
      </w:tr>
      <w:tr w:rsidR="00A6760C" w:rsidRPr="000544E4" w14:paraId="64A22CC5"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435F24BD" w14:textId="77777777" w:rsidR="00A6760C" w:rsidRPr="000544E4" w:rsidDel="00521B8D" w:rsidRDefault="00A6760C" w:rsidP="000544E4">
            <w:pPr>
              <w:spacing w:line="360" w:lineRule="auto"/>
              <w:jc w:val="center"/>
              <w:rPr>
                <w:rFonts w:ascii="Times New Roman" w:eastAsia="Times New Roman" w:hAnsi="Times New Roman" w:cs="Times New Roman"/>
                <w:b w:val="0"/>
              </w:rPr>
            </w:pPr>
            <w:r w:rsidRPr="000544E4">
              <w:rPr>
                <w:rFonts w:ascii="Times New Roman" w:eastAsia="Times New Roman" w:hAnsi="Times New Roman" w:cs="Times New Roman"/>
              </w:rPr>
              <w:t>HLB</w:t>
            </w:r>
          </w:p>
        </w:tc>
        <w:tc>
          <w:tcPr>
            <w:tcW w:w="4340" w:type="dxa"/>
            <w:vAlign w:val="center"/>
          </w:tcPr>
          <w:p w14:paraId="34113077"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44E4">
              <w:rPr>
                <w:rFonts w:ascii="Times New Roman" w:eastAsia="Times New Roman" w:hAnsi="Times New Roman" w:cs="Times New Roman"/>
              </w:rPr>
              <w:t>złoże hydrofilowo-hydrofobowe</w:t>
            </w:r>
          </w:p>
        </w:tc>
        <w:tc>
          <w:tcPr>
            <w:tcW w:w="3021" w:type="dxa"/>
            <w:vAlign w:val="center"/>
          </w:tcPr>
          <w:p w14:paraId="127D1BDA"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themeColor="text1"/>
              </w:rPr>
            </w:pPr>
            <w:proofErr w:type="spellStart"/>
            <w:r w:rsidRPr="000544E4">
              <w:rPr>
                <w:rFonts w:ascii="Times New Roman" w:eastAsia="Times New Roman" w:hAnsi="Times New Roman" w:cs="Times New Roman"/>
                <w:i/>
                <w:iCs/>
              </w:rPr>
              <w:t>Hydrophilic</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Lipophilic</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Balance</w:t>
            </w:r>
            <w:proofErr w:type="spellEnd"/>
          </w:p>
        </w:tc>
      </w:tr>
      <w:tr w:rsidR="00A6760C" w:rsidRPr="000544E4" w14:paraId="6511B3B1"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C9C72B5" w14:textId="77777777" w:rsidR="00A6760C" w:rsidRPr="000544E4" w:rsidDel="00521B8D" w:rsidRDefault="00A6760C" w:rsidP="000544E4">
            <w:pPr>
              <w:spacing w:line="360" w:lineRule="auto"/>
              <w:jc w:val="center"/>
              <w:rPr>
                <w:rFonts w:ascii="Times New Roman" w:eastAsia="Times New Roman" w:hAnsi="Times New Roman" w:cs="Times New Roman"/>
                <w:b w:val="0"/>
              </w:rPr>
            </w:pPr>
            <w:r w:rsidRPr="000544E4">
              <w:rPr>
                <w:rFonts w:ascii="Times New Roman" w:eastAsia="Times New Roman" w:hAnsi="Times New Roman" w:cs="Times New Roman"/>
              </w:rPr>
              <w:t>HPLC</w:t>
            </w:r>
          </w:p>
        </w:tc>
        <w:tc>
          <w:tcPr>
            <w:tcW w:w="4340" w:type="dxa"/>
            <w:vAlign w:val="center"/>
          </w:tcPr>
          <w:p w14:paraId="58E96E3B" w14:textId="77777777" w:rsidR="00A6760C" w:rsidRPr="000544E4" w:rsidDel="00521B8D"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44E4">
              <w:rPr>
                <w:rFonts w:ascii="Times New Roman" w:eastAsia="Times New Roman" w:hAnsi="Times New Roman" w:cs="Times New Roman"/>
              </w:rPr>
              <w:t>wysokosprawna chromatografia cieczowa</w:t>
            </w:r>
          </w:p>
        </w:tc>
        <w:tc>
          <w:tcPr>
            <w:tcW w:w="3021" w:type="dxa"/>
            <w:vAlign w:val="center"/>
          </w:tcPr>
          <w:p w14:paraId="0E36BD88" w14:textId="77777777" w:rsidR="00A6760C" w:rsidRPr="000544E4" w:rsidDel="00521B8D"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themeColor="text1"/>
              </w:rPr>
            </w:pPr>
            <w:r w:rsidRPr="000544E4">
              <w:rPr>
                <w:rFonts w:ascii="Times New Roman" w:eastAsia="Times New Roman" w:hAnsi="Times New Roman" w:cs="Times New Roman"/>
                <w:i/>
                <w:iCs/>
                <w:color w:val="000000" w:themeColor="text1"/>
              </w:rPr>
              <w:t xml:space="preserve">High-Performance Liquid </w:t>
            </w:r>
            <w:proofErr w:type="spellStart"/>
            <w:r w:rsidRPr="000544E4">
              <w:rPr>
                <w:rFonts w:ascii="Times New Roman" w:eastAsia="Times New Roman" w:hAnsi="Times New Roman" w:cs="Times New Roman"/>
                <w:i/>
                <w:iCs/>
                <w:color w:val="000000" w:themeColor="text1"/>
              </w:rPr>
              <w:t>Chromatography</w:t>
            </w:r>
            <w:proofErr w:type="spellEnd"/>
          </w:p>
        </w:tc>
      </w:tr>
      <w:tr w:rsidR="00A6760C" w:rsidRPr="00C32263" w14:paraId="1F06B7E5"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73276A5C" w14:textId="77777777" w:rsidR="00A6760C" w:rsidRPr="000544E4" w:rsidDel="00521B8D" w:rsidRDefault="00A6760C" w:rsidP="000544E4">
            <w:pPr>
              <w:spacing w:line="360" w:lineRule="auto"/>
              <w:jc w:val="center"/>
              <w:rPr>
                <w:rFonts w:ascii="Times New Roman" w:eastAsia="Times New Roman" w:hAnsi="Times New Roman" w:cs="Times New Roman"/>
                <w:b w:val="0"/>
              </w:rPr>
            </w:pPr>
            <w:r w:rsidRPr="000544E4">
              <w:rPr>
                <w:rFonts w:ascii="Times New Roman" w:eastAsia="Times New Roman" w:hAnsi="Times New Roman" w:cs="Times New Roman"/>
              </w:rPr>
              <w:t>IATDMCT</w:t>
            </w:r>
          </w:p>
        </w:tc>
        <w:tc>
          <w:tcPr>
            <w:tcW w:w="4340" w:type="dxa"/>
            <w:vAlign w:val="center"/>
          </w:tcPr>
          <w:p w14:paraId="4A283C30"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44E4">
              <w:rPr>
                <w:rFonts w:ascii="Times New Roman" w:eastAsia="Times New Roman" w:hAnsi="Times New Roman" w:cs="Times New Roman"/>
              </w:rPr>
              <w:t>Międzynarodowe Stowarzyszenie Monitorowania Leków Terapeutycznych i Toksykologii Klinicznej</w:t>
            </w:r>
          </w:p>
        </w:tc>
        <w:tc>
          <w:tcPr>
            <w:tcW w:w="3021" w:type="dxa"/>
            <w:vAlign w:val="center"/>
          </w:tcPr>
          <w:p w14:paraId="0499E584"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themeColor="text1"/>
                <w:lang w:val="en-GB"/>
              </w:rPr>
            </w:pPr>
            <w:r w:rsidRPr="000544E4">
              <w:rPr>
                <w:rFonts w:ascii="Times New Roman" w:eastAsia="Times New Roman" w:hAnsi="Times New Roman" w:cs="Times New Roman"/>
                <w:i/>
                <w:iCs/>
                <w:lang w:val="en-GB"/>
              </w:rPr>
              <w:t>International Association of Therapeutic Drug Monitoring and Clinical Toxicology</w:t>
            </w:r>
          </w:p>
        </w:tc>
      </w:tr>
      <w:tr w:rsidR="00A6760C" w:rsidRPr="00C32263" w14:paraId="630C5B86"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FC995D8" w14:textId="77777777" w:rsidR="00A6760C" w:rsidRPr="000544E4" w:rsidDel="00521B8D" w:rsidRDefault="00A6760C" w:rsidP="000544E4">
            <w:pPr>
              <w:spacing w:line="360" w:lineRule="auto"/>
              <w:jc w:val="center"/>
              <w:rPr>
                <w:rFonts w:ascii="Times New Roman" w:eastAsia="Times New Roman" w:hAnsi="Times New Roman" w:cs="Times New Roman"/>
                <w:b w:val="0"/>
                <w:lang w:val="en-GB"/>
              </w:rPr>
            </w:pPr>
            <w:r w:rsidRPr="000544E4">
              <w:rPr>
                <w:rFonts w:ascii="Times New Roman" w:eastAsia="Times New Roman" w:hAnsi="Times New Roman" w:cs="Times New Roman"/>
                <w:lang w:val="en-GB"/>
              </w:rPr>
              <w:t>ICH</w:t>
            </w:r>
          </w:p>
        </w:tc>
        <w:tc>
          <w:tcPr>
            <w:tcW w:w="4340" w:type="dxa"/>
            <w:vAlign w:val="center"/>
          </w:tcPr>
          <w:p w14:paraId="53866E83"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544E4">
              <w:rPr>
                <w:rFonts w:ascii="Times New Roman" w:eastAsia="Times New Roman" w:hAnsi="Times New Roman" w:cs="Times New Roman"/>
              </w:rPr>
              <w:t>Międzynarodowa Rada Harmonizacji Wymagań Technicznych dla Rejestracji Produktów Leczniczych Stosowanych u Ludzi</w:t>
            </w:r>
          </w:p>
          <w:p w14:paraId="674A78C5" w14:textId="77777777" w:rsidR="00A6760C" w:rsidRPr="000544E4" w:rsidDel="00521B8D"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3021" w:type="dxa"/>
            <w:vAlign w:val="center"/>
          </w:tcPr>
          <w:p w14:paraId="2F080DF6" w14:textId="77777777" w:rsidR="00A6760C" w:rsidRPr="000544E4" w:rsidDel="00521B8D"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themeColor="text1"/>
                <w:lang w:val="en-GB"/>
              </w:rPr>
            </w:pPr>
            <w:r w:rsidRPr="000544E4">
              <w:rPr>
                <w:rFonts w:ascii="Times New Roman" w:eastAsia="Times New Roman" w:hAnsi="Times New Roman" w:cs="Times New Roman"/>
                <w:i/>
                <w:iCs/>
                <w:lang w:val="en-GB"/>
              </w:rPr>
              <w:t>The International Council for Harmonisation of Technical Requirements for Pharmaceuticals for Human Use</w:t>
            </w:r>
          </w:p>
        </w:tc>
      </w:tr>
      <w:tr w:rsidR="00A6760C" w:rsidRPr="000544E4" w14:paraId="725BEAFE"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6C20169E" w14:textId="77777777" w:rsidR="00A6760C" w:rsidRPr="000544E4" w:rsidDel="00521B8D" w:rsidRDefault="00A6760C" w:rsidP="000544E4">
            <w:pPr>
              <w:spacing w:line="360" w:lineRule="auto"/>
              <w:jc w:val="center"/>
              <w:rPr>
                <w:rFonts w:ascii="Times New Roman" w:eastAsia="Times New Roman" w:hAnsi="Times New Roman" w:cs="Times New Roman"/>
                <w:b w:val="0"/>
                <w:lang w:val="en-GB"/>
              </w:rPr>
            </w:pPr>
            <w:r w:rsidRPr="000544E4">
              <w:rPr>
                <w:rFonts w:ascii="Times New Roman" w:eastAsia="Times New Roman" w:hAnsi="Times New Roman" w:cs="Times New Roman"/>
              </w:rPr>
              <w:t>IS</w:t>
            </w:r>
          </w:p>
        </w:tc>
        <w:tc>
          <w:tcPr>
            <w:tcW w:w="4340" w:type="dxa"/>
            <w:vAlign w:val="center"/>
          </w:tcPr>
          <w:p w14:paraId="26109DAA"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r w:rsidRPr="000544E4">
              <w:rPr>
                <w:rFonts w:ascii="Times New Roman" w:eastAsia="Times New Roman" w:hAnsi="Times New Roman" w:cs="Times New Roman"/>
              </w:rPr>
              <w:t>wzorzec wewnętrzny</w:t>
            </w:r>
          </w:p>
        </w:tc>
        <w:tc>
          <w:tcPr>
            <w:tcW w:w="3021" w:type="dxa"/>
            <w:vAlign w:val="center"/>
          </w:tcPr>
          <w:p w14:paraId="667D5CBF"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themeColor="text1"/>
                <w:lang w:val="en-GB"/>
              </w:rPr>
            </w:pPr>
            <w:proofErr w:type="spellStart"/>
            <w:r w:rsidRPr="000544E4">
              <w:rPr>
                <w:rFonts w:ascii="Times New Roman" w:eastAsia="Times New Roman" w:hAnsi="Times New Roman" w:cs="Times New Roman"/>
                <w:i/>
                <w:iCs/>
              </w:rPr>
              <w:t>Internal</w:t>
            </w:r>
            <w:proofErr w:type="spellEnd"/>
            <w:r w:rsidRPr="000544E4">
              <w:rPr>
                <w:rFonts w:ascii="Times New Roman" w:eastAsia="Times New Roman" w:hAnsi="Times New Roman" w:cs="Times New Roman"/>
                <w:i/>
                <w:iCs/>
              </w:rPr>
              <w:t xml:space="preserve"> Standard</w:t>
            </w:r>
          </w:p>
        </w:tc>
      </w:tr>
      <w:tr w:rsidR="00A6760C" w:rsidRPr="00C32263" w14:paraId="177BFA5B"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B5309C9" w14:textId="77777777" w:rsidR="00A6760C" w:rsidRPr="000544E4" w:rsidDel="00521B8D" w:rsidRDefault="00A6760C" w:rsidP="000544E4">
            <w:pPr>
              <w:spacing w:line="360" w:lineRule="auto"/>
              <w:jc w:val="center"/>
              <w:rPr>
                <w:rFonts w:ascii="Times New Roman" w:eastAsia="Times New Roman" w:hAnsi="Times New Roman" w:cs="Times New Roman"/>
                <w:b w:val="0"/>
                <w:lang w:val="en-GB"/>
              </w:rPr>
            </w:pPr>
            <w:r w:rsidRPr="000544E4">
              <w:rPr>
                <w:rFonts w:ascii="Times New Roman" w:eastAsia="Times New Roman" w:hAnsi="Times New Roman" w:cs="Times New Roman"/>
              </w:rPr>
              <w:t>LC-MS</w:t>
            </w:r>
          </w:p>
        </w:tc>
        <w:tc>
          <w:tcPr>
            <w:tcW w:w="4340" w:type="dxa"/>
            <w:vAlign w:val="center"/>
          </w:tcPr>
          <w:p w14:paraId="4BAB3312" w14:textId="77777777" w:rsidR="00A6760C" w:rsidRPr="000544E4" w:rsidDel="00521B8D"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44E4">
              <w:rPr>
                <w:rFonts w:ascii="Times New Roman" w:eastAsia="Times New Roman" w:hAnsi="Times New Roman" w:cs="Times New Roman"/>
              </w:rPr>
              <w:t>chromatografia cieczowa w połączeniu ze spektrometrią mas</w:t>
            </w:r>
          </w:p>
        </w:tc>
        <w:tc>
          <w:tcPr>
            <w:tcW w:w="3021" w:type="dxa"/>
            <w:vAlign w:val="center"/>
          </w:tcPr>
          <w:p w14:paraId="01D30539" w14:textId="77777777" w:rsidR="00A6760C" w:rsidRPr="000544E4" w:rsidDel="00521B8D"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themeColor="text1"/>
                <w:lang w:val="en-GB"/>
              </w:rPr>
            </w:pPr>
            <w:r w:rsidRPr="000544E4">
              <w:rPr>
                <w:rFonts w:ascii="Times New Roman" w:eastAsia="Times New Roman" w:hAnsi="Times New Roman" w:cs="Times New Roman"/>
                <w:i/>
                <w:iCs/>
                <w:lang w:val="en-GB"/>
              </w:rPr>
              <w:t>Liquid Chromatography with Mass Spectrometry</w:t>
            </w:r>
          </w:p>
        </w:tc>
      </w:tr>
      <w:tr w:rsidR="00A6760C" w:rsidRPr="00C32263" w14:paraId="27DFB8EC"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0A4033B4" w14:textId="77777777" w:rsidR="00A6760C" w:rsidRPr="000544E4" w:rsidDel="00521B8D" w:rsidRDefault="00A6760C" w:rsidP="000544E4">
            <w:pPr>
              <w:spacing w:line="360" w:lineRule="auto"/>
              <w:jc w:val="center"/>
              <w:rPr>
                <w:rFonts w:ascii="Times New Roman" w:eastAsia="Times New Roman" w:hAnsi="Times New Roman" w:cs="Times New Roman"/>
                <w:b w:val="0"/>
                <w:lang w:val="en-GB"/>
              </w:rPr>
            </w:pPr>
            <w:r w:rsidRPr="000544E4">
              <w:rPr>
                <w:rFonts w:ascii="Times New Roman" w:eastAsia="Times New Roman" w:hAnsi="Times New Roman" w:cs="Times New Roman"/>
              </w:rPr>
              <w:t>LC-MS/MS</w:t>
            </w:r>
          </w:p>
        </w:tc>
        <w:tc>
          <w:tcPr>
            <w:tcW w:w="4340" w:type="dxa"/>
            <w:vAlign w:val="center"/>
          </w:tcPr>
          <w:p w14:paraId="5C0C452C"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44E4">
              <w:rPr>
                <w:rFonts w:ascii="Times New Roman" w:eastAsia="Times New Roman" w:hAnsi="Times New Roman" w:cs="Times New Roman"/>
              </w:rPr>
              <w:t>chromatografia cieczowa w połączeniu z tandemową spektrometrią mas</w:t>
            </w:r>
          </w:p>
        </w:tc>
        <w:tc>
          <w:tcPr>
            <w:tcW w:w="3021" w:type="dxa"/>
            <w:vAlign w:val="center"/>
          </w:tcPr>
          <w:p w14:paraId="5DC69F72"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themeColor="text1"/>
                <w:lang w:val="en-GB"/>
              </w:rPr>
            </w:pPr>
            <w:r w:rsidRPr="000544E4">
              <w:rPr>
                <w:rFonts w:ascii="Times New Roman" w:eastAsia="Times New Roman" w:hAnsi="Times New Roman" w:cs="Times New Roman"/>
                <w:i/>
                <w:iCs/>
                <w:lang w:val="en-GB"/>
              </w:rPr>
              <w:t>Liquid Chromatography with Tandem Mass Spectrometry</w:t>
            </w:r>
          </w:p>
        </w:tc>
      </w:tr>
      <w:tr w:rsidR="00A6760C" w:rsidRPr="000544E4" w14:paraId="7D37DC9A"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CC60DC6" w14:textId="77777777" w:rsidR="00A6760C" w:rsidRPr="000544E4" w:rsidDel="00521B8D" w:rsidRDefault="00A6760C" w:rsidP="000544E4">
            <w:pPr>
              <w:spacing w:line="360" w:lineRule="auto"/>
              <w:jc w:val="center"/>
              <w:rPr>
                <w:rFonts w:ascii="Times New Roman" w:eastAsia="Times New Roman" w:hAnsi="Times New Roman" w:cs="Times New Roman"/>
                <w:b w:val="0"/>
                <w:lang w:val="en-GB"/>
              </w:rPr>
            </w:pPr>
            <w:r w:rsidRPr="000544E4">
              <w:rPr>
                <w:rFonts w:ascii="Times New Roman" w:eastAsia="Times New Roman" w:hAnsi="Times New Roman" w:cs="Times New Roman"/>
              </w:rPr>
              <w:t>LLE</w:t>
            </w:r>
          </w:p>
        </w:tc>
        <w:tc>
          <w:tcPr>
            <w:tcW w:w="4340" w:type="dxa"/>
            <w:vAlign w:val="center"/>
          </w:tcPr>
          <w:p w14:paraId="650B4F2D" w14:textId="77777777" w:rsidR="00A6760C" w:rsidRPr="000544E4" w:rsidDel="00521B8D"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GB"/>
              </w:rPr>
            </w:pPr>
            <w:r w:rsidRPr="000544E4">
              <w:rPr>
                <w:rFonts w:ascii="Times New Roman" w:eastAsia="Times New Roman" w:hAnsi="Times New Roman" w:cs="Times New Roman"/>
              </w:rPr>
              <w:t>ekstrakcja ciecz-ciecz</w:t>
            </w:r>
          </w:p>
        </w:tc>
        <w:tc>
          <w:tcPr>
            <w:tcW w:w="3021" w:type="dxa"/>
            <w:vAlign w:val="center"/>
          </w:tcPr>
          <w:p w14:paraId="7DE960EA" w14:textId="77777777" w:rsidR="00A6760C" w:rsidRPr="000544E4" w:rsidDel="00521B8D"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themeColor="text1"/>
                <w:lang w:val="en-GB"/>
              </w:rPr>
            </w:pPr>
            <w:r w:rsidRPr="000544E4">
              <w:rPr>
                <w:rFonts w:ascii="Times New Roman" w:eastAsia="Times New Roman" w:hAnsi="Times New Roman" w:cs="Times New Roman"/>
                <w:i/>
                <w:iCs/>
              </w:rPr>
              <w:t>Liquid-</w:t>
            </w:r>
            <w:proofErr w:type="spellStart"/>
            <w:r w:rsidRPr="000544E4">
              <w:rPr>
                <w:rFonts w:ascii="Times New Roman" w:eastAsia="Times New Roman" w:hAnsi="Times New Roman" w:cs="Times New Roman"/>
                <w:i/>
                <w:iCs/>
              </w:rPr>
              <w:t>liquid</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extraction</w:t>
            </w:r>
            <w:proofErr w:type="spellEnd"/>
          </w:p>
        </w:tc>
      </w:tr>
      <w:tr w:rsidR="00A6760C" w:rsidRPr="000544E4" w14:paraId="7E4C0532"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6316F9DA" w14:textId="77777777" w:rsidR="00A6760C" w:rsidRPr="000544E4" w:rsidDel="00521B8D" w:rsidRDefault="00A6760C" w:rsidP="000544E4">
            <w:pPr>
              <w:spacing w:line="360" w:lineRule="auto"/>
              <w:jc w:val="center"/>
              <w:rPr>
                <w:rFonts w:ascii="Times New Roman" w:eastAsia="Times New Roman" w:hAnsi="Times New Roman" w:cs="Times New Roman"/>
                <w:b w:val="0"/>
                <w:lang w:val="en-GB"/>
              </w:rPr>
            </w:pPr>
            <w:r w:rsidRPr="000544E4">
              <w:rPr>
                <w:rFonts w:ascii="Times New Roman" w:eastAsia="Times New Roman" w:hAnsi="Times New Roman" w:cs="Times New Roman"/>
              </w:rPr>
              <w:t>LOD</w:t>
            </w:r>
          </w:p>
        </w:tc>
        <w:tc>
          <w:tcPr>
            <w:tcW w:w="4340" w:type="dxa"/>
            <w:vAlign w:val="center"/>
          </w:tcPr>
          <w:p w14:paraId="037C0E6B"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proofErr w:type="spellStart"/>
            <w:r w:rsidRPr="000544E4">
              <w:rPr>
                <w:rFonts w:ascii="Times New Roman" w:eastAsia="Times New Roman" w:hAnsi="Times New Roman" w:cs="Times New Roman"/>
                <w:lang w:val="en-GB"/>
              </w:rPr>
              <w:t>granica</w:t>
            </w:r>
            <w:proofErr w:type="spellEnd"/>
            <w:r w:rsidRPr="000544E4">
              <w:rPr>
                <w:rFonts w:ascii="Times New Roman" w:eastAsia="Times New Roman" w:hAnsi="Times New Roman" w:cs="Times New Roman"/>
                <w:lang w:val="en-GB"/>
              </w:rPr>
              <w:t xml:space="preserve"> </w:t>
            </w:r>
            <w:proofErr w:type="spellStart"/>
            <w:r w:rsidRPr="000544E4">
              <w:rPr>
                <w:rFonts w:ascii="Times New Roman" w:eastAsia="Times New Roman" w:hAnsi="Times New Roman" w:cs="Times New Roman"/>
                <w:lang w:val="en-GB"/>
              </w:rPr>
              <w:t>wykrywalności</w:t>
            </w:r>
            <w:proofErr w:type="spellEnd"/>
          </w:p>
        </w:tc>
        <w:tc>
          <w:tcPr>
            <w:tcW w:w="3021" w:type="dxa"/>
            <w:vAlign w:val="center"/>
          </w:tcPr>
          <w:p w14:paraId="4941D9C4"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themeColor="text1"/>
                <w:lang w:val="en-GB"/>
              </w:rPr>
            </w:pPr>
            <w:r w:rsidRPr="000544E4">
              <w:rPr>
                <w:rFonts w:ascii="Times New Roman" w:eastAsia="Times New Roman" w:hAnsi="Times New Roman" w:cs="Times New Roman"/>
                <w:i/>
                <w:iCs/>
                <w:lang w:val="en-GB"/>
              </w:rPr>
              <w:t>Limit of Detection</w:t>
            </w:r>
          </w:p>
        </w:tc>
      </w:tr>
      <w:tr w:rsidR="00A6760C" w:rsidRPr="000544E4" w14:paraId="16CEED24"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5705CEE" w14:textId="77777777" w:rsidR="00A6760C" w:rsidRPr="000544E4" w:rsidDel="00521B8D" w:rsidRDefault="00A6760C" w:rsidP="000544E4">
            <w:pPr>
              <w:spacing w:line="360" w:lineRule="auto"/>
              <w:jc w:val="center"/>
              <w:rPr>
                <w:rFonts w:ascii="Times New Roman" w:eastAsia="Times New Roman" w:hAnsi="Times New Roman" w:cs="Times New Roman"/>
                <w:b w:val="0"/>
                <w:lang w:val="en-GB"/>
              </w:rPr>
            </w:pPr>
            <w:r w:rsidRPr="000544E4">
              <w:rPr>
                <w:rFonts w:ascii="Times New Roman" w:eastAsia="Times New Roman" w:hAnsi="Times New Roman" w:cs="Times New Roman"/>
                <w:lang w:val="en-GB"/>
              </w:rPr>
              <w:t>LOQ</w:t>
            </w:r>
          </w:p>
        </w:tc>
        <w:tc>
          <w:tcPr>
            <w:tcW w:w="4340" w:type="dxa"/>
            <w:vAlign w:val="center"/>
          </w:tcPr>
          <w:p w14:paraId="02A9E36B" w14:textId="77777777" w:rsidR="00A6760C" w:rsidRPr="000544E4" w:rsidDel="00521B8D"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GB"/>
              </w:rPr>
            </w:pPr>
            <w:proofErr w:type="spellStart"/>
            <w:r w:rsidRPr="000544E4">
              <w:rPr>
                <w:rFonts w:ascii="Times New Roman" w:eastAsia="Times New Roman" w:hAnsi="Times New Roman" w:cs="Times New Roman"/>
                <w:lang w:val="en-GB"/>
              </w:rPr>
              <w:t>granica</w:t>
            </w:r>
            <w:proofErr w:type="spellEnd"/>
            <w:r w:rsidRPr="000544E4">
              <w:rPr>
                <w:rFonts w:ascii="Times New Roman" w:eastAsia="Times New Roman" w:hAnsi="Times New Roman" w:cs="Times New Roman"/>
                <w:lang w:val="en-GB"/>
              </w:rPr>
              <w:t xml:space="preserve"> </w:t>
            </w:r>
            <w:proofErr w:type="spellStart"/>
            <w:r w:rsidRPr="000544E4">
              <w:rPr>
                <w:rFonts w:ascii="Times New Roman" w:eastAsia="Times New Roman" w:hAnsi="Times New Roman" w:cs="Times New Roman"/>
                <w:lang w:val="en-GB"/>
              </w:rPr>
              <w:t>oznaczalności</w:t>
            </w:r>
            <w:proofErr w:type="spellEnd"/>
          </w:p>
        </w:tc>
        <w:tc>
          <w:tcPr>
            <w:tcW w:w="3021" w:type="dxa"/>
            <w:vAlign w:val="center"/>
          </w:tcPr>
          <w:p w14:paraId="4A8621E3" w14:textId="77777777" w:rsidR="00A6760C" w:rsidRPr="000544E4" w:rsidDel="00521B8D"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themeColor="text1"/>
                <w:lang w:val="en-GB"/>
              </w:rPr>
            </w:pPr>
            <w:r w:rsidRPr="000544E4">
              <w:rPr>
                <w:rFonts w:ascii="Times New Roman" w:eastAsia="Times New Roman" w:hAnsi="Times New Roman" w:cs="Times New Roman"/>
                <w:i/>
                <w:iCs/>
                <w:lang w:val="en-GB"/>
              </w:rPr>
              <w:t>Limit of Quantification</w:t>
            </w:r>
          </w:p>
        </w:tc>
      </w:tr>
      <w:tr w:rsidR="00A6760C" w:rsidRPr="000544E4" w14:paraId="783E2372"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1B6C493C" w14:textId="77777777" w:rsidR="00A6760C" w:rsidRPr="000544E4" w:rsidDel="00521B8D" w:rsidRDefault="00A6760C" w:rsidP="000544E4">
            <w:pPr>
              <w:spacing w:line="360" w:lineRule="auto"/>
              <w:jc w:val="center"/>
              <w:rPr>
                <w:rFonts w:ascii="Times New Roman" w:eastAsia="Times New Roman" w:hAnsi="Times New Roman" w:cs="Times New Roman"/>
                <w:b w:val="0"/>
                <w:lang w:val="en-GB"/>
              </w:rPr>
            </w:pPr>
            <w:r w:rsidRPr="000544E4">
              <w:rPr>
                <w:rFonts w:ascii="Times New Roman" w:eastAsia="Times New Roman" w:hAnsi="Times New Roman" w:cs="Times New Roman"/>
                <w:lang w:val="en-GB"/>
              </w:rPr>
              <w:t>PBS</w:t>
            </w:r>
          </w:p>
        </w:tc>
        <w:tc>
          <w:tcPr>
            <w:tcW w:w="4340" w:type="dxa"/>
            <w:vAlign w:val="center"/>
          </w:tcPr>
          <w:p w14:paraId="24423D65"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r w:rsidRPr="000544E4">
              <w:rPr>
                <w:rFonts w:ascii="Times New Roman" w:eastAsia="Times New Roman" w:hAnsi="Times New Roman" w:cs="Times New Roman"/>
              </w:rPr>
              <w:t>buforowana fosforanem sól fizjologiczna</w:t>
            </w:r>
          </w:p>
        </w:tc>
        <w:tc>
          <w:tcPr>
            <w:tcW w:w="3021" w:type="dxa"/>
            <w:vAlign w:val="center"/>
          </w:tcPr>
          <w:p w14:paraId="1C3A00D1" w14:textId="77777777" w:rsidR="00A6760C" w:rsidRPr="000544E4" w:rsidDel="00521B8D"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themeColor="text1"/>
                <w:lang w:val="en-GB"/>
              </w:rPr>
            </w:pPr>
            <w:r w:rsidRPr="000544E4">
              <w:rPr>
                <w:rFonts w:ascii="Times New Roman" w:eastAsia="Times New Roman" w:hAnsi="Times New Roman" w:cs="Times New Roman"/>
                <w:i/>
                <w:iCs/>
                <w:lang w:val="en-GB"/>
              </w:rPr>
              <w:t>Phosphate Buffered Saline</w:t>
            </w:r>
          </w:p>
        </w:tc>
      </w:tr>
      <w:tr w:rsidR="00A6760C" w:rsidRPr="000544E4" w14:paraId="17BB04A7"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2E2BE3C" w14:textId="77777777" w:rsidR="00A6760C" w:rsidRPr="000544E4" w:rsidRDefault="00A6760C" w:rsidP="000544E4">
            <w:pPr>
              <w:spacing w:line="360" w:lineRule="auto"/>
              <w:jc w:val="center"/>
              <w:rPr>
                <w:rFonts w:ascii="Times New Roman" w:hAnsi="Times New Roman" w:cs="Times New Roman"/>
                <w:b w:val="0"/>
                <w:bCs w:val="0"/>
                <w:lang w:val="en-GB"/>
              </w:rPr>
            </w:pPr>
            <w:r w:rsidRPr="000544E4">
              <w:rPr>
                <w:rFonts w:ascii="Times New Roman" w:eastAsia="Times New Roman" w:hAnsi="Times New Roman" w:cs="Times New Roman"/>
              </w:rPr>
              <w:t>RMA</w:t>
            </w:r>
          </w:p>
        </w:tc>
        <w:tc>
          <w:tcPr>
            <w:tcW w:w="4340" w:type="dxa"/>
            <w:vAlign w:val="center"/>
          </w:tcPr>
          <w:p w14:paraId="4FA8B3FA"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544E4">
              <w:rPr>
                <w:rFonts w:ascii="Times New Roman" w:eastAsia="Times New Roman" w:hAnsi="Times New Roman" w:cs="Times New Roman"/>
                <w:color w:val="000000" w:themeColor="text1"/>
                <w:lang w:val="en-GB"/>
              </w:rPr>
              <w:t>pęcherzykowaty</w:t>
            </w:r>
            <w:proofErr w:type="spellEnd"/>
            <w:r w:rsidRPr="000544E4">
              <w:rPr>
                <w:rFonts w:ascii="Times New Roman" w:eastAsia="Times New Roman" w:hAnsi="Times New Roman" w:cs="Times New Roman"/>
                <w:color w:val="000000" w:themeColor="text1"/>
                <w:lang w:val="en-GB"/>
              </w:rPr>
              <w:t xml:space="preserve"> </w:t>
            </w:r>
            <w:proofErr w:type="spellStart"/>
            <w:r w:rsidRPr="000544E4">
              <w:rPr>
                <w:rFonts w:ascii="Times New Roman" w:eastAsia="Times New Roman" w:hAnsi="Times New Roman" w:cs="Times New Roman"/>
                <w:color w:val="000000" w:themeColor="text1"/>
                <w:lang w:val="en-GB"/>
              </w:rPr>
              <w:t>mięśniakomięsak</w:t>
            </w:r>
            <w:proofErr w:type="spellEnd"/>
            <w:r w:rsidRPr="000544E4">
              <w:rPr>
                <w:rFonts w:ascii="Times New Roman" w:eastAsia="Times New Roman" w:hAnsi="Times New Roman" w:cs="Times New Roman"/>
                <w:color w:val="000000" w:themeColor="text1"/>
                <w:lang w:val="en-GB"/>
              </w:rPr>
              <w:t xml:space="preserve"> </w:t>
            </w:r>
            <w:proofErr w:type="spellStart"/>
            <w:r w:rsidRPr="000544E4">
              <w:rPr>
                <w:rFonts w:ascii="Times New Roman" w:eastAsia="Times New Roman" w:hAnsi="Times New Roman" w:cs="Times New Roman"/>
                <w:color w:val="000000" w:themeColor="text1"/>
                <w:lang w:val="en-GB"/>
              </w:rPr>
              <w:t>prążkowanokomórkowy</w:t>
            </w:r>
            <w:proofErr w:type="spellEnd"/>
          </w:p>
        </w:tc>
        <w:tc>
          <w:tcPr>
            <w:tcW w:w="3021" w:type="dxa"/>
            <w:vAlign w:val="center"/>
          </w:tcPr>
          <w:p w14:paraId="160D4FCC"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0544E4">
              <w:rPr>
                <w:rFonts w:ascii="Times New Roman" w:eastAsia="Times New Roman" w:hAnsi="Times New Roman" w:cs="Times New Roman"/>
                <w:i/>
                <w:iCs/>
                <w:color w:val="000000" w:themeColor="text1"/>
                <w:lang w:val="en-GB"/>
              </w:rPr>
              <w:t>Metastatic Alveolar Rhabdomyosarcoma</w:t>
            </w:r>
          </w:p>
        </w:tc>
      </w:tr>
      <w:tr w:rsidR="00A6760C" w:rsidRPr="000544E4" w14:paraId="52EACD4F"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7CAE2F57" w14:textId="77777777" w:rsidR="00A6760C" w:rsidRPr="000544E4" w:rsidRDefault="00A6760C" w:rsidP="000544E4">
            <w:pPr>
              <w:spacing w:line="360" w:lineRule="auto"/>
              <w:jc w:val="center"/>
              <w:rPr>
                <w:rFonts w:ascii="Times New Roman" w:hAnsi="Times New Roman" w:cs="Times New Roman"/>
                <w:b w:val="0"/>
                <w:bCs w:val="0"/>
                <w:lang w:val="en-GB"/>
              </w:rPr>
            </w:pPr>
            <w:r w:rsidRPr="000544E4">
              <w:rPr>
                <w:rFonts w:ascii="Times New Roman" w:eastAsia="Times New Roman" w:hAnsi="Times New Roman" w:cs="Times New Roman"/>
                <w:color w:val="000000" w:themeColor="text1"/>
              </w:rPr>
              <w:t>RME</w:t>
            </w:r>
          </w:p>
        </w:tc>
        <w:tc>
          <w:tcPr>
            <w:tcW w:w="4340" w:type="dxa"/>
            <w:vAlign w:val="center"/>
          </w:tcPr>
          <w:p w14:paraId="415B110B"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44E4">
              <w:rPr>
                <w:rFonts w:ascii="Times New Roman" w:eastAsia="Times New Roman" w:hAnsi="Times New Roman" w:cs="Times New Roman"/>
              </w:rPr>
              <w:t xml:space="preserve">zarodkowy </w:t>
            </w:r>
            <w:proofErr w:type="spellStart"/>
            <w:r w:rsidRPr="000544E4">
              <w:rPr>
                <w:rFonts w:ascii="Times New Roman" w:eastAsia="Times New Roman" w:hAnsi="Times New Roman" w:cs="Times New Roman"/>
              </w:rPr>
              <w:t>mięśniakomięsak</w:t>
            </w:r>
            <w:proofErr w:type="spellEnd"/>
            <w:r w:rsidRPr="000544E4">
              <w:rPr>
                <w:rFonts w:ascii="Times New Roman" w:eastAsia="Times New Roman" w:hAnsi="Times New Roman" w:cs="Times New Roman"/>
              </w:rPr>
              <w:t xml:space="preserve"> </w:t>
            </w:r>
            <w:proofErr w:type="spellStart"/>
            <w:r w:rsidRPr="000544E4">
              <w:rPr>
                <w:rFonts w:ascii="Times New Roman" w:eastAsia="Times New Roman" w:hAnsi="Times New Roman" w:cs="Times New Roman"/>
              </w:rPr>
              <w:t>prążkowanokomórkowy</w:t>
            </w:r>
            <w:proofErr w:type="spellEnd"/>
          </w:p>
        </w:tc>
        <w:tc>
          <w:tcPr>
            <w:tcW w:w="3021" w:type="dxa"/>
            <w:vAlign w:val="center"/>
          </w:tcPr>
          <w:p w14:paraId="5DA9B753"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0544E4">
              <w:rPr>
                <w:rFonts w:ascii="Times New Roman" w:eastAsia="Times New Roman" w:hAnsi="Times New Roman" w:cs="Times New Roman"/>
                <w:i/>
                <w:iCs/>
                <w:color w:val="000000" w:themeColor="text1"/>
              </w:rPr>
              <w:t>Metastatic</w:t>
            </w:r>
            <w:proofErr w:type="spellEnd"/>
            <w:r w:rsidRPr="000544E4">
              <w:rPr>
                <w:rFonts w:ascii="Times New Roman" w:eastAsia="Times New Roman" w:hAnsi="Times New Roman" w:cs="Times New Roman"/>
                <w:color w:val="000000" w:themeColor="text1"/>
              </w:rPr>
              <w:t xml:space="preserve"> </w:t>
            </w:r>
            <w:proofErr w:type="spellStart"/>
            <w:r w:rsidRPr="000544E4">
              <w:rPr>
                <w:rFonts w:ascii="Times New Roman" w:eastAsia="Times New Roman" w:hAnsi="Times New Roman" w:cs="Times New Roman"/>
                <w:i/>
                <w:iCs/>
                <w:color w:val="000000" w:themeColor="text1"/>
              </w:rPr>
              <w:t>Embryonale</w:t>
            </w:r>
            <w:proofErr w:type="spellEnd"/>
            <w:r w:rsidRPr="000544E4">
              <w:rPr>
                <w:rFonts w:ascii="Times New Roman" w:eastAsia="Times New Roman" w:hAnsi="Times New Roman" w:cs="Times New Roman"/>
                <w:color w:val="000000" w:themeColor="text1"/>
              </w:rPr>
              <w:t xml:space="preserve"> </w:t>
            </w:r>
            <w:proofErr w:type="spellStart"/>
            <w:r w:rsidRPr="000544E4">
              <w:rPr>
                <w:rFonts w:ascii="Times New Roman" w:eastAsia="Times New Roman" w:hAnsi="Times New Roman" w:cs="Times New Roman"/>
                <w:i/>
                <w:iCs/>
                <w:color w:val="000000" w:themeColor="text1"/>
              </w:rPr>
              <w:t>Rhabdomyosarcoma</w:t>
            </w:r>
            <w:proofErr w:type="spellEnd"/>
          </w:p>
        </w:tc>
      </w:tr>
      <w:tr w:rsidR="00A6760C" w:rsidRPr="000544E4" w14:paraId="15BEB607"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4D32798" w14:textId="77777777" w:rsidR="00A6760C" w:rsidRPr="000544E4" w:rsidRDefault="00A6760C" w:rsidP="000544E4">
            <w:pPr>
              <w:spacing w:line="360" w:lineRule="auto"/>
              <w:jc w:val="center"/>
              <w:rPr>
                <w:rFonts w:ascii="Times New Roman" w:hAnsi="Times New Roman" w:cs="Times New Roman"/>
                <w:b w:val="0"/>
                <w:bCs w:val="0"/>
                <w:lang w:val="en-GB"/>
              </w:rPr>
            </w:pPr>
            <w:r w:rsidRPr="000544E4">
              <w:rPr>
                <w:rFonts w:ascii="Times New Roman" w:eastAsia="Times New Roman" w:hAnsi="Times New Roman" w:cs="Times New Roman"/>
              </w:rPr>
              <w:t>RMS</w:t>
            </w:r>
          </w:p>
        </w:tc>
        <w:tc>
          <w:tcPr>
            <w:tcW w:w="4340" w:type="dxa"/>
            <w:vAlign w:val="center"/>
          </w:tcPr>
          <w:p w14:paraId="03A2A82C"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544E4">
              <w:rPr>
                <w:rFonts w:ascii="Times New Roman" w:eastAsia="Times New Roman" w:hAnsi="Times New Roman" w:cs="Times New Roman"/>
                <w:color w:val="000000" w:themeColor="text1"/>
              </w:rPr>
              <w:t>mięśniakomięsak</w:t>
            </w:r>
            <w:proofErr w:type="spellEnd"/>
            <w:r w:rsidRPr="000544E4">
              <w:rPr>
                <w:rFonts w:ascii="Times New Roman" w:eastAsia="Times New Roman" w:hAnsi="Times New Roman" w:cs="Times New Roman"/>
                <w:color w:val="000000" w:themeColor="text1"/>
              </w:rPr>
              <w:t xml:space="preserve"> </w:t>
            </w:r>
            <w:proofErr w:type="spellStart"/>
            <w:r w:rsidRPr="000544E4">
              <w:rPr>
                <w:rFonts w:ascii="Times New Roman" w:eastAsia="Times New Roman" w:hAnsi="Times New Roman" w:cs="Times New Roman"/>
                <w:color w:val="000000" w:themeColor="text1"/>
              </w:rPr>
              <w:t>prążkowanokomórkowy</w:t>
            </w:r>
            <w:proofErr w:type="spellEnd"/>
          </w:p>
        </w:tc>
        <w:tc>
          <w:tcPr>
            <w:tcW w:w="3021" w:type="dxa"/>
            <w:vAlign w:val="center"/>
          </w:tcPr>
          <w:p w14:paraId="121A4B12"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0544E4">
              <w:rPr>
                <w:rFonts w:ascii="Times New Roman" w:eastAsia="Times New Roman" w:hAnsi="Times New Roman" w:cs="Times New Roman"/>
                <w:i/>
                <w:iCs/>
                <w:color w:val="000000" w:themeColor="text1"/>
              </w:rPr>
              <w:t>Rhabdomyosarcoma</w:t>
            </w:r>
            <w:proofErr w:type="spellEnd"/>
          </w:p>
        </w:tc>
      </w:tr>
      <w:tr w:rsidR="00A6760C" w:rsidRPr="00C32263" w14:paraId="787C9BB9"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5059DEC4" w14:textId="77777777" w:rsidR="00A6760C" w:rsidRPr="000544E4" w:rsidRDefault="00A6760C" w:rsidP="000544E4">
            <w:pPr>
              <w:spacing w:line="360" w:lineRule="auto"/>
              <w:jc w:val="center"/>
              <w:rPr>
                <w:rFonts w:ascii="Times New Roman" w:hAnsi="Times New Roman" w:cs="Times New Roman"/>
                <w:b w:val="0"/>
                <w:bCs w:val="0"/>
                <w:lang w:val="en-GB"/>
              </w:rPr>
            </w:pPr>
            <w:r w:rsidRPr="000544E4">
              <w:rPr>
                <w:rFonts w:ascii="Times New Roman" w:eastAsia="Times New Roman" w:hAnsi="Times New Roman" w:cs="Times New Roman"/>
              </w:rPr>
              <w:lastRenderedPageBreak/>
              <w:t>RP-HPLC</w:t>
            </w:r>
          </w:p>
        </w:tc>
        <w:tc>
          <w:tcPr>
            <w:tcW w:w="4340" w:type="dxa"/>
            <w:vAlign w:val="center"/>
          </w:tcPr>
          <w:p w14:paraId="22C3F632"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544E4">
              <w:rPr>
                <w:rFonts w:ascii="Times New Roman" w:eastAsia="Times New Roman" w:hAnsi="Times New Roman" w:cs="Times New Roman"/>
              </w:rPr>
              <w:t>wysokosprawna chromatografia cieczowa w odwróconym układzie faz</w:t>
            </w:r>
          </w:p>
        </w:tc>
        <w:tc>
          <w:tcPr>
            <w:tcW w:w="3021" w:type="dxa"/>
            <w:vAlign w:val="center"/>
          </w:tcPr>
          <w:p w14:paraId="52C8B2B5"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en-GB"/>
              </w:rPr>
            </w:pPr>
            <w:r w:rsidRPr="000544E4">
              <w:rPr>
                <w:rFonts w:ascii="Times New Roman" w:eastAsia="Times New Roman" w:hAnsi="Times New Roman" w:cs="Times New Roman"/>
                <w:i/>
                <w:iCs/>
                <w:lang w:val="en-GB"/>
              </w:rPr>
              <w:t>Reversed Phase</w:t>
            </w:r>
            <w:r w:rsidRPr="000544E4">
              <w:rPr>
                <w:rFonts w:ascii="Times New Roman" w:eastAsia="Times New Roman" w:hAnsi="Times New Roman" w:cs="Times New Roman"/>
                <w:lang w:val="en-GB"/>
              </w:rPr>
              <w:t xml:space="preserve"> </w:t>
            </w:r>
            <w:r w:rsidRPr="000544E4">
              <w:rPr>
                <w:rFonts w:ascii="Times New Roman" w:eastAsia="Times New Roman" w:hAnsi="Times New Roman" w:cs="Times New Roman"/>
                <w:i/>
                <w:iCs/>
                <w:lang w:val="en-GB"/>
              </w:rPr>
              <w:t>H</w:t>
            </w:r>
            <w:r w:rsidRPr="000544E4">
              <w:rPr>
                <w:rFonts w:ascii="Times New Roman" w:eastAsia="Times New Roman" w:hAnsi="Times New Roman" w:cs="Times New Roman"/>
                <w:i/>
                <w:iCs/>
                <w:color w:val="000000" w:themeColor="text1"/>
                <w:lang w:val="en-GB"/>
              </w:rPr>
              <w:t>igh-Performance Liquid Chromatography</w:t>
            </w:r>
          </w:p>
        </w:tc>
      </w:tr>
      <w:tr w:rsidR="00A6760C" w:rsidRPr="000544E4" w14:paraId="593619F0"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F6EFD78" w14:textId="77777777" w:rsidR="00A6760C" w:rsidRPr="000544E4" w:rsidRDefault="00A6760C" w:rsidP="000544E4">
            <w:pPr>
              <w:spacing w:line="360" w:lineRule="auto"/>
              <w:jc w:val="center"/>
              <w:rPr>
                <w:rFonts w:ascii="Times New Roman" w:hAnsi="Times New Roman" w:cs="Times New Roman"/>
                <w:b w:val="0"/>
                <w:bCs w:val="0"/>
                <w:lang w:val="en-GB"/>
              </w:rPr>
            </w:pPr>
            <w:r w:rsidRPr="000544E4">
              <w:rPr>
                <w:rFonts w:ascii="Times New Roman" w:eastAsia="Times New Roman" w:hAnsi="Times New Roman" w:cs="Times New Roman"/>
              </w:rPr>
              <w:t>RSD</w:t>
            </w:r>
          </w:p>
        </w:tc>
        <w:tc>
          <w:tcPr>
            <w:tcW w:w="4340" w:type="dxa"/>
            <w:vAlign w:val="center"/>
          </w:tcPr>
          <w:p w14:paraId="3FFEC8C6"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0544E4">
              <w:rPr>
                <w:rFonts w:ascii="Times New Roman" w:eastAsia="Times New Roman" w:hAnsi="Times New Roman" w:cs="Times New Roman"/>
                <w:color w:val="000000" w:themeColor="text1"/>
              </w:rPr>
              <w:t>względne odchylenie standardowe</w:t>
            </w:r>
          </w:p>
        </w:tc>
        <w:tc>
          <w:tcPr>
            <w:tcW w:w="3021" w:type="dxa"/>
            <w:vAlign w:val="center"/>
          </w:tcPr>
          <w:p w14:paraId="2C692827"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GB"/>
              </w:rPr>
            </w:pPr>
            <w:proofErr w:type="spellStart"/>
            <w:r w:rsidRPr="000544E4">
              <w:rPr>
                <w:rFonts w:ascii="Times New Roman" w:eastAsia="Times New Roman" w:hAnsi="Times New Roman" w:cs="Times New Roman"/>
                <w:i/>
                <w:iCs/>
              </w:rPr>
              <w:t>Relative</w:t>
            </w:r>
            <w:proofErr w:type="spellEnd"/>
            <w:r w:rsidRPr="000544E4">
              <w:rPr>
                <w:rFonts w:ascii="Times New Roman" w:eastAsia="Times New Roman" w:hAnsi="Times New Roman" w:cs="Times New Roman"/>
                <w:i/>
                <w:iCs/>
              </w:rPr>
              <w:t xml:space="preserve"> Standard </w:t>
            </w:r>
            <w:proofErr w:type="spellStart"/>
            <w:r w:rsidRPr="000544E4">
              <w:rPr>
                <w:rFonts w:ascii="Times New Roman" w:eastAsia="Times New Roman" w:hAnsi="Times New Roman" w:cs="Times New Roman"/>
                <w:i/>
                <w:iCs/>
              </w:rPr>
              <w:t>Deviation</w:t>
            </w:r>
            <w:proofErr w:type="spellEnd"/>
          </w:p>
        </w:tc>
      </w:tr>
      <w:tr w:rsidR="00A6760C" w:rsidRPr="000544E4" w14:paraId="23486667"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0B8DE7C1" w14:textId="77777777" w:rsidR="00A6760C" w:rsidRPr="000544E4" w:rsidRDefault="00A6760C" w:rsidP="000544E4">
            <w:pPr>
              <w:spacing w:line="360" w:lineRule="auto"/>
              <w:jc w:val="center"/>
              <w:rPr>
                <w:rFonts w:ascii="Times New Roman" w:hAnsi="Times New Roman" w:cs="Times New Roman"/>
                <w:b w:val="0"/>
                <w:bCs w:val="0"/>
                <w:lang w:val="en-GB"/>
              </w:rPr>
            </w:pPr>
            <w:r w:rsidRPr="000544E4">
              <w:rPr>
                <w:rFonts w:ascii="Times New Roman" w:eastAsia="Times New Roman" w:hAnsi="Times New Roman" w:cs="Times New Roman"/>
              </w:rPr>
              <w:t>SPE</w:t>
            </w:r>
          </w:p>
        </w:tc>
        <w:tc>
          <w:tcPr>
            <w:tcW w:w="4340" w:type="dxa"/>
            <w:vAlign w:val="center"/>
          </w:tcPr>
          <w:p w14:paraId="5E00893D"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0544E4">
              <w:rPr>
                <w:rFonts w:ascii="Times New Roman" w:eastAsia="Times New Roman" w:hAnsi="Times New Roman" w:cs="Times New Roman"/>
              </w:rPr>
              <w:t>ekstrakcja do fazy stałej</w:t>
            </w:r>
          </w:p>
        </w:tc>
        <w:tc>
          <w:tcPr>
            <w:tcW w:w="3021" w:type="dxa"/>
            <w:vAlign w:val="center"/>
          </w:tcPr>
          <w:p w14:paraId="559DD6DB"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en-GB"/>
              </w:rPr>
            </w:pPr>
            <w:r w:rsidRPr="000544E4">
              <w:rPr>
                <w:rFonts w:ascii="Times New Roman" w:eastAsia="Times New Roman" w:hAnsi="Times New Roman" w:cs="Times New Roman"/>
                <w:i/>
                <w:iCs/>
              </w:rPr>
              <w:t xml:space="preserve">Solid </w:t>
            </w:r>
            <w:proofErr w:type="spellStart"/>
            <w:r w:rsidRPr="000544E4">
              <w:rPr>
                <w:rFonts w:ascii="Times New Roman" w:eastAsia="Times New Roman" w:hAnsi="Times New Roman" w:cs="Times New Roman"/>
                <w:i/>
                <w:iCs/>
              </w:rPr>
              <w:t>phase</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extraction</w:t>
            </w:r>
            <w:proofErr w:type="spellEnd"/>
          </w:p>
        </w:tc>
      </w:tr>
      <w:tr w:rsidR="00A6760C" w:rsidRPr="000544E4" w14:paraId="7778BE35"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B8D44E7" w14:textId="77777777" w:rsidR="00A6760C" w:rsidRPr="000544E4" w:rsidRDefault="00A6760C" w:rsidP="000544E4">
            <w:pPr>
              <w:spacing w:line="360" w:lineRule="auto"/>
              <w:jc w:val="center"/>
              <w:rPr>
                <w:rFonts w:ascii="Times New Roman" w:hAnsi="Times New Roman" w:cs="Times New Roman"/>
                <w:b w:val="0"/>
                <w:bCs w:val="0"/>
                <w:lang w:val="en-GB"/>
              </w:rPr>
            </w:pPr>
            <w:r w:rsidRPr="000544E4">
              <w:rPr>
                <w:rFonts w:ascii="Times New Roman" w:eastAsia="Times New Roman" w:hAnsi="Times New Roman" w:cs="Times New Roman"/>
              </w:rPr>
              <w:t>SPME</w:t>
            </w:r>
          </w:p>
        </w:tc>
        <w:tc>
          <w:tcPr>
            <w:tcW w:w="4340" w:type="dxa"/>
            <w:vAlign w:val="center"/>
          </w:tcPr>
          <w:p w14:paraId="65991055"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roofErr w:type="spellStart"/>
            <w:r w:rsidRPr="000544E4">
              <w:rPr>
                <w:rFonts w:ascii="Times New Roman" w:eastAsia="Times New Roman" w:hAnsi="Times New Roman" w:cs="Times New Roman"/>
              </w:rPr>
              <w:t>mikroekstrakcja</w:t>
            </w:r>
            <w:proofErr w:type="spellEnd"/>
            <w:r w:rsidRPr="000544E4">
              <w:rPr>
                <w:rFonts w:ascii="Times New Roman" w:eastAsia="Times New Roman" w:hAnsi="Times New Roman" w:cs="Times New Roman"/>
              </w:rPr>
              <w:t xml:space="preserve"> do fazy stałej</w:t>
            </w:r>
          </w:p>
        </w:tc>
        <w:tc>
          <w:tcPr>
            <w:tcW w:w="3021" w:type="dxa"/>
            <w:vAlign w:val="center"/>
          </w:tcPr>
          <w:p w14:paraId="3C14727B"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GB"/>
              </w:rPr>
            </w:pPr>
            <w:r w:rsidRPr="000544E4">
              <w:rPr>
                <w:rFonts w:ascii="Times New Roman" w:eastAsia="Times New Roman" w:hAnsi="Times New Roman" w:cs="Times New Roman"/>
                <w:i/>
                <w:iCs/>
              </w:rPr>
              <w:t xml:space="preserve">Solid </w:t>
            </w:r>
            <w:proofErr w:type="spellStart"/>
            <w:r w:rsidRPr="000544E4">
              <w:rPr>
                <w:rFonts w:ascii="Times New Roman" w:eastAsia="Times New Roman" w:hAnsi="Times New Roman" w:cs="Times New Roman"/>
                <w:i/>
                <w:iCs/>
              </w:rPr>
              <w:t>phase</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microextraction</w:t>
            </w:r>
            <w:proofErr w:type="spellEnd"/>
          </w:p>
        </w:tc>
      </w:tr>
      <w:tr w:rsidR="00A6760C" w:rsidRPr="000544E4" w14:paraId="0B7772C4"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6E25FC2D" w14:textId="77777777" w:rsidR="00A6760C" w:rsidRPr="000544E4" w:rsidRDefault="00A6760C" w:rsidP="000544E4">
            <w:pPr>
              <w:spacing w:line="360" w:lineRule="auto"/>
              <w:jc w:val="center"/>
              <w:rPr>
                <w:rFonts w:ascii="Times New Roman" w:hAnsi="Times New Roman" w:cs="Times New Roman"/>
                <w:b w:val="0"/>
                <w:bCs w:val="0"/>
                <w:lang w:val="en-GB"/>
              </w:rPr>
            </w:pPr>
            <w:r w:rsidRPr="000544E4">
              <w:rPr>
                <w:rFonts w:ascii="Times New Roman" w:eastAsia="Times New Roman" w:hAnsi="Times New Roman" w:cs="Times New Roman"/>
                <w:color w:val="000000" w:themeColor="text1"/>
              </w:rPr>
              <w:t>STS</w:t>
            </w:r>
          </w:p>
        </w:tc>
        <w:tc>
          <w:tcPr>
            <w:tcW w:w="4340" w:type="dxa"/>
            <w:vAlign w:val="center"/>
          </w:tcPr>
          <w:p w14:paraId="42482D2E"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0544E4">
              <w:rPr>
                <w:rFonts w:ascii="Times New Roman" w:eastAsia="Times New Roman" w:hAnsi="Times New Roman" w:cs="Times New Roman"/>
                <w:color w:val="000000" w:themeColor="text1"/>
              </w:rPr>
              <w:t>mięsak tkanek miękkich (MTM)</w:t>
            </w:r>
          </w:p>
        </w:tc>
        <w:tc>
          <w:tcPr>
            <w:tcW w:w="3021" w:type="dxa"/>
            <w:vAlign w:val="center"/>
          </w:tcPr>
          <w:p w14:paraId="4404E950" w14:textId="0A688A9D"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roofErr w:type="spellStart"/>
            <w:r w:rsidRPr="000544E4">
              <w:rPr>
                <w:rFonts w:ascii="Times New Roman" w:eastAsia="Times New Roman" w:hAnsi="Times New Roman" w:cs="Times New Roman"/>
                <w:i/>
                <w:iCs/>
                <w:color w:val="000000" w:themeColor="text1"/>
              </w:rPr>
              <w:t>Soft</w:t>
            </w:r>
            <w:proofErr w:type="spellEnd"/>
            <w:r w:rsidRPr="000544E4">
              <w:rPr>
                <w:rFonts w:ascii="Times New Roman" w:eastAsia="Times New Roman" w:hAnsi="Times New Roman" w:cs="Times New Roman"/>
                <w:i/>
                <w:iCs/>
                <w:color w:val="000000" w:themeColor="text1"/>
              </w:rPr>
              <w:t xml:space="preserve"> </w:t>
            </w:r>
            <w:proofErr w:type="spellStart"/>
            <w:r w:rsidRPr="000544E4">
              <w:rPr>
                <w:rFonts w:ascii="Times New Roman" w:eastAsia="Times New Roman" w:hAnsi="Times New Roman" w:cs="Times New Roman"/>
                <w:i/>
                <w:iCs/>
                <w:color w:val="000000" w:themeColor="text1"/>
              </w:rPr>
              <w:t>Tissue</w:t>
            </w:r>
            <w:proofErr w:type="spellEnd"/>
            <w:r w:rsidRPr="000544E4">
              <w:rPr>
                <w:rFonts w:ascii="Times New Roman" w:eastAsia="Times New Roman" w:hAnsi="Times New Roman" w:cs="Times New Roman"/>
                <w:i/>
                <w:iCs/>
                <w:color w:val="000000" w:themeColor="text1"/>
              </w:rPr>
              <w:t xml:space="preserve"> </w:t>
            </w:r>
            <w:proofErr w:type="spellStart"/>
            <w:r w:rsidRPr="000544E4">
              <w:rPr>
                <w:rFonts w:ascii="Times New Roman" w:eastAsia="Times New Roman" w:hAnsi="Times New Roman" w:cs="Times New Roman"/>
                <w:i/>
                <w:iCs/>
                <w:color w:val="000000" w:themeColor="text1"/>
              </w:rPr>
              <w:t>Sarcoma</w:t>
            </w:r>
            <w:proofErr w:type="spellEnd"/>
            <w:r w:rsidRPr="000544E4">
              <w:rPr>
                <w:rFonts w:ascii="Times New Roman" w:eastAsia="Times New Roman" w:hAnsi="Times New Roman" w:cs="Times New Roman"/>
                <w:i/>
                <w:iCs/>
                <w:color w:val="000000" w:themeColor="text1"/>
              </w:rPr>
              <w:t>,</w:t>
            </w:r>
          </w:p>
        </w:tc>
      </w:tr>
      <w:tr w:rsidR="00A6760C" w:rsidRPr="000544E4" w14:paraId="7F73CFCE"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07A6E5F" w14:textId="77777777" w:rsidR="00A6760C" w:rsidRPr="000544E4" w:rsidRDefault="00A6760C" w:rsidP="000544E4">
            <w:pPr>
              <w:spacing w:line="360" w:lineRule="auto"/>
              <w:jc w:val="center"/>
              <w:rPr>
                <w:rFonts w:ascii="Times New Roman" w:hAnsi="Times New Roman" w:cs="Times New Roman"/>
                <w:b w:val="0"/>
                <w:bCs w:val="0"/>
                <w:lang w:val="en-GB"/>
              </w:rPr>
            </w:pPr>
            <w:r w:rsidRPr="000544E4">
              <w:rPr>
                <w:rFonts w:ascii="Times New Roman" w:eastAsia="Times New Roman" w:hAnsi="Times New Roman" w:cs="Times New Roman"/>
                <w:lang w:val="en-GB"/>
              </w:rPr>
              <w:t>TCA</w:t>
            </w:r>
          </w:p>
        </w:tc>
        <w:tc>
          <w:tcPr>
            <w:tcW w:w="4340" w:type="dxa"/>
            <w:vAlign w:val="center"/>
          </w:tcPr>
          <w:p w14:paraId="73E8E995"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roofErr w:type="spellStart"/>
            <w:r w:rsidRPr="000544E4">
              <w:rPr>
                <w:rFonts w:ascii="Times New Roman" w:eastAsia="Times New Roman" w:hAnsi="Times New Roman" w:cs="Times New Roman"/>
                <w:lang w:val="en-GB"/>
              </w:rPr>
              <w:t>kwas</w:t>
            </w:r>
            <w:proofErr w:type="spellEnd"/>
            <w:r w:rsidRPr="000544E4">
              <w:rPr>
                <w:rFonts w:ascii="Times New Roman" w:eastAsia="Times New Roman" w:hAnsi="Times New Roman" w:cs="Times New Roman"/>
                <w:lang w:val="en-GB"/>
              </w:rPr>
              <w:t xml:space="preserve"> </w:t>
            </w:r>
            <w:proofErr w:type="spellStart"/>
            <w:r w:rsidRPr="000544E4">
              <w:rPr>
                <w:rFonts w:ascii="Times New Roman" w:eastAsia="Times New Roman" w:hAnsi="Times New Roman" w:cs="Times New Roman"/>
                <w:lang w:val="en-GB"/>
              </w:rPr>
              <w:t>trichloroctowy</w:t>
            </w:r>
            <w:proofErr w:type="spellEnd"/>
          </w:p>
        </w:tc>
        <w:tc>
          <w:tcPr>
            <w:tcW w:w="3021" w:type="dxa"/>
            <w:vAlign w:val="center"/>
          </w:tcPr>
          <w:p w14:paraId="4955E660"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GB"/>
              </w:rPr>
            </w:pPr>
            <w:r w:rsidRPr="000544E4">
              <w:rPr>
                <w:rFonts w:ascii="Times New Roman" w:eastAsia="Times New Roman" w:hAnsi="Times New Roman" w:cs="Times New Roman"/>
                <w:i/>
                <w:iCs/>
                <w:lang w:val="en-GB"/>
              </w:rPr>
              <w:t>Trichloroacetic acid</w:t>
            </w:r>
          </w:p>
        </w:tc>
      </w:tr>
      <w:tr w:rsidR="00A6760C" w:rsidRPr="000544E4" w14:paraId="3E1277FA"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18F8175C" w14:textId="77777777" w:rsidR="00A6760C" w:rsidRPr="000544E4" w:rsidRDefault="00A6760C" w:rsidP="000544E4">
            <w:pPr>
              <w:spacing w:line="360" w:lineRule="auto"/>
              <w:jc w:val="center"/>
              <w:rPr>
                <w:rFonts w:ascii="Times New Roman" w:eastAsia="Times New Roman" w:hAnsi="Times New Roman" w:cs="Times New Roman"/>
                <w:b w:val="0"/>
                <w:bCs w:val="0"/>
                <w:lang w:val="en-GB"/>
              </w:rPr>
            </w:pPr>
            <w:r w:rsidRPr="000544E4">
              <w:rPr>
                <w:rFonts w:ascii="Times New Roman" w:eastAsia="Times New Roman" w:hAnsi="Times New Roman" w:cs="Times New Roman"/>
              </w:rPr>
              <w:t>TDM</w:t>
            </w:r>
          </w:p>
        </w:tc>
        <w:tc>
          <w:tcPr>
            <w:tcW w:w="4340" w:type="dxa"/>
            <w:vAlign w:val="center"/>
          </w:tcPr>
          <w:p w14:paraId="00A4F247"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r w:rsidRPr="000544E4">
              <w:rPr>
                <w:rFonts w:ascii="Times New Roman" w:eastAsia="Times New Roman" w:hAnsi="Times New Roman" w:cs="Times New Roman"/>
              </w:rPr>
              <w:t>terapia monitorowania stężeniem leku</w:t>
            </w:r>
          </w:p>
        </w:tc>
        <w:tc>
          <w:tcPr>
            <w:tcW w:w="3021" w:type="dxa"/>
            <w:vAlign w:val="center"/>
          </w:tcPr>
          <w:p w14:paraId="52EF36B4"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val="en-GB"/>
              </w:rPr>
            </w:pPr>
            <w:proofErr w:type="spellStart"/>
            <w:r w:rsidRPr="000544E4">
              <w:rPr>
                <w:rFonts w:ascii="Times New Roman" w:eastAsia="Times New Roman" w:hAnsi="Times New Roman" w:cs="Times New Roman"/>
                <w:i/>
                <w:iCs/>
                <w:color w:val="000000" w:themeColor="text1"/>
              </w:rPr>
              <w:t>Therapeutic</w:t>
            </w:r>
            <w:proofErr w:type="spellEnd"/>
            <w:r w:rsidRPr="000544E4">
              <w:rPr>
                <w:rFonts w:ascii="Times New Roman" w:eastAsia="Times New Roman" w:hAnsi="Times New Roman" w:cs="Times New Roman"/>
                <w:i/>
                <w:iCs/>
                <w:color w:val="000000" w:themeColor="text1"/>
              </w:rPr>
              <w:t xml:space="preserve"> </w:t>
            </w:r>
            <w:proofErr w:type="spellStart"/>
            <w:r w:rsidRPr="000544E4">
              <w:rPr>
                <w:rFonts w:ascii="Times New Roman" w:eastAsia="Times New Roman" w:hAnsi="Times New Roman" w:cs="Times New Roman"/>
                <w:i/>
                <w:iCs/>
                <w:color w:val="000000" w:themeColor="text1"/>
              </w:rPr>
              <w:t>Drug</w:t>
            </w:r>
            <w:proofErr w:type="spellEnd"/>
            <w:r w:rsidRPr="000544E4">
              <w:rPr>
                <w:rFonts w:ascii="Times New Roman" w:eastAsia="Times New Roman" w:hAnsi="Times New Roman" w:cs="Times New Roman"/>
                <w:i/>
                <w:iCs/>
                <w:color w:val="000000" w:themeColor="text1"/>
              </w:rPr>
              <w:t xml:space="preserve"> Monitoring</w:t>
            </w:r>
          </w:p>
        </w:tc>
      </w:tr>
      <w:tr w:rsidR="00A6760C" w:rsidRPr="000544E4" w14:paraId="52F92319"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59175EE" w14:textId="77777777" w:rsidR="00A6760C" w:rsidRPr="000544E4" w:rsidRDefault="00A6760C" w:rsidP="000544E4">
            <w:pPr>
              <w:spacing w:line="360" w:lineRule="auto"/>
              <w:jc w:val="center"/>
              <w:rPr>
                <w:rFonts w:ascii="Times New Roman" w:eastAsia="Times New Roman" w:hAnsi="Times New Roman" w:cs="Times New Roman"/>
                <w:b w:val="0"/>
                <w:bCs w:val="0"/>
                <w:lang w:val="en-GB"/>
              </w:rPr>
            </w:pPr>
            <w:r w:rsidRPr="000544E4">
              <w:rPr>
                <w:rFonts w:ascii="Times New Roman" w:eastAsia="Times New Roman" w:hAnsi="Times New Roman" w:cs="Times New Roman"/>
              </w:rPr>
              <w:t>TNM</w:t>
            </w:r>
          </w:p>
        </w:tc>
        <w:tc>
          <w:tcPr>
            <w:tcW w:w="4340" w:type="dxa"/>
            <w:vAlign w:val="center"/>
          </w:tcPr>
          <w:p w14:paraId="18660993"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GB"/>
              </w:rPr>
            </w:pPr>
            <w:r w:rsidRPr="000544E4">
              <w:rPr>
                <w:rFonts w:ascii="Times New Roman" w:eastAsia="Times New Roman" w:hAnsi="Times New Roman" w:cs="Times New Roman"/>
              </w:rPr>
              <w:t>guz, węzły chłonne, przerzuty</w:t>
            </w:r>
          </w:p>
        </w:tc>
        <w:tc>
          <w:tcPr>
            <w:tcW w:w="3021" w:type="dxa"/>
            <w:vAlign w:val="center"/>
          </w:tcPr>
          <w:p w14:paraId="1D8A0546"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val="en-GB"/>
              </w:rPr>
            </w:pPr>
            <w:r w:rsidRPr="000544E4">
              <w:rPr>
                <w:rFonts w:ascii="Times New Roman" w:eastAsia="Times New Roman" w:hAnsi="Times New Roman" w:cs="Times New Roman"/>
                <w:i/>
                <w:iCs/>
              </w:rPr>
              <w:t xml:space="preserve">Tumor, </w:t>
            </w:r>
            <w:proofErr w:type="spellStart"/>
            <w:r w:rsidRPr="000544E4">
              <w:rPr>
                <w:rFonts w:ascii="Times New Roman" w:eastAsia="Times New Roman" w:hAnsi="Times New Roman" w:cs="Times New Roman"/>
                <w:i/>
                <w:iCs/>
              </w:rPr>
              <w:t>lymph</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Nodes</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Metastatis</w:t>
            </w:r>
            <w:proofErr w:type="spellEnd"/>
          </w:p>
        </w:tc>
      </w:tr>
      <w:tr w:rsidR="00A6760C" w:rsidRPr="00C32263" w14:paraId="76B7E591"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3AC459AA" w14:textId="77777777" w:rsidR="00A6760C" w:rsidRPr="000544E4" w:rsidRDefault="00A6760C" w:rsidP="000544E4">
            <w:pPr>
              <w:spacing w:line="360" w:lineRule="auto"/>
              <w:jc w:val="center"/>
              <w:rPr>
                <w:rFonts w:ascii="Times New Roman" w:eastAsia="Times New Roman" w:hAnsi="Times New Roman" w:cs="Times New Roman"/>
                <w:b w:val="0"/>
                <w:bCs w:val="0"/>
                <w:lang w:val="en-GB"/>
              </w:rPr>
            </w:pPr>
            <w:r w:rsidRPr="000544E4">
              <w:rPr>
                <w:rFonts w:ascii="Times New Roman" w:eastAsia="Times New Roman" w:hAnsi="Times New Roman" w:cs="Times New Roman"/>
              </w:rPr>
              <w:t>UA-DLLME</w:t>
            </w:r>
          </w:p>
        </w:tc>
        <w:tc>
          <w:tcPr>
            <w:tcW w:w="4340" w:type="dxa"/>
            <w:vAlign w:val="center"/>
          </w:tcPr>
          <w:p w14:paraId="19B09199"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44E4">
              <w:rPr>
                <w:rFonts w:ascii="Times New Roman" w:eastAsia="Times New Roman" w:hAnsi="Times New Roman" w:cs="Times New Roman"/>
              </w:rPr>
              <w:t xml:space="preserve">dyspersyjna </w:t>
            </w:r>
            <w:proofErr w:type="spellStart"/>
            <w:r w:rsidRPr="000544E4">
              <w:rPr>
                <w:rFonts w:ascii="Times New Roman" w:eastAsia="Times New Roman" w:hAnsi="Times New Roman" w:cs="Times New Roman"/>
              </w:rPr>
              <w:t>mikroekstrakcja</w:t>
            </w:r>
            <w:proofErr w:type="spellEnd"/>
            <w:r w:rsidRPr="000544E4">
              <w:rPr>
                <w:rFonts w:ascii="Times New Roman" w:eastAsia="Times New Roman" w:hAnsi="Times New Roman" w:cs="Times New Roman"/>
              </w:rPr>
              <w:t xml:space="preserve"> ciecz-ciecz wspomagana ultradźwiękami</w:t>
            </w:r>
          </w:p>
        </w:tc>
        <w:tc>
          <w:tcPr>
            <w:tcW w:w="3021" w:type="dxa"/>
            <w:vAlign w:val="center"/>
          </w:tcPr>
          <w:p w14:paraId="25CE4EF5"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val="en-GB"/>
              </w:rPr>
            </w:pPr>
            <w:r w:rsidRPr="000544E4">
              <w:rPr>
                <w:rFonts w:ascii="Times New Roman" w:eastAsia="Times New Roman" w:hAnsi="Times New Roman" w:cs="Times New Roman"/>
                <w:i/>
                <w:iCs/>
                <w:lang w:val="en-GB"/>
              </w:rPr>
              <w:t>U</w:t>
            </w:r>
            <w:r w:rsidRPr="000544E4">
              <w:rPr>
                <w:rFonts w:ascii="Times New Roman" w:eastAsia="Times New Roman" w:hAnsi="Times New Roman" w:cs="Times New Roman"/>
                <w:i/>
                <w:iCs/>
                <w:color w:val="000000" w:themeColor="text1"/>
                <w:lang w:val="en-GB"/>
              </w:rPr>
              <w:t>ltrasound</w:t>
            </w:r>
            <w:r w:rsidRPr="000544E4">
              <w:rPr>
                <w:rFonts w:ascii="Times New Roman" w:eastAsia="Times New Roman" w:hAnsi="Times New Roman" w:cs="Times New Roman"/>
                <w:color w:val="000000" w:themeColor="text1"/>
                <w:lang w:val="en-GB"/>
              </w:rPr>
              <w:t xml:space="preserve"> </w:t>
            </w:r>
            <w:r w:rsidRPr="000544E4">
              <w:rPr>
                <w:rFonts w:ascii="Times New Roman" w:eastAsia="Times New Roman" w:hAnsi="Times New Roman" w:cs="Times New Roman"/>
                <w:i/>
                <w:iCs/>
                <w:lang w:val="en-GB"/>
              </w:rPr>
              <w:t>Dispersive liquid-liquid microextraction</w:t>
            </w:r>
          </w:p>
        </w:tc>
      </w:tr>
      <w:tr w:rsidR="00A6760C" w:rsidRPr="000544E4" w14:paraId="0EF0C9AA" w14:textId="77777777" w:rsidTr="0005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7EEE058" w14:textId="77777777" w:rsidR="00A6760C" w:rsidRPr="000544E4" w:rsidRDefault="00A6760C" w:rsidP="000544E4">
            <w:pPr>
              <w:spacing w:line="360" w:lineRule="auto"/>
              <w:jc w:val="center"/>
              <w:rPr>
                <w:rFonts w:ascii="Times New Roman" w:eastAsia="Times New Roman" w:hAnsi="Times New Roman" w:cs="Times New Roman"/>
                <w:b w:val="0"/>
                <w:bCs w:val="0"/>
                <w:lang w:val="en-GB"/>
              </w:rPr>
            </w:pPr>
            <w:r w:rsidRPr="000544E4">
              <w:rPr>
                <w:rFonts w:ascii="Times New Roman" w:eastAsia="Times New Roman" w:hAnsi="Times New Roman" w:cs="Times New Roman"/>
              </w:rPr>
              <w:t>UPLC</w:t>
            </w:r>
          </w:p>
        </w:tc>
        <w:tc>
          <w:tcPr>
            <w:tcW w:w="4340" w:type="dxa"/>
            <w:vAlign w:val="center"/>
          </w:tcPr>
          <w:p w14:paraId="72213C66"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GB"/>
              </w:rPr>
            </w:pPr>
            <w:proofErr w:type="spellStart"/>
            <w:r w:rsidRPr="000544E4">
              <w:rPr>
                <w:rFonts w:ascii="Times New Roman" w:eastAsia="Times New Roman" w:hAnsi="Times New Roman" w:cs="Times New Roman"/>
              </w:rPr>
              <w:t>ultrasprawna</w:t>
            </w:r>
            <w:proofErr w:type="spellEnd"/>
            <w:r w:rsidRPr="000544E4">
              <w:rPr>
                <w:rFonts w:ascii="Times New Roman" w:eastAsia="Times New Roman" w:hAnsi="Times New Roman" w:cs="Times New Roman"/>
              </w:rPr>
              <w:t xml:space="preserve"> chromatografia cieczowa</w:t>
            </w:r>
          </w:p>
        </w:tc>
        <w:tc>
          <w:tcPr>
            <w:tcW w:w="3021" w:type="dxa"/>
            <w:vAlign w:val="center"/>
          </w:tcPr>
          <w:p w14:paraId="00170A3F" w14:textId="77777777" w:rsidR="00A6760C" w:rsidRPr="000544E4" w:rsidRDefault="00A6760C" w:rsidP="000544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val="en-GB"/>
              </w:rPr>
            </w:pPr>
            <w:r w:rsidRPr="000544E4">
              <w:rPr>
                <w:rFonts w:ascii="Times New Roman" w:eastAsia="Times New Roman" w:hAnsi="Times New Roman" w:cs="Times New Roman"/>
                <w:i/>
                <w:iCs/>
              </w:rPr>
              <w:t xml:space="preserve">Ultra-Performance Liquid </w:t>
            </w:r>
            <w:proofErr w:type="spellStart"/>
            <w:r w:rsidRPr="000544E4">
              <w:rPr>
                <w:rFonts w:ascii="Times New Roman" w:eastAsia="Times New Roman" w:hAnsi="Times New Roman" w:cs="Times New Roman"/>
                <w:i/>
                <w:iCs/>
              </w:rPr>
              <w:t>Chromatography</w:t>
            </w:r>
            <w:proofErr w:type="spellEnd"/>
          </w:p>
        </w:tc>
      </w:tr>
      <w:tr w:rsidR="00A6760C" w:rsidRPr="000544E4" w14:paraId="0A1ADA78" w14:textId="77777777" w:rsidTr="000544E4">
        <w:tc>
          <w:tcPr>
            <w:cnfStyle w:val="001000000000" w:firstRow="0" w:lastRow="0" w:firstColumn="1" w:lastColumn="0" w:oddVBand="0" w:evenVBand="0" w:oddHBand="0" w:evenHBand="0" w:firstRowFirstColumn="0" w:firstRowLastColumn="0" w:lastRowFirstColumn="0" w:lastRowLastColumn="0"/>
            <w:tcW w:w="1701" w:type="dxa"/>
            <w:vAlign w:val="center"/>
          </w:tcPr>
          <w:p w14:paraId="467529C5" w14:textId="77777777" w:rsidR="00A6760C" w:rsidRPr="000544E4" w:rsidRDefault="00A6760C" w:rsidP="000544E4">
            <w:pPr>
              <w:spacing w:line="360" w:lineRule="auto"/>
              <w:jc w:val="center"/>
              <w:rPr>
                <w:rFonts w:ascii="Times New Roman" w:eastAsia="Times New Roman" w:hAnsi="Times New Roman" w:cs="Times New Roman"/>
                <w:b w:val="0"/>
                <w:bCs w:val="0"/>
              </w:rPr>
            </w:pPr>
            <w:r w:rsidRPr="000544E4">
              <w:rPr>
                <w:rFonts w:ascii="Times New Roman" w:eastAsia="Times New Roman" w:hAnsi="Times New Roman" w:cs="Times New Roman"/>
              </w:rPr>
              <w:t>UV-VIS</w:t>
            </w:r>
          </w:p>
        </w:tc>
        <w:tc>
          <w:tcPr>
            <w:tcW w:w="4340" w:type="dxa"/>
            <w:vAlign w:val="center"/>
          </w:tcPr>
          <w:p w14:paraId="17D035BE"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44E4">
              <w:rPr>
                <w:rFonts w:ascii="Times New Roman" w:eastAsia="Times New Roman" w:hAnsi="Times New Roman" w:cs="Times New Roman"/>
              </w:rPr>
              <w:t>detektor spektrofotometryczny w zakresie światła ultrafioletowego i widzialnego</w:t>
            </w:r>
          </w:p>
        </w:tc>
        <w:tc>
          <w:tcPr>
            <w:tcW w:w="3021" w:type="dxa"/>
            <w:vAlign w:val="center"/>
          </w:tcPr>
          <w:p w14:paraId="29AA6CC0" w14:textId="77777777" w:rsidR="00A6760C" w:rsidRPr="000544E4" w:rsidRDefault="00A6760C" w:rsidP="000544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proofErr w:type="spellStart"/>
            <w:r w:rsidRPr="000544E4">
              <w:rPr>
                <w:rFonts w:ascii="Times New Roman" w:eastAsia="Times New Roman" w:hAnsi="Times New Roman" w:cs="Times New Roman"/>
                <w:i/>
                <w:iCs/>
              </w:rPr>
              <w:t>Ultraviolet-Visible</w:t>
            </w:r>
            <w:proofErr w:type="spellEnd"/>
            <w:r w:rsidRPr="000544E4">
              <w:rPr>
                <w:rFonts w:ascii="Times New Roman" w:eastAsia="Times New Roman" w:hAnsi="Times New Roman" w:cs="Times New Roman"/>
                <w:i/>
                <w:iCs/>
              </w:rPr>
              <w:t xml:space="preserve"> </w:t>
            </w:r>
            <w:proofErr w:type="spellStart"/>
            <w:r w:rsidRPr="000544E4">
              <w:rPr>
                <w:rFonts w:ascii="Times New Roman" w:eastAsia="Times New Roman" w:hAnsi="Times New Roman" w:cs="Times New Roman"/>
                <w:i/>
                <w:iCs/>
              </w:rPr>
              <w:t>Detector</w:t>
            </w:r>
            <w:proofErr w:type="spellEnd"/>
          </w:p>
        </w:tc>
      </w:tr>
    </w:tbl>
    <w:p w14:paraId="2746A6A3" w14:textId="119EFDF8" w:rsidR="13F7AA7F" w:rsidRPr="008255EE" w:rsidRDefault="13F7AA7F" w:rsidP="13F7AA7F">
      <w:pPr>
        <w:rPr>
          <w:rFonts w:ascii="Times New Roman" w:hAnsi="Times New Roman" w:cs="Times New Roman"/>
          <w:sz w:val="24"/>
          <w:szCs w:val="24"/>
        </w:rPr>
      </w:pPr>
    </w:p>
    <w:p w14:paraId="2FD08776" w14:textId="77777777" w:rsidR="00E05FDF" w:rsidRPr="008255EE" w:rsidRDefault="00E05FDF" w:rsidP="00574F00">
      <w:pPr>
        <w:spacing w:line="360" w:lineRule="auto"/>
        <w:rPr>
          <w:rFonts w:ascii="Times New Roman" w:hAnsi="Times New Roman" w:cs="Times New Roman"/>
          <w:sz w:val="24"/>
          <w:szCs w:val="24"/>
        </w:rPr>
      </w:pPr>
    </w:p>
    <w:p w14:paraId="16F8E5B0" w14:textId="77777777" w:rsidR="00A62F34" w:rsidRPr="008255EE" w:rsidRDefault="00A62F34" w:rsidP="00574F00">
      <w:pPr>
        <w:spacing w:line="360" w:lineRule="auto"/>
        <w:rPr>
          <w:rFonts w:ascii="Times New Roman" w:hAnsi="Times New Roman" w:cs="Times New Roman"/>
          <w:b/>
          <w:sz w:val="24"/>
          <w:szCs w:val="24"/>
        </w:rPr>
      </w:pPr>
    </w:p>
    <w:p w14:paraId="2F78190B" w14:textId="77777777" w:rsidR="006C4A83" w:rsidRPr="008255EE" w:rsidRDefault="006C4A83" w:rsidP="006C4A83">
      <w:pPr>
        <w:spacing w:line="360" w:lineRule="auto"/>
        <w:rPr>
          <w:rFonts w:ascii="Times New Roman" w:hAnsi="Times New Roman" w:cs="Times New Roman"/>
          <w:b/>
          <w:sz w:val="24"/>
          <w:szCs w:val="24"/>
        </w:rPr>
      </w:pPr>
    </w:p>
    <w:p w14:paraId="1E85A2D8" w14:textId="77777777" w:rsidR="00A92501" w:rsidRPr="008255EE" w:rsidRDefault="00A92501" w:rsidP="000E2499">
      <w:pPr>
        <w:spacing w:line="360" w:lineRule="auto"/>
        <w:jc w:val="both"/>
        <w:rPr>
          <w:rFonts w:ascii="Times New Roman" w:hAnsi="Times New Roman" w:cs="Times New Roman"/>
          <w:b/>
          <w:sz w:val="24"/>
          <w:szCs w:val="24"/>
        </w:rPr>
        <w:sectPr w:rsidR="00A92501" w:rsidRPr="008255EE" w:rsidSect="00FF3370">
          <w:pgSz w:w="11906" w:h="16838"/>
          <w:pgMar w:top="1418" w:right="1134" w:bottom="1418" w:left="1985" w:header="709" w:footer="709" w:gutter="0"/>
          <w:cols w:space="708"/>
          <w:docGrid w:linePitch="360"/>
        </w:sectPr>
      </w:pPr>
    </w:p>
    <w:p w14:paraId="1834A3EA" w14:textId="77777777" w:rsidR="006C6CAA" w:rsidRPr="00CE291C" w:rsidRDefault="006C6CAA" w:rsidP="006C6CAA">
      <w:pPr>
        <w:pStyle w:val="Nagwek1"/>
        <w:spacing w:line="360" w:lineRule="auto"/>
        <w:jc w:val="both"/>
        <w:rPr>
          <w:rFonts w:ascii="Times New Roman" w:hAnsi="Times New Roman" w:cs="Times New Roman"/>
          <w:b/>
          <w:bCs/>
          <w:sz w:val="28"/>
          <w:szCs w:val="28"/>
        </w:rPr>
      </w:pPr>
      <w:bookmarkStart w:id="2" w:name="_Toc135306172"/>
      <w:bookmarkStart w:id="3" w:name="_Toc137702465"/>
      <w:r w:rsidRPr="00CE291C">
        <w:rPr>
          <w:rFonts w:ascii="Times New Roman" w:hAnsi="Times New Roman" w:cs="Times New Roman"/>
          <w:b/>
          <w:bCs/>
          <w:sz w:val="28"/>
          <w:szCs w:val="28"/>
        </w:rPr>
        <w:lastRenderedPageBreak/>
        <w:t>Spis publikacji, w których opublikowano wyniki pracy doktorskiej:</w:t>
      </w:r>
      <w:bookmarkEnd w:id="2"/>
      <w:bookmarkEnd w:id="3"/>
    </w:p>
    <w:p w14:paraId="2F86EF6B" w14:textId="38875A25" w:rsidR="00FF744B" w:rsidRPr="00E11754" w:rsidRDefault="3998842B" w:rsidP="00063B6E">
      <w:pPr>
        <w:numPr>
          <w:ilvl w:val="0"/>
          <w:numId w:val="8"/>
        </w:numPr>
        <w:spacing w:line="360" w:lineRule="auto"/>
        <w:rPr>
          <w:rFonts w:ascii="Times New Roman" w:hAnsi="Times New Roman" w:cs="Times New Roman"/>
          <w:sz w:val="24"/>
          <w:szCs w:val="24"/>
          <w:lang w:val="en-GB"/>
        </w:rPr>
      </w:pPr>
      <w:r w:rsidRPr="3998842B">
        <w:rPr>
          <w:rFonts w:ascii="Times New Roman" w:hAnsi="Times New Roman" w:cs="Times New Roman"/>
          <w:sz w:val="24"/>
          <w:szCs w:val="24"/>
          <w:lang w:val="en-US"/>
        </w:rPr>
        <w:t xml:space="preserve">O. </w:t>
      </w:r>
      <w:proofErr w:type="spellStart"/>
      <w:r w:rsidRPr="3998842B">
        <w:rPr>
          <w:rFonts w:ascii="Times New Roman" w:hAnsi="Times New Roman" w:cs="Times New Roman"/>
          <w:sz w:val="24"/>
          <w:szCs w:val="24"/>
          <w:lang w:val="en-US"/>
        </w:rPr>
        <w:t>Maliszewska</w:t>
      </w:r>
      <w:proofErr w:type="spellEnd"/>
      <w:r w:rsidRPr="3998842B">
        <w:rPr>
          <w:rFonts w:ascii="Times New Roman" w:hAnsi="Times New Roman" w:cs="Times New Roman"/>
          <w:sz w:val="24"/>
          <w:szCs w:val="24"/>
          <w:lang w:val="en-US"/>
        </w:rPr>
        <w:t xml:space="preserve">, A. </w:t>
      </w:r>
      <w:proofErr w:type="spellStart"/>
      <w:r w:rsidRPr="3998842B">
        <w:rPr>
          <w:rFonts w:ascii="Times New Roman" w:hAnsi="Times New Roman" w:cs="Times New Roman"/>
          <w:sz w:val="24"/>
          <w:szCs w:val="24"/>
          <w:lang w:val="en-US"/>
        </w:rPr>
        <w:t>Plenis</w:t>
      </w:r>
      <w:proofErr w:type="spellEnd"/>
      <w:r w:rsidRPr="3998842B">
        <w:rPr>
          <w:rFonts w:ascii="Times New Roman" w:hAnsi="Times New Roman" w:cs="Times New Roman"/>
          <w:sz w:val="24"/>
          <w:szCs w:val="24"/>
          <w:lang w:val="en-US"/>
        </w:rPr>
        <w:t xml:space="preserve">, I. </w:t>
      </w:r>
      <w:proofErr w:type="spellStart"/>
      <w:r w:rsidRPr="3998842B">
        <w:rPr>
          <w:rFonts w:ascii="Times New Roman" w:hAnsi="Times New Roman" w:cs="Times New Roman"/>
          <w:sz w:val="24"/>
          <w:szCs w:val="24"/>
          <w:lang w:val="en-US"/>
        </w:rPr>
        <w:t>Olędzka</w:t>
      </w:r>
      <w:proofErr w:type="spellEnd"/>
      <w:r w:rsidRPr="3998842B">
        <w:rPr>
          <w:rFonts w:ascii="Times New Roman" w:hAnsi="Times New Roman" w:cs="Times New Roman"/>
          <w:sz w:val="24"/>
          <w:szCs w:val="24"/>
          <w:lang w:val="en-US"/>
        </w:rPr>
        <w:t xml:space="preserve">, P. Kowalski, N. </w:t>
      </w:r>
      <w:proofErr w:type="spellStart"/>
      <w:r w:rsidRPr="3998842B">
        <w:rPr>
          <w:rFonts w:ascii="Times New Roman" w:hAnsi="Times New Roman" w:cs="Times New Roman"/>
          <w:sz w:val="24"/>
          <w:szCs w:val="24"/>
          <w:lang w:val="en-US"/>
        </w:rPr>
        <w:t>Miękus</w:t>
      </w:r>
      <w:proofErr w:type="spellEnd"/>
      <w:r w:rsidRPr="3998842B">
        <w:rPr>
          <w:rFonts w:ascii="Times New Roman" w:hAnsi="Times New Roman" w:cs="Times New Roman"/>
          <w:sz w:val="24"/>
          <w:szCs w:val="24"/>
          <w:lang w:val="en-US"/>
        </w:rPr>
        <w:t xml:space="preserve">, E. </w:t>
      </w:r>
      <w:proofErr w:type="spellStart"/>
      <w:r w:rsidRPr="3998842B">
        <w:rPr>
          <w:rFonts w:ascii="Times New Roman" w:hAnsi="Times New Roman" w:cs="Times New Roman"/>
          <w:sz w:val="24"/>
          <w:szCs w:val="24"/>
          <w:lang w:val="en-US"/>
        </w:rPr>
        <w:t>Bień</w:t>
      </w:r>
      <w:proofErr w:type="spellEnd"/>
      <w:r w:rsidRPr="3998842B">
        <w:rPr>
          <w:rFonts w:ascii="Times New Roman" w:hAnsi="Times New Roman" w:cs="Times New Roman"/>
          <w:sz w:val="24"/>
          <w:szCs w:val="24"/>
          <w:lang w:val="en-US"/>
        </w:rPr>
        <w:t xml:space="preserve">, M.A. Krawczyk, E. </w:t>
      </w:r>
      <w:proofErr w:type="spellStart"/>
      <w:r w:rsidRPr="3998842B">
        <w:rPr>
          <w:rFonts w:ascii="Times New Roman" w:hAnsi="Times New Roman" w:cs="Times New Roman"/>
          <w:sz w:val="24"/>
          <w:szCs w:val="24"/>
          <w:lang w:val="en-US"/>
        </w:rPr>
        <w:t>Adamkiewicz-Drożyńska</w:t>
      </w:r>
      <w:proofErr w:type="spellEnd"/>
      <w:r w:rsidRPr="3998842B">
        <w:rPr>
          <w:rFonts w:ascii="Times New Roman" w:hAnsi="Times New Roman" w:cs="Times New Roman"/>
          <w:sz w:val="24"/>
          <w:szCs w:val="24"/>
          <w:lang w:val="en-US"/>
        </w:rPr>
        <w:t xml:space="preserve">, T. </w:t>
      </w:r>
      <w:proofErr w:type="spellStart"/>
      <w:r w:rsidRPr="3998842B">
        <w:rPr>
          <w:rFonts w:ascii="Times New Roman" w:hAnsi="Times New Roman" w:cs="Times New Roman"/>
          <w:sz w:val="24"/>
          <w:szCs w:val="24"/>
          <w:lang w:val="en-US"/>
        </w:rPr>
        <w:t>Bączek</w:t>
      </w:r>
      <w:proofErr w:type="spellEnd"/>
      <w:r w:rsidRPr="3998842B">
        <w:rPr>
          <w:rFonts w:ascii="Times New Roman" w:hAnsi="Times New Roman" w:cs="Times New Roman"/>
          <w:sz w:val="24"/>
          <w:szCs w:val="24"/>
          <w:lang w:val="en-US"/>
        </w:rPr>
        <w:t xml:space="preserve">, Optimization of LC method for the quantification of doxorubicin in plasma and urine samples in view of pharmacokinetic, biomedical and drug monitoring therapy studies, </w:t>
      </w:r>
      <w:r w:rsidRPr="3998842B">
        <w:rPr>
          <w:rFonts w:ascii="Times New Roman" w:hAnsi="Times New Roman" w:cs="Times New Roman"/>
          <w:i/>
          <w:iCs/>
          <w:sz w:val="24"/>
          <w:szCs w:val="24"/>
          <w:lang w:val="en-US"/>
        </w:rPr>
        <w:t>J. Pharm. Biomed. Anal.,</w:t>
      </w:r>
      <w:r w:rsidRPr="3998842B">
        <w:rPr>
          <w:rFonts w:ascii="Times New Roman" w:hAnsi="Times New Roman" w:cs="Times New Roman"/>
          <w:sz w:val="24"/>
          <w:szCs w:val="24"/>
          <w:lang w:val="en-US"/>
        </w:rPr>
        <w:t xml:space="preserve"> </w:t>
      </w:r>
      <w:r w:rsidRPr="3998842B">
        <w:rPr>
          <w:rFonts w:ascii="Times New Roman" w:hAnsi="Times New Roman" w:cs="Times New Roman"/>
          <w:b/>
          <w:bCs/>
          <w:sz w:val="24"/>
          <w:szCs w:val="24"/>
          <w:lang w:val="en-US"/>
        </w:rPr>
        <w:t>2018</w:t>
      </w:r>
      <w:r w:rsidRPr="3998842B">
        <w:rPr>
          <w:rFonts w:ascii="Times New Roman" w:hAnsi="Times New Roman" w:cs="Times New Roman"/>
          <w:sz w:val="24"/>
          <w:szCs w:val="24"/>
          <w:lang w:val="en-US"/>
        </w:rPr>
        <w:t xml:space="preserve">; vol. 158, s. 376-385. </w:t>
      </w:r>
      <w:r w:rsidR="006C4A83">
        <w:br/>
      </w:r>
      <w:r w:rsidRPr="3998842B">
        <w:rPr>
          <w:rFonts w:ascii="Times New Roman" w:hAnsi="Times New Roman" w:cs="Times New Roman"/>
          <w:sz w:val="24"/>
          <w:szCs w:val="24"/>
          <w:lang w:val="en-US"/>
        </w:rPr>
        <w:t>Doi: 10.1016/j.jpba.2018.06.031</w:t>
      </w:r>
    </w:p>
    <w:p w14:paraId="601C1078" w14:textId="2596F233" w:rsidR="00840310" w:rsidRPr="00E11754" w:rsidRDefault="006C4A83" w:rsidP="00840310">
      <w:pPr>
        <w:spacing w:line="360" w:lineRule="auto"/>
        <w:ind w:left="360"/>
        <w:rPr>
          <w:rFonts w:ascii="Times New Roman" w:hAnsi="Times New Roman" w:cs="Times New Roman"/>
          <w:b/>
          <w:bCs/>
          <w:sz w:val="24"/>
          <w:szCs w:val="24"/>
        </w:rPr>
      </w:pPr>
      <w:r w:rsidRPr="00E11754">
        <w:rPr>
          <w:rFonts w:ascii="Times New Roman" w:hAnsi="Times New Roman" w:cs="Times New Roman"/>
          <w:b/>
          <w:bCs/>
          <w:sz w:val="24"/>
          <w:szCs w:val="24"/>
        </w:rPr>
        <w:t xml:space="preserve">Punktacja IF: </w:t>
      </w:r>
      <w:r w:rsidR="00AD1F1B" w:rsidRPr="00E11754">
        <w:rPr>
          <w:rStyle w:val="fif"/>
          <w:rFonts w:ascii="Times New Roman" w:hAnsi="Times New Roman" w:cs="Times New Roman"/>
          <w:sz w:val="24"/>
          <w:szCs w:val="24"/>
          <w:shd w:val="clear" w:color="auto" w:fill="FFFFFF"/>
        </w:rPr>
        <w:t xml:space="preserve">2.983; </w:t>
      </w:r>
      <w:r w:rsidR="00840310" w:rsidRPr="00E11754">
        <w:rPr>
          <w:rFonts w:ascii="Times New Roman" w:hAnsi="Times New Roman" w:cs="Times New Roman"/>
          <w:b/>
          <w:bCs/>
          <w:sz w:val="24"/>
          <w:szCs w:val="24"/>
        </w:rPr>
        <w:t xml:space="preserve">Punktacja </w:t>
      </w:r>
      <w:proofErr w:type="spellStart"/>
      <w:r w:rsidR="00840310" w:rsidRPr="00E11754">
        <w:rPr>
          <w:rFonts w:ascii="Times New Roman" w:hAnsi="Times New Roman" w:cs="Times New Roman"/>
          <w:b/>
          <w:bCs/>
          <w:sz w:val="24"/>
          <w:szCs w:val="24"/>
        </w:rPr>
        <w:t>MEiN</w:t>
      </w:r>
      <w:proofErr w:type="spellEnd"/>
      <w:r w:rsidR="00840310" w:rsidRPr="00E11754">
        <w:rPr>
          <w:rFonts w:ascii="Times New Roman" w:hAnsi="Times New Roman" w:cs="Times New Roman"/>
          <w:b/>
          <w:bCs/>
          <w:sz w:val="24"/>
          <w:szCs w:val="24"/>
        </w:rPr>
        <w:t xml:space="preserve">: </w:t>
      </w:r>
      <w:r w:rsidR="00AD1F1B" w:rsidRPr="00E11754">
        <w:rPr>
          <w:rStyle w:val="fpk"/>
          <w:rFonts w:ascii="Times New Roman" w:hAnsi="Times New Roman" w:cs="Times New Roman"/>
          <w:sz w:val="24"/>
          <w:szCs w:val="24"/>
          <w:shd w:val="clear" w:color="auto" w:fill="FFFFFF"/>
        </w:rPr>
        <w:t>35.000</w:t>
      </w:r>
    </w:p>
    <w:p w14:paraId="51A8D4FB" w14:textId="21ADEF53" w:rsidR="00060E3B" w:rsidRPr="00E11754" w:rsidRDefault="006C4A83" w:rsidP="00060E3B">
      <w:pPr>
        <w:numPr>
          <w:ilvl w:val="0"/>
          <w:numId w:val="8"/>
        </w:numPr>
        <w:spacing w:line="360" w:lineRule="auto"/>
        <w:rPr>
          <w:rFonts w:ascii="Times New Roman" w:hAnsi="Times New Roman" w:cs="Times New Roman"/>
          <w:sz w:val="24"/>
          <w:szCs w:val="24"/>
          <w:lang w:val="en-US"/>
        </w:rPr>
      </w:pPr>
      <w:r w:rsidRPr="00E11754">
        <w:rPr>
          <w:rFonts w:ascii="Times New Roman" w:hAnsi="Times New Roman" w:cs="Times New Roman"/>
          <w:sz w:val="24"/>
          <w:szCs w:val="24"/>
          <w:lang w:val="en-US"/>
        </w:rPr>
        <w:t xml:space="preserve">N. </w:t>
      </w:r>
      <w:proofErr w:type="spellStart"/>
      <w:r w:rsidRPr="00E11754">
        <w:rPr>
          <w:rFonts w:ascii="Times New Roman" w:hAnsi="Times New Roman" w:cs="Times New Roman"/>
          <w:sz w:val="24"/>
          <w:szCs w:val="24"/>
          <w:lang w:val="en-US"/>
        </w:rPr>
        <w:t>Treder</w:t>
      </w:r>
      <w:proofErr w:type="spellEnd"/>
      <w:r w:rsidRPr="00E11754">
        <w:rPr>
          <w:rFonts w:ascii="Times New Roman" w:hAnsi="Times New Roman" w:cs="Times New Roman"/>
          <w:sz w:val="24"/>
          <w:szCs w:val="24"/>
          <w:lang w:val="en-US"/>
        </w:rPr>
        <w:t xml:space="preserve">, O. </w:t>
      </w:r>
      <w:proofErr w:type="spellStart"/>
      <w:r w:rsidRPr="00E11754">
        <w:rPr>
          <w:rFonts w:ascii="Times New Roman" w:hAnsi="Times New Roman" w:cs="Times New Roman"/>
          <w:sz w:val="24"/>
          <w:szCs w:val="24"/>
          <w:lang w:val="en-US"/>
        </w:rPr>
        <w:t>Maliszewska</w:t>
      </w:r>
      <w:proofErr w:type="spellEnd"/>
      <w:r w:rsidRPr="00E11754">
        <w:rPr>
          <w:rFonts w:ascii="Times New Roman" w:hAnsi="Times New Roman" w:cs="Times New Roman"/>
          <w:sz w:val="24"/>
          <w:szCs w:val="24"/>
          <w:lang w:val="en-US"/>
        </w:rPr>
        <w:t xml:space="preserve">, I. </w:t>
      </w:r>
      <w:proofErr w:type="spellStart"/>
      <w:r w:rsidRPr="00E11754">
        <w:rPr>
          <w:rFonts w:ascii="Times New Roman" w:hAnsi="Times New Roman" w:cs="Times New Roman"/>
          <w:sz w:val="24"/>
          <w:szCs w:val="24"/>
          <w:lang w:val="en-US"/>
        </w:rPr>
        <w:t>Olędzka</w:t>
      </w:r>
      <w:proofErr w:type="spellEnd"/>
      <w:r w:rsidRPr="00E11754">
        <w:rPr>
          <w:rFonts w:ascii="Times New Roman" w:hAnsi="Times New Roman" w:cs="Times New Roman"/>
          <w:sz w:val="24"/>
          <w:szCs w:val="24"/>
          <w:lang w:val="en-US"/>
        </w:rPr>
        <w:t xml:space="preserve">, P. Kowalski, N. </w:t>
      </w:r>
      <w:proofErr w:type="spellStart"/>
      <w:r w:rsidRPr="00E11754">
        <w:rPr>
          <w:rFonts w:ascii="Times New Roman" w:hAnsi="Times New Roman" w:cs="Times New Roman"/>
          <w:sz w:val="24"/>
          <w:szCs w:val="24"/>
          <w:lang w:val="en-US"/>
        </w:rPr>
        <w:t>Miękus</w:t>
      </w:r>
      <w:proofErr w:type="spellEnd"/>
      <w:r w:rsidRPr="00E11754">
        <w:rPr>
          <w:rFonts w:ascii="Times New Roman" w:hAnsi="Times New Roman" w:cs="Times New Roman"/>
          <w:sz w:val="24"/>
          <w:szCs w:val="24"/>
          <w:lang w:val="en-US"/>
        </w:rPr>
        <w:t xml:space="preserve">, T. </w:t>
      </w:r>
      <w:proofErr w:type="spellStart"/>
      <w:r w:rsidRPr="00E11754">
        <w:rPr>
          <w:rFonts w:ascii="Times New Roman" w:hAnsi="Times New Roman" w:cs="Times New Roman"/>
          <w:sz w:val="24"/>
          <w:szCs w:val="24"/>
          <w:lang w:val="en-US"/>
        </w:rPr>
        <w:t>Bączek</w:t>
      </w:r>
      <w:proofErr w:type="spellEnd"/>
      <w:r w:rsidRPr="00E11754">
        <w:rPr>
          <w:rFonts w:ascii="Times New Roman" w:hAnsi="Times New Roman" w:cs="Times New Roman"/>
          <w:sz w:val="24"/>
          <w:szCs w:val="24"/>
          <w:lang w:val="en-US"/>
        </w:rPr>
        <w:t xml:space="preserve">, E. </w:t>
      </w:r>
      <w:proofErr w:type="spellStart"/>
      <w:r w:rsidRPr="00E11754">
        <w:rPr>
          <w:rFonts w:ascii="Times New Roman" w:hAnsi="Times New Roman" w:cs="Times New Roman"/>
          <w:sz w:val="24"/>
          <w:szCs w:val="24"/>
          <w:lang w:val="en-US"/>
        </w:rPr>
        <w:t>Bień</w:t>
      </w:r>
      <w:proofErr w:type="spellEnd"/>
      <w:r w:rsidRPr="00E11754">
        <w:rPr>
          <w:rFonts w:ascii="Times New Roman" w:hAnsi="Times New Roman" w:cs="Times New Roman"/>
          <w:sz w:val="24"/>
          <w:szCs w:val="24"/>
          <w:lang w:val="en-US"/>
        </w:rPr>
        <w:t xml:space="preserve">, M.A. Krawczyk, E. </w:t>
      </w:r>
      <w:proofErr w:type="spellStart"/>
      <w:r w:rsidRPr="00E11754">
        <w:rPr>
          <w:rFonts w:ascii="Times New Roman" w:hAnsi="Times New Roman" w:cs="Times New Roman"/>
          <w:sz w:val="24"/>
          <w:szCs w:val="24"/>
          <w:lang w:val="en-US"/>
        </w:rPr>
        <w:t>Adamkiewicz-Drożyńska</w:t>
      </w:r>
      <w:proofErr w:type="spellEnd"/>
      <w:r w:rsidRPr="00E11754">
        <w:rPr>
          <w:rFonts w:ascii="Times New Roman" w:hAnsi="Times New Roman" w:cs="Times New Roman"/>
          <w:sz w:val="24"/>
          <w:szCs w:val="24"/>
          <w:lang w:val="en-US"/>
        </w:rPr>
        <w:t>,</w:t>
      </w:r>
      <w:r w:rsidR="007A193B" w:rsidRPr="00E11754">
        <w:rPr>
          <w:rFonts w:ascii="Times New Roman" w:hAnsi="Times New Roman" w:cs="Times New Roman"/>
          <w:color w:val="212121"/>
          <w:sz w:val="24"/>
          <w:szCs w:val="24"/>
          <w:shd w:val="clear" w:color="auto" w:fill="FFFFFF"/>
          <w:lang w:val="en-GB"/>
        </w:rPr>
        <w:t xml:space="preserve"> A. </w:t>
      </w:r>
      <w:proofErr w:type="spellStart"/>
      <w:r w:rsidR="007A193B" w:rsidRPr="00E11754">
        <w:rPr>
          <w:rFonts w:ascii="Times New Roman" w:hAnsi="Times New Roman" w:cs="Times New Roman"/>
          <w:color w:val="212121"/>
          <w:sz w:val="24"/>
          <w:szCs w:val="24"/>
          <w:shd w:val="clear" w:color="auto" w:fill="FFFFFF"/>
          <w:lang w:val="en-GB"/>
        </w:rPr>
        <w:t>Plenis</w:t>
      </w:r>
      <w:proofErr w:type="spellEnd"/>
      <w:r w:rsidR="007A193B" w:rsidRPr="00E11754">
        <w:rPr>
          <w:rFonts w:ascii="Times New Roman" w:hAnsi="Times New Roman" w:cs="Times New Roman"/>
          <w:color w:val="212121"/>
          <w:sz w:val="24"/>
          <w:szCs w:val="24"/>
          <w:shd w:val="clear" w:color="auto" w:fill="FFFFFF"/>
          <w:lang w:val="en-GB"/>
        </w:rPr>
        <w:t>,</w:t>
      </w:r>
      <w:r w:rsidRPr="00E11754">
        <w:rPr>
          <w:rFonts w:ascii="Times New Roman" w:hAnsi="Times New Roman" w:cs="Times New Roman"/>
          <w:sz w:val="24"/>
          <w:szCs w:val="24"/>
          <w:lang w:val="en-US"/>
        </w:rPr>
        <w:t xml:space="preserve"> Development and validation of a high-</w:t>
      </w:r>
      <w:proofErr w:type="spellStart"/>
      <w:r w:rsidRPr="00E11754">
        <w:rPr>
          <w:rFonts w:ascii="Times New Roman" w:hAnsi="Times New Roman" w:cs="Times New Roman"/>
          <w:sz w:val="24"/>
          <w:szCs w:val="24"/>
          <w:lang w:val="en-US"/>
        </w:rPr>
        <w:t>performace</w:t>
      </w:r>
      <w:proofErr w:type="spellEnd"/>
      <w:r w:rsidRPr="00E11754">
        <w:rPr>
          <w:rFonts w:ascii="Times New Roman" w:hAnsi="Times New Roman" w:cs="Times New Roman"/>
          <w:sz w:val="24"/>
          <w:szCs w:val="24"/>
          <w:lang w:val="en-US"/>
        </w:rPr>
        <w:t xml:space="preserve"> liquid chromatographic method with a fluorescence detector for the analysis of </w:t>
      </w:r>
      <w:proofErr w:type="spellStart"/>
      <w:r w:rsidRPr="00E11754">
        <w:rPr>
          <w:rFonts w:ascii="Times New Roman" w:hAnsi="Times New Roman" w:cs="Times New Roman"/>
          <w:sz w:val="24"/>
          <w:szCs w:val="24"/>
          <w:lang w:val="en-US"/>
        </w:rPr>
        <w:t>epirubicin</w:t>
      </w:r>
      <w:proofErr w:type="spellEnd"/>
      <w:r w:rsidRPr="00E11754">
        <w:rPr>
          <w:rFonts w:ascii="Times New Roman" w:hAnsi="Times New Roman" w:cs="Times New Roman"/>
          <w:sz w:val="24"/>
          <w:szCs w:val="24"/>
          <w:lang w:val="en-US"/>
        </w:rPr>
        <w:t xml:space="preserve"> in human urine and plasma, and its application in drug monitoring, </w:t>
      </w:r>
      <w:r w:rsidRPr="00E11754">
        <w:rPr>
          <w:rFonts w:ascii="Times New Roman" w:hAnsi="Times New Roman" w:cs="Times New Roman"/>
          <w:i/>
          <w:iCs/>
          <w:sz w:val="24"/>
          <w:szCs w:val="24"/>
          <w:lang w:val="en-US"/>
        </w:rPr>
        <w:t>J.</w:t>
      </w:r>
      <w:r w:rsidR="00723DAA" w:rsidRPr="00E11754">
        <w:rPr>
          <w:rFonts w:ascii="Times New Roman" w:hAnsi="Times New Roman" w:cs="Times New Roman"/>
          <w:i/>
          <w:iCs/>
          <w:sz w:val="24"/>
          <w:szCs w:val="24"/>
          <w:lang w:val="en-US"/>
        </w:rPr>
        <w:t xml:space="preserve"> </w:t>
      </w:r>
      <w:proofErr w:type="spellStart"/>
      <w:r w:rsidRPr="00E11754">
        <w:rPr>
          <w:rFonts w:ascii="Times New Roman" w:hAnsi="Times New Roman" w:cs="Times New Roman"/>
          <w:i/>
          <w:iCs/>
          <w:sz w:val="24"/>
          <w:szCs w:val="24"/>
          <w:lang w:val="en-US"/>
        </w:rPr>
        <w:t>Chromatogr</w:t>
      </w:r>
      <w:proofErr w:type="spellEnd"/>
      <w:r w:rsidRPr="00E11754">
        <w:rPr>
          <w:rFonts w:ascii="Times New Roman" w:hAnsi="Times New Roman" w:cs="Times New Roman"/>
          <w:i/>
          <w:iCs/>
          <w:sz w:val="24"/>
          <w:szCs w:val="24"/>
          <w:lang w:val="en-US"/>
        </w:rPr>
        <w:t>. B</w:t>
      </w:r>
      <w:r w:rsidRPr="00E11754">
        <w:rPr>
          <w:rFonts w:ascii="Times New Roman" w:hAnsi="Times New Roman" w:cs="Times New Roman"/>
          <w:sz w:val="24"/>
          <w:szCs w:val="24"/>
          <w:lang w:val="en-US"/>
        </w:rPr>
        <w:t>.</w:t>
      </w:r>
      <w:r w:rsidR="00D54AE6" w:rsidRPr="00E11754">
        <w:rPr>
          <w:rFonts w:ascii="Times New Roman" w:hAnsi="Times New Roman" w:cs="Times New Roman"/>
          <w:sz w:val="24"/>
          <w:szCs w:val="24"/>
          <w:lang w:val="en-US"/>
        </w:rPr>
        <w:t>,</w:t>
      </w:r>
      <w:r w:rsidRPr="00E11754">
        <w:rPr>
          <w:rFonts w:ascii="Times New Roman" w:hAnsi="Times New Roman" w:cs="Times New Roman"/>
          <w:sz w:val="24"/>
          <w:szCs w:val="24"/>
          <w:lang w:val="en-US"/>
        </w:rPr>
        <w:t xml:space="preserve"> </w:t>
      </w:r>
      <w:r w:rsidRPr="00E11754">
        <w:rPr>
          <w:rFonts w:ascii="Times New Roman" w:hAnsi="Times New Roman" w:cs="Times New Roman"/>
          <w:b/>
          <w:bCs/>
          <w:sz w:val="24"/>
          <w:szCs w:val="24"/>
          <w:lang w:val="en-US"/>
        </w:rPr>
        <w:t>20</w:t>
      </w:r>
      <w:r w:rsidR="00D54B2E" w:rsidRPr="00E11754">
        <w:rPr>
          <w:rFonts w:ascii="Times New Roman" w:hAnsi="Times New Roman" w:cs="Times New Roman"/>
          <w:b/>
          <w:bCs/>
          <w:sz w:val="24"/>
          <w:szCs w:val="24"/>
          <w:lang w:val="en-US"/>
        </w:rPr>
        <w:t>19</w:t>
      </w:r>
      <w:r w:rsidRPr="00E11754">
        <w:rPr>
          <w:rFonts w:ascii="Times New Roman" w:hAnsi="Times New Roman" w:cs="Times New Roman"/>
          <w:sz w:val="24"/>
          <w:szCs w:val="24"/>
          <w:lang w:val="en-US"/>
        </w:rPr>
        <w:t>; vol. 1136, art. 121910, s. 1-8</w:t>
      </w:r>
      <w:r w:rsidR="00840310" w:rsidRPr="00E11754">
        <w:rPr>
          <w:rFonts w:ascii="Times New Roman" w:hAnsi="Times New Roman" w:cs="Times New Roman"/>
          <w:sz w:val="24"/>
          <w:szCs w:val="24"/>
          <w:lang w:val="en-US"/>
        </w:rPr>
        <w:br/>
      </w:r>
      <w:r w:rsidR="00B869A2" w:rsidRPr="00E11754">
        <w:rPr>
          <w:rFonts w:ascii="Times New Roman" w:hAnsi="Times New Roman" w:cs="Times New Roman"/>
          <w:sz w:val="24"/>
          <w:szCs w:val="24"/>
          <w:lang w:val="en-US"/>
        </w:rPr>
        <w:t>D</w:t>
      </w:r>
      <w:r w:rsidR="00840310" w:rsidRPr="00E11754">
        <w:rPr>
          <w:rFonts w:ascii="Times New Roman" w:hAnsi="Times New Roman" w:cs="Times New Roman"/>
          <w:sz w:val="24"/>
          <w:szCs w:val="24"/>
          <w:lang w:val="en-US"/>
        </w:rPr>
        <w:t xml:space="preserve">oi: </w:t>
      </w:r>
      <w:r w:rsidR="00060E3B" w:rsidRPr="00E11754">
        <w:rPr>
          <w:rStyle w:val="identifier"/>
          <w:rFonts w:ascii="Times New Roman" w:hAnsi="Times New Roman" w:cs="Times New Roman"/>
          <w:sz w:val="24"/>
          <w:szCs w:val="24"/>
          <w:lang w:val="en-GB"/>
        </w:rPr>
        <w:t>10.1016/j.jchromb.2019.121910</w:t>
      </w:r>
    </w:p>
    <w:p w14:paraId="0CDA692F" w14:textId="37D364ED" w:rsidR="00840310" w:rsidRPr="00E11754" w:rsidRDefault="00840310" w:rsidP="00840310">
      <w:pPr>
        <w:pStyle w:val="Akapitzlist"/>
        <w:spacing w:line="360" w:lineRule="auto"/>
        <w:ind w:left="360"/>
        <w:rPr>
          <w:rFonts w:ascii="Times New Roman" w:hAnsi="Times New Roman" w:cs="Times New Roman"/>
          <w:b/>
          <w:bCs/>
          <w:sz w:val="24"/>
          <w:szCs w:val="24"/>
        </w:rPr>
      </w:pPr>
      <w:r w:rsidRPr="00E11754">
        <w:rPr>
          <w:rFonts w:ascii="Times New Roman" w:hAnsi="Times New Roman" w:cs="Times New Roman"/>
          <w:b/>
          <w:bCs/>
          <w:sz w:val="24"/>
          <w:szCs w:val="24"/>
        </w:rPr>
        <w:t xml:space="preserve">Punktacja IF: </w:t>
      </w:r>
      <w:r w:rsidR="007359ED" w:rsidRPr="00E11754">
        <w:rPr>
          <w:rStyle w:val="fif"/>
          <w:rFonts w:ascii="Times New Roman" w:hAnsi="Times New Roman" w:cs="Times New Roman"/>
          <w:sz w:val="24"/>
          <w:szCs w:val="24"/>
          <w:shd w:val="clear" w:color="auto" w:fill="FFFFFF"/>
        </w:rPr>
        <w:t xml:space="preserve">3.205; </w:t>
      </w:r>
      <w:r w:rsidRPr="00E11754">
        <w:rPr>
          <w:rFonts w:ascii="Times New Roman" w:hAnsi="Times New Roman" w:cs="Times New Roman"/>
          <w:b/>
          <w:bCs/>
          <w:sz w:val="24"/>
          <w:szCs w:val="24"/>
        </w:rPr>
        <w:t xml:space="preserve">Punktacja </w:t>
      </w:r>
      <w:proofErr w:type="spellStart"/>
      <w:r w:rsidRPr="00E11754">
        <w:rPr>
          <w:rFonts w:ascii="Times New Roman" w:hAnsi="Times New Roman" w:cs="Times New Roman"/>
          <w:b/>
          <w:bCs/>
          <w:sz w:val="24"/>
          <w:szCs w:val="24"/>
        </w:rPr>
        <w:t>MEiN</w:t>
      </w:r>
      <w:proofErr w:type="spellEnd"/>
      <w:r w:rsidRPr="00E11754">
        <w:rPr>
          <w:rFonts w:ascii="Times New Roman" w:hAnsi="Times New Roman" w:cs="Times New Roman"/>
          <w:b/>
          <w:bCs/>
          <w:sz w:val="24"/>
          <w:szCs w:val="24"/>
        </w:rPr>
        <w:t xml:space="preserve">: </w:t>
      </w:r>
      <w:r w:rsidR="007359ED" w:rsidRPr="00E11754">
        <w:rPr>
          <w:rStyle w:val="fpk"/>
          <w:rFonts w:ascii="Times New Roman" w:hAnsi="Times New Roman" w:cs="Times New Roman"/>
          <w:sz w:val="24"/>
          <w:szCs w:val="24"/>
          <w:shd w:val="clear" w:color="auto" w:fill="FFFFFF"/>
        </w:rPr>
        <w:t>70.000</w:t>
      </w:r>
    </w:p>
    <w:p w14:paraId="653695E8" w14:textId="6A9746A7" w:rsidR="006C4A83" w:rsidRPr="00E11754" w:rsidRDefault="00D54AE6" w:rsidP="00B42610">
      <w:pPr>
        <w:numPr>
          <w:ilvl w:val="0"/>
          <w:numId w:val="8"/>
        </w:numPr>
        <w:spacing w:line="360" w:lineRule="auto"/>
        <w:rPr>
          <w:rFonts w:ascii="Times New Roman" w:hAnsi="Times New Roman" w:cs="Times New Roman"/>
          <w:sz w:val="24"/>
          <w:szCs w:val="24"/>
          <w:lang w:val="en-US"/>
        </w:rPr>
      </w:pPr>
      <w:r w:rsidRPr="00E11754">
        <w:rPr>
          <w:rFonts w:ascii="Times New Roman" w:hAnsi="Times New Roman" w:cs="Times New Roman"/>
          <w:color w:val="212121"/>
          <w:sz w:val="24"/>
          <w:szCs w:val="24"/>
          <w:shd w:val="clear" w:color="auto" w:fill="FFFFFF"/>
          <w:lang w:val="en-GB"/>
        </w:rPr>
        <w:t xml:space="preserve">O. </w:t>
      </w:r>
      <w:proofErr w:type="spellStart"/>
      <w:r w:rsidR="006C4A83" w:rsidRPr="00E11754">
        <w:rPr>
          <w:rFonts w:ascii="Times New Roman" w:hAnsi="Times New Roman" w:cs="Times New Roman"/>
          <w:color w:val="212121"/>
          <w:sz w:val="24"/>
          <w:szCs w:val="24"/>
          <w:shd w:val="clear" w:color="auto" w:fill="FFFFFF"/>
          <w:lang w:val="en-GB"/>
        </w:rPr>
        <w:t>Maliszewska</w:t>
      </w:r>
      <w:proofErr w:type="spellEnd"/>
      <w:r w:rsidR="006C4A83" w:rsidRPr="00E11754">
        <w:rPr>
          <w:rFonts w:ascii="Times New Roman" w:hAnsi="Times New Roman" w:cs="Times New Roman"/>
          <w:color w:val="212121"/>
          <w:sz w:val="24"/>
          <w:szCs w:val="24"/>
          <w:shd w:val="clear" w:color="auto" w:fill="FFFFFF"/>
          <w:lang w:val="en-GB"/>
        </w:rPr>
        <w:t xml:space="preserve">, </w:t>
      </w:r>
      <w:r w:rsidRPr="00E11754">
        <w:rPr>
          <w:rFonts w:ascii="Times New Roman" w:hAnsi="Times New Roman" w:cs="Times New Roman"/>
          <w:color w:val="212121"/>
          <w:sz w:val="24"/>
          <w:szCs w:val="24"/>
          <w:shd w:val="clear" w:color="auto" w:fill="FFFFFF"/>
          <w:lang w:val="en-GB"/>
        </w:rPr>
        <w:t xml:space="preserve">N. </w:t>
      </w:r>
      <w:proofErr w:type="spellStart"/>
      <w:r w:rsidR="006C4A83" w:rsidRPr="00E11754">
        <w:rPr>
          <w:rFonts w:ascii="Times New Roman" w:hAnsi="Times New Roman" w:cs="Times New Roman"/>
          <w:color w:val="212121"/>
          <w:sz w:val="24"/>
          <w:szCs w:val="24"/>
          <w:shd w:val="clear" w:color="auto" w:fill="FFFFFF"/>
          <w:lang w:val="en-GB"/>
        </w:rPr>
        <w:t>Treder</w:t>
      </w:r>
      <w:proofErr w:type="spellEnd"/>
      <w:r w:rsidRPr="00E11754">
        <w:rPr>
          <w:rFonts w:ascii="Times New Roman" w:hAnsi="Times New Roman" w:cs="Times New Roman"/>
          <w:color w:val="212121"/>
          <w:sz w:val="24"/>
          <w:szCs w:val="24"/>
          <w:shd w:val="clear" w:color="auto" w:fill="FFFFFF"/>
          <w:lang w:val="en-GB"/>
        </w:rPr>
        <w:t xml:space="preserve">, I. </w:t>
      </w:r>
      <w:proofErr w:type="spellStart"/>
      <w:r w:rsidR="006C4A83" w:rsidRPr="00E11754">
        <w:rPr>
          <w:rFonts w:ascii="Times New Roman" w:hAnsi="Times New Roman" w:cs="Times New Roman"/>
          <w:color w:val="212121"/>
          <w:sz w:val="24"/>
          <w:szCs w:val="24"/>
          <w:shd w:val="clear" w:color="auto" w:fill="FFFFFF"/>
          <w:lang w:val="en-GB"/>
        </w:rPr>
        <w:t>Olędzka</w:t>
      </w:r>
      <w:proofErr w:type="spellEnd"/>
      <w:r w:rsidR="006C4A83" w:rsidRPr="00E11754">
        <w:rPr>
          <w:rFonts w:ascii="Times New Roman" w:hAnsi="Times New Roman" w:cs="Times New Roman"/>
          <w:color w:val="212121"/>
          <w:sz w:val="24"/>
          <w:szCs w:val="24"/>
          <w:shd w:val="clear" w:color="auto" w:fill="FFFFFF"/>
          <w:lang w:val="en-GB"/>
        </w:rPr>
        <w:t xml:space="preserve">, </w:t>
      </w:r>
      <w:r w:rsidRPr="00E11754">
        <w:rPr>
          <w:rFonts w:ascii="Times New Roman" w:hAnsi="Times New Roman" w:cs="Times New Roman"/>
          <w:color w:val="212121"/>
          <w:sz w:val="24"/>
          <w:szCs w:val="24"/>
          <w:shd w:val="clear" w:color="auto" w:fill="FFFFFF"/>
          <w:lang w:val="en-GB"/>
        </w:rPr>
        <w:t xml:space="preserve">P. </w:t>
      </w:r>
      <w:r w:rsidR="006C4A83" w:rsidRPr="00E11754">
        <w:rPr>
          <w:rFonts w:ascii="Times New Roman" w:hAnsi="Times New Roman" w:cs="Times New Roman"/>
          <w:color w:val="212121"/>
          <w:sz w:val="24"/>
          <w:szCs w:val="24"/>
          <w:shd w:val="clear" w:color="auto" w:fill="FFFFFF"/>
          <w:lang w:val="en-GB"/>
        </w:rPr>
        <w:t xml:space="preserve">Kowalski, </w:t>
      </w:r>
      <w:r w:rsidRPr="00E11754">
        <w:rPr>
          <w:rFonts w:ascii="Times New Roman" w:hAnsi="Times New Roman" w:cs="Times New Roman"/>
          <w:color w:val="212121"/>
          <w:sz w:val="24"/>
          <w:szCs w:val="24"/>
          <w:shd w:val="clear" w:color="auto" w:fill="FFFFFF"/>
          <w:lang w:val="en-GB"/>
        </w:rPr>
        <w:t xml:space="preserve">N. </w:t>
      </w:r>
      <w:proofErr w:type="spellStart"/>
      <w:r w:rsidR="006C4A83" w:rsidRPr="00E11754">
        <w:rPr>
          <w:rFonts w:ascii="Times New Roman" w:hAnsi="Times New Roman" w:cs="Times New Roman"/>
          <w:color w:val="212121"/>
          <w:sz w:val="24"/>
          <w:szCs w:val="24"/>
          <w:shd w:val="clear" w:color="auto" w:fill="FFFFFF"/>
          <w:lang w:val="en-GB"/>
        </w:rPr>
        <w:t>Miękus</w:t>
      </w:r>
      <w:proofErr w:type="spellEnd"/>
      <w:r w:rsidR="006C4A83" w:rsidRPr="00E11754">
        <w:rPr>
          <w:rFonts w:ascii="Times New Roman" w:hAnsi="Times New Roman" w:cs="Times New Roman"/>
          <w:color w:val="212121"/>
          <w:sz w:val="24"/>
          <w:szCs w:val="24"/>
          <w:shd w:val="clear" w:color="auto" w:fill="FFFFFF"/>
          <w:lang w:val="en-GB"/>
        </w:rPr>
        <w:t xml:space="preserve">, </w:t>
      </w:r>
      <w:r w:rsidRPr="00E11754">
        <w:rPr>
          <w:rFonts w:ascii="Times New Roman" w:hAnsi="Times New Roman" w:cs="Times New Roman"/>
          <w:color w:val="212121"/>
          <w:sz w:val="24"/>
          <w:szCs w:val="24"/>
          <w:shd w:val="clear" w:color="auto" w:fill="FFFFFF"/>
          <w:lang w:val="en-GB"/>
        </w:rPr>
        <w:t xml:space="preserve">T. </w:t>
      </w:r>
      <w:proofErr w:type="spellStart"/>
      <w:r w:rsidR="006C4A83" w:rsidRPr="00E11754">
        <w:rPr>
          <w:rFonts w:ascii="Times New Roman" w:hAnsi="Times New Roman" w:cs="Times New Roman"/>
          <w:color w:val="212121"/>
          <w:sz w:val="24"/>
          <w:szCs w:val="24"/>
          <w:shd w:val="clear" w:color="auto" w:fill="FFFFFF"/>
          <w:lang w:val="en-GB"/>
        </w:rPr>
        <w:t>Bączek</w:t>
      </w:r>
      <w:proofErr w:type="spellEnd"/>
      <w:r w:rsidR="006C4A83" w:rsidRPr="00E11754">
        <w:rPr>
          <w:rFonts w:ascii="Times New Roman" w:hAnsi="Times New Roman" w:cs="Times New Roman"/>
          <w:color w:val="212121"/>
          <w:sz w:val="24"/>
          <w:szCs w:val="24"/>
          <w:shd w:val="clear" w:color="auto" w:fill="FFFFFF"/>
          <w:lang w:val="en-GB"/>
        </w:rPr>
        <w:t xml:space="preserve">, </w:t>
      </w:r>
      <w:r w:rsidRPr="00E11754">
        <w:rPr>
          <w:rFonts w:ascii="Times New Roman" w:hAnsi="Times New Roman" w:cs="Times New Roman"/>
          <w:color w:val="212121"/>
          <w:sz w:val="24"/>
          <w:szCs w:val="24"/>
          <w:shd w:val="clear" w:color="auto" w:fill="FFFFFF"/>
          <w:lang w:val="en-GB"/>
        </w:rPr>
        <w:t xml:space="preserve">W. </w:t>
      </w:r>
      <w:proofErr w:type="spellStart"/>
      <w:r w:rsidR="006C4A83" w:rsidRPr="00E11754">
        <w:rPr>
          <w:rFonts w:ascii="Times New Roman" w:hAnsi="Times New Roman" w:cs="Times New Roman"/>
          <w:color w:val="212121"/>
          <w:sz w:val="24"/>
          <w:szCs w:val="24"/>
          <w:shd w:val="clear" w:color="auto" w:fill="FFFFFF"/>
          <w:lang w:val="en-GB"/>
        </w:rPr>
        <w:t>Rodzaj</w:t>
      </w:r>
      <w:proofErr w:type="spellEnd"/>
      <w:r w:rsidR="006C4A83" w:rsidRPr="00E11754">
        <w:rPr>
          <w:rFonts w:ascii="Times New Roman" w:hAnsi="Times New Roman" w:cs="Times New Roman"/>
          <w:color w:val="212121"/>
          <w:sz w:val="24"/>
          <w:szCs w:val="24"/>
          <w:shd w:val="clear" w:color="auto" w:fill="FFFFFF"/>
          <w:lang w:val="en-GB"/>
        </w:rPr>
        <w:t xml:space="preserve">, </w:t>
      </w:r>
      <w:r w:rsidRPr="00E11754">
        <w:rPr>
          <w:rFonts w:ascii="Times New Roman" w:hAnsi="Times New Roman" w:cs="Times New Roman"/>
          <w:color w:val="212121"/>
          <w:sz w:val="24"/>
          <w:szCs w:val="24"/>
          <w:shd w:val="clear" w:color="auto" w:fill="FFFFFF"/>
          <w:lang w:val="en-GB"/>
        </w:rPr>
        <w:t xml:space="preserve">E. </w:t>
      </w:r>
      <w:proofErr w:type="spellStart"/>
      <w:r w:rsidR="006C4A83" w:rsidRPr="00E11754">
        <w:rPr>
          <w:rFonts w:ascii="Times New Roman" w:hAnsi="Times New Roman" w:cs="Times New Roman"/>
          <w:color w:val="212121"/>
          <w:sz w:val="24"/>
          <w:szCs w:val="24"/>
          <w:shd w:val="clear" w:color="auto" w:fill="FFFFFF"/>
          <w:lang w:val="en-GB"/>
        </w:rPr>
        <w:t>Bień</w:t>
      </w:r>
      <w:proofErr w:type="spellEnd"/>
      <w:r w:rsidR="006C4A83" w:rsidRPr="00E11754">
        <w:rPr>
          <w:rFonts w:ascii="Times New Roman" w:hAnsi="Times New Roman" w:cs="Times New Roman"/>
          <w:color w:val="212121"/>
          <w:sz w:val="24"/>
          <w:szCs w:val="24"/>
          <w:shd w:val="clear" w:color="auto" w:fill="FFFFFF"/>
          <w:lang w:val="en-GB"/>
        </w:rPr>
        <w:t xml:space="preserve">, </w:t>
      </w:r>
      <w:r w:rsidRPr="00E11754">
        <w:rPr>
          <w:rFonts w:ascii="Times New Roman" w:hAnsi="Times New Roman" w:cs="Times New Roman"/>
          <w:color w:val="212121"/>
          <w:sz w:val="24"/>
          <w:szCs w:val="24"/>
          <w:shd w:val="clear" w:color="auto" w:fill="FFFFFF"/>
          <w:lang w:val="en-GB"/>
        </w:rPr>
        <w:t xml:space="preserve">M.A. </w:t>
      </w:r>
      <w:r w:rsidR="006C4A83" w:rsidRPr="00E11754">
        <w:rPr>
          <w:rFonts w:ascii="Times New Roman" w:hAnsi="Times New Roman" w:cs="Times New Roman"/>
          <w:color w:val="212121"/>
          <w:sz w:val="24"/>
          <w:szCs w:val="24"/>
          <w:shd w:val="clear" w:color="auto" w:fill="FFFFFF"/>
          <w:lang w:val="en-GB"/>
        </w:rPr>
        <w:t xml:space="preserve">Krawczyk, </w:t>
      </w:r>
      <w:r w:rsidRPr="00E11754">
        <w:rPr>
          <w:rFonts w:ascii="Times New Roman" w:hAnsi="Times New Roman" w:cs="Times New Roman"/>
          <w:color w:val="212121"/>
          <w:sz w:val="24"/>
          <w:szCs w:val="24"/>
          <w:shd w:val="clear" w:color="auto" w:fill="FFFFFF"/>
          <w:lang w:val="en-GB"/>
        </w:rPr>
        <w:t xml:space="preserve">A. </w:t>
      </w:r>
      <w:proofErr w:type="spellStart"/>
      <w:r w:rsidR="006C4A83" w:rsidRPr="00E11754">
        <w:rPr>
          <w:rFonts w:ascii="Times New Roman" w:hAnsi="Times New Roman" w:cs="Times New Roman"/>
          <w:color w:val="212121"/>
          <w:sz w:val="24"/>
          <w:szCs w:val="24"/>
          <w:shd w:val="clear" w:color="auto" w:fill="FFFFFF"/>
          <w:lang w:val="en-GB"/>
        </w:rPr>
        <w:t>Plenis</w:t>
      </w:r>
      <w:proofErr w:type="spellEnd"/>
      <w:r w:rsidRPr="00E11754">
        <w:rPr>
          <w:rFonts w:ascii="Times New Roman" w:hAnsi="Times New Roman" w:cs="Times New Roman"/>
          <w:color w:val="212121"/>
          <w:sz w:val="24"/>
          <w:szCs w:val="24"/>
          <w:shd w:val="clear" w:color="auto" w:fill="FFFFFF"/>
          <w:lang w:val="en-GB"/>
        </w:rPr>
        <w:t>,</w:t>
      </w:r>
      <w:r w:rsidR="006C4A83" w:rsidRPr="00E11754">
        <w:rPr>
          <w:rFonts w:ascii="Times New Roman" w:hAnsi="Times New Roman" w:cs="Times New Roman"/>
          <w:color w:val="212121"/>
          <w:sz w:val="24"/>
          <w:szCs w:val="24"/>
          <w:shd w:val="clear" w:color="auto" w:fill="FFFFFF"/>
          <w:lang w:val="en-GB"/>
        </w:rPr>
        <w:t xml:space="preserve"> Sensitive Analysis of Idarubicin in Human Urine and Plasma by Liquid Chromatography with Fluorescence Detection: An Application in Drug Monitoring</w:t>
      </w:r>
      <w:r w:rsidRPr="00E11754">
        <w:rPr>
          <w:rFonts w:ascii="Times New Roman" w:hAnsi="Times New Roman" w:cs="Times New Roman"/>
          <w:color w:val="212121"/>
          <w:sz w:val="24"/>
          <w:szCs w:val="24"/>
          <w:shd w:val="clear" w:color="auto" w:fill="FFFFFF"/>
          <w:lang w:val="en-GB"/>
        </w:rPr>
        <w:t>,</w:t>
      </w:r>
      <w:r w:rsidR="006C4A83" w:rsidRPr="00E11754">
        <w:rPr>
          <w:rFonts w:ascii="Times New Roman" w:hAnsi="Times New Roman" w:cs="Times New Roman"/>
          <w:color w:val="212121"/>
          <w:sz w:val="24"/>
          <w:szCs w:val="24"/>
          <w:shd w:val="clear" w:color="auto" w:fill="FFFFFF"/>
          <w:lang w:val="en-GB"/>
        </w:rPr>
        <w:t xml:space="preserve"> </w:t>
      </w:r>
      <w:r w:rsidR="006C4A83" w:rsidRPr="00E11754">
        <w:rPr>
          <w:rFonts w:ascii="Times New Roman" w:hAnsi="Times New Roman" w:cs="Times New Roman"/>
          <w:i/>
          <w:iCs/>
          <w:color w:val="212121"/>
          <w:sz w:val="24"/>
          <w:szCs w:val="24"/>
          <w:shd w:val="clear" w:color="auto" w:fill="FFFFFF"/>
          <w:lang w:val="en-GB"/>
        </w:rPr>
        <w:t>Molecules</w:t>
      </w:r>
      <w:r w:rsidRPr="00E11754">
        <w:rPr>
          <w:rFonts w:ascii="Times New Roman" w:hAnsi="Times New Roman" w:cs="Times New Roman"/>
          <w:i/>
          <w:iCs/>
          <w:color w:val="212121"/>
          <w:sz w:val="24"/>
          <w:szCs w:val="24"/>
          <w:shd w:val="clear" w:color="auto" w:fill="FFFFFF"/>
          <w:lang w:val="en-GB"/>
        </w:rPr>
        <w:t>,</w:t>
      </w:r>
      <w:r w:rsidR="006C4A83" w:rsidRPr="00E11754">
        <w:rPr>
          <w:rFonts w:ascii="Times New Roman" w:hAnsi="Times New Roman" w:cs="Times New Roman"/>
          <w:color w:val="212121"/>
          <w:sz w:val="24"/>
          <w:szCs w:val="24"/>
          <w:shd w:val="clear" w:color="auto" w:fill="FFFFFF"/>
          <w:lang w:val="en-GB"/>
        </w:rPr>
        <w:t xml:space="preserve"> </w:t>
      </w:r>
      <w:r w:rsidR="006C4A83" w:rsidRPr="00E11754">
        <w:rPr>
          <w:rFonts w:ascii="Times New Roman" w:hAnsi="Times New Roman" w:cs="Times New Roman"/>
          <w:b/>
          <w:bCs/>
          <w:color w:val="212121"/>
          <w:sz w:val="24"/>
          <w:szCs w:val="24"/>
          <w:shd w:val="clear" w:color="auto" w:fill="FFFFFF"/>
          <w:lang w:val="en-GB"/>
        </w:rPr>
        <w:t>2020</w:t>
      </w:r>
      <w:r w:rsidR="006C4A83" w:rsidRPr="00E11754">
        <w:rPr>
          <w:rFonts w:ascii="Times New Roman" w:hAnsi="Times New Roman" w:cs="Times New Roman"/>
          <w:color w:val="212121"/>
          <w:sz w:val="24"/>
          <w:szCs w:val="24"/>
          <w:shd w:val="clear" w:color="auto" w:fill="FFFFFF"/>
          <w:lang w:val="en-GB"/>
        </w:rPr>
        <w:t xml:space="preserve"> Dec 9;25(24):5799</w:t>
      </w:r>
      <w:r w:rsidR="00840310" w:rsidRPr="00E11754">
        <w:rPr>
          <w:rFonts w:ascii="Times New Roman" w:hAnsi="Times New Roman" w:cs="Times New Roman"/>
          <w:color w:val="212121"/>
          <w:sz w:val="24"/>
          <w:szCs w:val="24"/>
          <w:shd w:val="clear" w:color="auto" w:fill="FFFFFF"/>
          <w:lang w:val="en-GB"/>
        </w:rPr>
        <w:br/>
      </w:r>
      <w:r w:rsidR="00B869A2" w:rsidRPr="00E11754">
        <w:rPr>
          <w:rFonts w:ascii="Times New Roman" w:hAnsi="Times New Roman" w:cs="Times New Roman"/>
          <w:sz w:val="24"/>
          <w:szCs w:val="24"/>
          <w:shd w:val="clear" w:color="auto" w:fill="FFFFFF"/>
          <w:lang w:val="en-GB"/>
        </w:rPr>
        <w:t>D</w:t>
      </w:r>
      <w:r w:rsidR="006C4A83" w:rsidRPr="00E11754">
        <w:rPr>
          <w:rFonts w:ascii="Times New Roman" w:hAnsi="Times New Roman" w:cs="Times New Roman"/>
          <w:sz w:val="24"/>
          <w:szCs w:val="24"/>
          <w:shd w:val="clear" w:color="auto" w:fill="FFFFFF"/>
          <w:lang w:val="en-GB"/>
        </w:rPr>
        <w:t>oi: 10.3390/molecules25245799</w:t>
      </w:r>
    </w:p>
    <w:p w14:paraId="6C682166" w14:textId="276E4A22" w:rsidR="00D54B2E" w:rsidRPr="00063B6E" w:rsidRDefault="00840310" w:rsidP="00D54B2E">
      <w:pPr>
        <w:pStyle w:val="Akapitzlist"/>
        <w:spacing w:line="360" w:lineRule="auto"/>
        <w:ind w:left="360"/>
        <w:rPr>
          <w:rFonts w:ascii="Times New Roman" w:hAnsi="Times New Roman" w:cs="Times New Roman"/>
          <w:sz w:val="24"/>
          <w:szCs w:val="24"/>
          <w:shd w:val="clear" w:color="auto" w:fill="FFFFFF"/>
          <w:lang w:val="en-GB"/>
        </w:rPr>
      </w:pPr>
      <w:proofErr w:type="spellStart"/>
      <w:r w:rsidRPr="00E11754">
        <w:rPr>
          <w:rFonts w:ascii="Times New Roman" w:hAnsi="Times New Roman" w:cs="Times New Roman"/>
          <w:b/>
          <w:bCs/>
          <w:sz w:val="24"/>
          <w:szCs w:val="24"/>
          <w:lang w:val="en-GB"/>
        </w:rPr>
        <w:t>Punktacja</w:t>
      </w:r>
      <w:proofErr w:type="spellEnd"/>
      <w:r w:rsidRPr="00E11754">
        <w:rPr>
          <w:rFonts w:ascii="Times New Roman" w:hAnsi="Times New Roman" w:cs="Times New Roman"/>
          <w:b/>
          <w:bCs/>
          <w:sz w:val="24"/>
          <w:szCs w:val="24"/>
          <w:lang w:val="en-GB"/>
        </w:rPr>
        <w:t xml:space="preserve"> IF: </w:t>
      </w:r>
      <w:r w:rsidR="00902F0D" w:rsidRPr="00E11754">
        <w:rPr>
          <w:rStyle w:val="fif"/>
          <w:rFonts w:ascii="Times New Roman" w:hAnsi="Times New Roman" w:cs="Times New Roman"/>
          <w:sz w:val="24"/>
          <w:szCs w:val="24"/>
          <w:shd w:val="clear" w:color="auto" w:fill="FFFFFF"/>
          <w:lang w:val="en-GB"/>
        </w:rPr>
        <w:t xml:space="preserve">4.412; </w:t>
      </w:r>
      <w:proofErr w:type="spellStart"/>
      <w:r w:rsidRPr="00E11754">
        <w:rPr>
          <w:rFonts w:ascii="Times New Roman" w:hAnsi="Times New Roman" w:cs="Times New Roman"/>
          <w:b/>
          <w:bCs/>
          <w:sz w:val="24"/>
          <w:szCs w:val="24"/>
          <w:lang w:val="en-GB"/>
        </w:rPr>
        <w:t>Punktacja</w:t>
      </w:r>
      <w:proofErr w:type="spellEnd"/>
      <w:r w:rsidRPr="00E11754">
        <w:rPr>
          <w:rFonts w:ascii="Times New Roman" w:hAnsi="Times New Roman" w:cs="Times New Roman"/>
          <w:b/>
          <w:bCs/>
          <w:sz w:val="24"/>
          <w:szCs w:val="24"/>
          <w:lang w:val="en-GB"/>
        </w:rPr>
        <w:t xml:space="preserve"> </w:t>
      </w:r>
      <w:proofErr w:type="spellStart"/>
      <w:r w:rsidRPr="00E11754">
        <w:rPr>
          <w:rFonts w:ascii="Times New Roman" w:hAnsi="Times New Roman" w:cs="Times New Roman"/>
          <w:b/>
          <w:bCs/>
          <w:sz w:val="24"/>
          <w:szCs w:val="24"/>
          <w:lang w:val="en-GB"/>
        </w:rPr>
        <w:t>MEiN</w:t>
      </w:r>
      <w:proofErr w:type="spellEnd"/>
      <w:r w:rsidRPr="00E11754">
        <w:rPr>
          <w:rFonts w:ascii="Times New Roman" w:hAnsi="Times New Roman" w:cs="Times New Roman"/>
          <w:b/>
          <w:bCs/>
          <w:sz w:val="24"/>
          <w:szCs w:val="24"/>
          <w:lang w:val="en-GB"/>
        </w:rPr>
        <w:t>:</w:t>
      </w:r>
      <w:r w:rsidR="00902F0D" w:rsidRPr="00E11754">
        <w:rPr>
          <w:rFonts w:ascii="Times New Roman" w:hAnsi="Times New Roman" w:cs="Times New Roman"/>
          <w:b/>
          <w:bCs/>
          <w:sz w:val="24"/>
          <w:szCs w:val="24"/>
          <w:lang w:val="en-GB"/>
        </w:rPr>
        <w:t xml:space="preserve"> </w:t>
      </w:r>
      <w:r w:rsidR="00902F0D" w:rsidRPr="00E11754">
        <w:rPr>
          <w:rStyle w:val="fpk"/>
          <w:rFonts w:ascii="Times New Roman" w:hAnsi="Times New Roman" w:cs="Times New Roman"/>
          <w:sz w:val="24"/>
          <w:szCs w:val="24"/>
          <w:shd w:val="clear" w:color="auto" w:fill="FFFFFF"/>
          <w:lang w:val="en-GB"/>
        </w:rPr>
        <w:t>140.000</w:t>
      </w:r>
    </w:p>
    <w:p w14:paraId="39582333" w14:textId="5DE63225" w:rsidR="00B42610" w:rsidRPr="00E11754" w:rsidRDefault="00D54AE6" w:rsidP="00D54B2E">
      <w:pPr>
        <w:pStyle w:val="Akapitzlist"/>
        <w:numPr>
          <w:ilvl w:val="0"/>
          <w:numId w:val="8"/>
        </w:numPr>
        <w:spacing w:line="360" w:lineRule="auto"/>
        <w:rPr>
          <w:rFonts w:ascii="Times New Roman" w:hAnsi="Times New Roman" w:cs="Times New Roman"/>
          <w:sz w:val="24"/>
          <w:szCs w:val="24"/>
          <w:shd w:val="clear" w:color="auto" w:fill="FFFFFF"/>
          <w:lang w:val="en-GB"/>
        </w:rPr>
      </w:pPr>
      <w:r w:rsidRPr="00E11754">
        <w:rPr>
          <w:rFonts w:ascii="Times New Roman" w:hAnsi="Times New Roman" w:cs="Times New Roman"/>
          <w:color w:val="222222"/>
          <w:sz w:val="24"/>
          <w:szCs w:val="24"/>
          <w:shd w:val="clear" w:color="auto" w:fill="FFFFFF"/>
          <w:lang w:val="en-GB"/>
        </w:rPr>
        <w:t xml:space="preserve">O. </w:t>
      </w:r>
      <w:proofErr w:type="spellStart"/>
      <w:r w:rsidR="006C4A83" w:rsidRPr="00E11754">
        <w:rPr>
          <w:rFonts w:ascii="Times New Roman" w:hAnsi="Times New Roman" w:cs="Times New Roman"/>
          <w:color w:val="222222"/>
          <w:sz w:val="24"/>
          <w:szCs w:val="24"/>
          <w:shd w:val="clear" w:color="auto" w:fill="FFFFFF"/>
          <w:lang w:val="en-GB"/>
        </w:rPr>
        <w:t>Maliszewska</w:t>
      </w:r>
      <w:proofErr w:type="spellEnd"/>
      <w:r w:rsidR="006C4A83" w:rsidRPr="00E11754">
        <w:rPr>
          <w:rFonts w:ascii="Times New Roman" w:hAnsi="Times New Roman" w:cs="Times New Roman"/>
          <w:color w:val="222222"/>
          <w:sz w:val="24"/>
          <w:szCs w:val="24"/>
          <w:shd w:val="clear" w:color="auto" w:fill="FFFFFF"/>
          <w:lang w:val="en-GB"/>
        </w:rPr>
        <w:t xml:space="preserve">, </w:t>
      </w:r>
      <w:r w:rsidRPr="00E11754">
        <w:rPr>
          <w:rFonts w:ascii="Times New Roman" w:hAnsi="Times New Roman" w:cs="Times New Roman"/>
          <w:color w:val="222222"/>
          <w:sz w:val="24"/>
          <w:szCs w:val="24"/>
          <w:shd w:val="clear" w:color="auto" w:fill="FFFFFF"/>
          <w:lang w:val="en-GB"/>
        </w:rPr>
        <w:t xml:space="preserve">N. </w:t>
      </w:r>
      <w:proofErr w:type="spellStart"/>
      <w:r w:rsidR="006C4A83" w:rsidRPr="00E11754">
        <w:rPr>
          <w:rFonts w:ascii="Times New Roman" w:hAnsi="Times New Roman" w:cs="Times New Roman"/>
          <w:color w:val="222222"/>
          <w:sz w:val="24"/>
          <w:szCs w:val="24"/>
          <w:shd w:val="clear" w:color="auto" w:fill="FFFFFF"/>
          <w:lang w:val="en-GB"/>
        </w:rPr>
        <w:t>Treder</w:t>
      </w:r>
      <w:proofErr w:type="spellEnd"/>
      <w:r w:rsidRPr="00E11754">
        <w:rPr>
          <w:rFonts w:ascii="Times New Roman" w:hAnsi="Times New Roman" w:cs="Times New Roman"/>
          <w:color w:val="222222"/>
          <w:sz w:val="24"/>
          <w:szCs w:val="24"/>
          <w:shd w:val="clear" w:color="auto" w:fill="FFFFFF"/>
          <w:lang w:val="en-GB"/>
        </w:rPr>
        <w:t>, A.</w:t>
      </w:r>
      <w:r w:rsidR="006C4A83" w:rsidRPr="00E11754">
        <w:rPr>
          <w:rFonts w:ascii="Times New Roman" w:hAnsi="Times New Roman" w:cs="Times New Roman"/>
          <w:color w:val="222222"/>
          <w:sz w:val="24"/>
          <w:szCs w:val="24"/>
          <w:shd w:val="clear" w:color="auto" w:fill="FFFFFF"/>
          <w:lang w:val="en-GB"/>
        </w:rPr>
        <w:t xml:space="preserve"> </w:t>
      </w:r>
      <w:proofErr w:type="spellStart"/>
      <w:r w:rsidR="006C4A83" w:rsidRPr="00E11754">
        <w:rPr>
          <w:rFonts w:ascii="Times New Roman" w:hAnsi="Times New Roman" w:cs="Times New Roman"/>
          <w:color w:val="222222"/>
          <w:sz w:val="24"/>
          <w:szCs w:val="24"/>
          <w:shd w:val="clear" w:color="auto" w:fill="FFFFFF"/>
          <w:lang w:val="en-GB"/>
        </w:rPr>
        <w:t>Roszkowska</w:t>
      </w:r>
      <w:proofErr w:type="spellEnd"/>
      <w:r w:rsidR="006C4A83" w:rsidRPr="00E11754">
        <w:rPr>
          <w:rFonts w:ascii="Times New Roman" w:hAnsi="Times New Roman" w:cs="Times New Roman"/>
          <w:color w:val="222222"/>
          <w:sz w:val="24"/>
          <w:szCs w:val="24"/>
          <w:shd w:val="clear" w:color="auto" w:fill="FFFFFF"/>
          <w:lang w:val="en-GB"/>
        </w:rPr>
        <w:t>,</w:t>
      </w:r>
      <w:r w:rsidRPr="00E11754">
        <w:rPr>
          <w:rFonts w:ascii="Times New Roman" w:hAnsi="Times New Roman" w:cs="Times New Roman"/>
          <w:color w:val="222222"/>
          <w:sz w:val="24"/>
          <w:szCs w:val="24"/>
          <w:shd w:val="clear" w:color="auto" w:fill="FFFFFF"/>
          <w:lang w:val="en-GB"/>
        </w:rPr>
        <w:t xml:space="preserve"> I. </w:t>
      </w:r>
      <w:proofErr w:type="spellStart"/>
      <w:r w:rsidR="006C4A83" w:rsidRPr="00E11754">
        <w:rPr>
          <w:rFonts w:ascii="Times New Roman" w:hAnsi="Times New Roman" w:cs="Times New Roman"/>
          <w:color w:val="222222"/>
          <w:sz w:val="24"/>
          <w:szCs w:val="24"/>
          <w:shd w:val="clear" w:color="auto" w:fill="FFFFFF"/>
          <w:lang w:val="en-GB"/>
        </w:rPr>
        <w:t>Olędzka</w:t>
      </w:r>
      <w:proofErr w:type="spellEnd"/>
      <w:r w:rsidR="006C4A83" w:rsidRPr="00E11754">
        <w:rPr>
          <w:rFonts w:ascii="Times New Roman" w:hAnsi="Times New Roman" w:cs="Times New Roman"/>
          <w:color w:val="222222"/>
          <w:sz w:val="24"/>
          <w:szCs w:val="24"/>
          <w:shd w:val="clear" w:color="auto" w:fill="FFFFFF"/>
          <w:lang w:val="en-GB"/>
        </w:rPr>
        <w:t>,</w:t>
      </w:r>
      <w:r w:rsidRPr="00E11754">
        <w:rPr>
          <w:rFonts w:ascii="Times New Roman" w:hAnsi="Times New Roman" w:cs="Times New Roman"/>
          <w:color w:val="222222"/>
          <w:sz w:val="24"/>
          <w:szCs w:val="24"/>
          <w:shd w:val="clear" w:color="auto" w:fill="FFFFFF"/>
          <w:lang w:val="en-GB"/>
        </w:rPr>
        <w:t xml:space="preserve"> P.</w:t>
      </w:r>
      <w:r w:rsidR="006C4A83" w:rsidRPr="00E11754">
        <w:rPr>
          <w:rFonts w:ascii="Times New Roman" w:hAnsi="Times New Roman" w:cs="Times New Roman"/>
          <w:color w:val="222222"/>
          <w:sz w:val="24"/>
          <w:szCs w:val="24"/>
          <w:shd w:val="clear" w:color="auto" w:fill="FFFFFF"/>
          <w:lang w:val="en-GB"/>
        </w:rPr>
        <w:t xml:space="preserve"> Kowalski,</w:t>
      </w:r>
      <w:r w:rsidRPr="00E11754">
        <w:rPr>
          <w:rFonts w:ascii="Times New Roman" w:hAnsi="Times New Roman" w:cs="Times New Roman"/>
          <w:color w:val="222222"/>
          <w:sz w:val="24"/>
          <w:szCs w:val="24"/>
          <w:shd w:val="clear" w:color="auto" w:fill="FFFFFF"/>
          <w:lang w:val="en-GB"/>
        </w:rPr>
        <w:t xml:space="preserve"> T.</w:t>
      </w:r>
      <w:r w:rsidR="006C4A83" w:rsidRPr="00E11754">
        <w:rPr>
          <w:rFonts w:ascii="Times New Roman" w:hAnsi="Times New Roman" w:cs="Times New Roman"/>
          <w:color w:val="222222"/>
          <w:sz w:val="24"/>
          <w:szCs w:val="24"/>
          <w:shd w:val="clear" w:color="auto" w:fill="FFFFFF"/>
          <w:lang w:val="en-GB"/>
        </w:rPr>
        <w:t xml:space="preserve"> </w:t>
      </w:r>
      <w:proofErr w:type="spellStart"/>
      <w:r w:rsidR="006C4A83" w:rsidRPr="00E11754">
        <w:rPr>
          <w:rFonts w:ascii="Times New Roman" w:hAnsi="Times New Roman" w:cs="Times New Roman"/>
          <w:color w:val="222222"/>
          <w:sz w:val="24"/>
          <w:szCs w:val="24"/>
          <w:shd w:val="clear" w:color="auto" w:fill="FFFFFF"/>
          <w:lang w:val="en-GB"/>
        </w:rPr>
        <w:t>Bączek</w:t>
      </w:r>
      <w:proofErr w:type="spellEnd"/>
      <w:r w:rsidR="006C4A83" w:rsidRPr="00E11754">
        <w:rPr>
          <w:rFonts w:ascii="Times New Roman" w:hAnsi="Times New Roman" w:cs="Times New Roman"/>
          <w:color w:val="222222"/>
          <w:sz w:val="24"/>
          <w:szCs w:val="24"/>
          <w:shd w:val="clear" w:color="auto" w:fill="FFFFFF"/>
          <w:lang w:val="en-GB"/>
        </w:rPr>
        <w:t>,</w:t>
      </w:r>
      <w:r w:rsidRPr="00E11754">
        <w:rPr>
          <w:rFonts w:ascii="Times New Roman" w:hAnsi="Times New Roman" w:cs="Times New Roman"/>
          <w:color w:val="222222"/>
          <w:sz w:val="24"/>
          <w:szCs w:val="24"/>
          <w:shd w:val="clear" w:color="auto" w:fill="FFFFFF"/>
          <w:lang w:val="en-GB"/>
        </w:rPr>
        <w:t xml:space="preserve">                A.</w:t>
      </w:r>
      <w:r w:rsidR="00095AE1" w:rsidRPr="00E11754">
        <w:rPr>
          <w:rFonts w:ascii="Times New Roman" w:hAnsi="Times New Roman" w:cs="Times New Roman"/>
          <w:color w:val="222222"/>
          <w:sz w:val="24"/>
          <w:szCs w:val="24"/>
          <w:shd w:val="clear" w:color="auto" w:fill="FFFFFF"/>
          <w:lang w:val="en-GB"/>
        </w:rPr>
        <w:t xml:space="preserve"> </w:t>
      </w:r>
      <w:proofErr w:type="spellStart"/>
      <w:r w:rsidR="006C4A83" w:rsidRPr="00E11754">
        <w:rPr>
          <w:rFonts w:ascii="Times New Roman" w:hAnsi="Times New Roman" w:cs="Times New Roman"/>
          <w:color w:val="222222"/>
          <w:sz w:val="24"/>
          <w:szCs w:val="24"/>
          <w:shd w:val="clear" w:color="auto" w:fill="FFFFFF"/>
          <w:lang w:val="en-GB"/>
        </w:rPr>
        <w:t>Plenis</w:t>
      </w:r>
      <w:proofErr w:type="spellEnd"/>
      <w:r w:rsidRPr="00E11754">
        <w:rPr>
          <w:rFonts w:ascii="Times New Roman" w:hAnsi="Times New Roman" w:cs="Times New Roman"/>
          <w:color w:val="222222"/>
          <w:sz w:val="24"/>
          <w:szCs w:val="24"/>
          <w:shd w:val="clear" w:color="auto" w:fill="FFFFFF"/>
          <w:lang w:val="en-GB"/>
        </w:rPr>
        <w:t>,</w:t>
      </w:r>
      <w:r w:rsidR="006C4A83" w:rsidRPr="00E11754">
        <w:rPr>
          <w:rFonts w:ascii="Times New Roman" w:hAnsi="Times New Roman" w:cs="Times New Roman"/>
          <w:color w:val="222222"/>
          <w:sz w:val="24"/>
          <w:szCs w:val="24"/>
          <w:shd w:val="clear" w:color="auto" w:fill="FFFFFF"/>
          <w:lang w:val="en-GB"/>
        </w:rPr>
        <w:t xml:space="preserve"> Comparative Study of Various Procedures for Extracting Doxorubicin from Animal Tissue Samples</w:t>
      </w:r>
      <w:r w:rsidRPr="00E11754">
        <w:rPr>
          <w:rFonts w:ascii="Times New Roman" w:hAnsi="Times New Roman" w:cs="Times New Roman"/>
          <w:color w:val="222222"/>
          <w:sz w:val="24"/>
          <w:szCs w:val="24"/>
          <w:shd w:val="clear" w:color="auto" w:fill="FFFFFF"/>
          <w:lang w:val="en-GB"/>
        </w:rPr>
        <w:t>,</w:t>
      </w:r>
      <w:r w:rsidR="006C4A83" w:rsidRPr="00E11754">
        <w:rPr>
          <w:rFonts w:ascii="Times New Roman" w:hAnsi="Times New Roman" w:cs="Times New Roman"/>
          <w:color w:val="222222"/>
          <w:sz w:val="24"/>
          <w:szCs w:val="24"/>
          <w:shd w:val="clear" w:color="auto" w:fill="FFFFFF"/>
          <w:lang w:val="en-GB"/>
        </w:rPr>
        <w:t> </w:t>
      </w:r>
      <w:r w:rsidR="006C4A83" w:rsidRPr="00E11754">
        <w:rPr>
          <w:rStyle w:val="Uwydatnienie"/>
          <w:rFonts w:ascii="Times New Roman" w:hAnsi="Times New Roman" w:cs="Times New Roman"/>
          <w:color w:val="222222"/>
          <w:sz w:val="24"/>
          <w:szCs w:val="24"/>
          <w:shd w:val="clear" w:color="auto" w:fill="FFFFFF"/>
          <w:lang w:val="en-GB"/>
        </w:rPr>
        <w:t>Separations</w:t>
      </w:r>
      <w:r w:rsidR="006C4A83" w:rsidRPr="00E11754">
        <w:rPr>
          <w:rFonts w:ascii="Times New Roman" w:hAnsi="Times New Roman" w:cs="Times New Roman"/>
          <w:color w:val="222222"/>
          <w:sz w:val="24"/>
          <w:szCs w:val="24"/>
          <w:shd w:val="clear" w:color="auto" w:fill="FFFFFF"/>
          <w:lang w:val="en-GB"/>
        </w:rPr>
        <w:t> </w:t>
      </w:r>
      <w:r w:rsidR="006C4A83" w:rsidRPr="00E11754">
        <w:rPr>
          <w:rFonts w:ascii="Times New Roman" w:hAnsi="Times New Roman" w:cs="Times New Roman"/>
          <w:b/>
          <w:bCs/>
          <w:color w:val="222222"/>
          <w:sz w:val="24"/>
          <w:szCs w:val="24"/>
          <w:shd w:val="clear" w:color="auto" w:fill="FFFFFF"/>
          <w:lang w:val="en-GB"/>
        </w:rPr>
        <w:t>2023</w:t>
      </w:r>
      <w:r w:rsidR="006C4A83" w:rsidRPr="00E11754">
        <w:rPr>
          <w:rFonts w:ascii="Times New Roman" w:hAnsi="Times New Roman" w:cs="Times New Roman"/>
          <w:color w:val="222222"/>
          <w:sz w:val="24"/>
          <w:szCs w:val="24"/>
          <w:shd w:val="clear" w:color="auto" w:fill="FFFFFF"/>
          <w:lang w:val="en-GB"/>
        </w:rPr>
        <w:t>, </w:t>
      </w:r>
      <w:r w:rsidR="006C4A83" w:rsidRPr="00E11754">
        <w:rPr>
          <w:rStyle w:val="Uwydatnienie"/>
          <w:rFonts w:ascii="Times New Roman" w:hAnsi="Times New Roman" w:cs="Times New Roman"/>
          <w:color w:val="222222"/>
          <w:sz w:val="24"/>
          <w:szCs w:val="24"/>
          <w:shd w:val="clear" w:color="auto" w:fill="FFFFFF"/>
          <w:lang w:val="en-GB"/>
        </w:rPr>
        <w:t>10</w:t>
      </w:r>
      <w:r w:rsidR="006C4A83" w:rsidRPr="00E11754">
        <w:rPr>
          <w:rFonts w:ascii="Times New Roman" w:hAnsi="Times New Roman" w:cs="Times New Roman"/>
          <w:color w:val="222222"/>
          <w:sz w:val="24"/>
          <w:szCs w:val="24"/>
          <w:shd w:val="clear" w:color="auto" w:fill="FFFFFF"/>
          <w:lang w:val="en-GB"/>
        </w:rPr>
        <w:t>, 6</w:t>
      </w:r>
    </w:p>
    <w:p w14:paraId="7A21CA5B" w14:textId="0F4DDE5C" w:rsidR="006C4A83" w:rsidRPr="00E11754" w:rsidRDefault="00B869A2" w:rsidP="00B42610">
      <w:pPr>
        <w:pStyle w:val="Akapitzlist"/>
        <w:spacing w:line="360" w:lineRule="auto"/>
        <w:ind w:left="360"/>
        <w:rPr>
          <w:rFonts w:ascii="Times New Roman" w:hAnsi="Times New Roman" w:cs="Times New Roman"/>
          <w:sz w:val="24"/>
          <w:szCs w:val="24"/>
        </w:rPr>
      </w:pPr>
      <w:r w:rsidRPr="00E11754">
        <w:rPr>
          <w:rFonts w:ascii="Times New Roman" w:hAnsi="Times New Roman" w:cs="Times New Roman"/>
          <w:sz w:val="24"/>
          <w:szCs w:val="24"/>
          <w:shd w:val="clear" w:color="auto" w:fill="FFFFFF"/>
        </w:rPr>
        <w:t xml:space="preserve">Doi: </w:t>
      </w:r>
      <w:r w:rsidR="006C4A83" w:rsidRPr="00E11754">
        <w:rPr>
          <w:rFonts w:ascii="Times New Roman" w:hAnsi="Times New Roman" w:cs="Times New Roman"/>
          <w:sz w:val="24"/>
          <w:szCs w:val="24"/>
          <w:shd w:val="clear" w:color="auto" w:fill="FFFFFF"/>
        </w:rPr>
        <w:t>10.3390/separations10010006</w:t>
      </w:r>
      <w:r w:rsidR="006C4A83" w:rsidRPr="00E11754">
        <w:rPr>
          <w:rFonts w:ascii="Times New Roman" w:hAnsi="Times New Roman" w:cs="Times New Roman"/>
          <w:sz w:val="24"/>
          <w:szCs w:val="24"/>
        </w:rPr>
        <w:t xml:space="preserve"> </w:t>
      </w:r>
    </w:p>
    <w:p w14:paraId="0CD535E0" w14:textId="25E3017F" w:rsidR="00840310" w:rsidRDefault="00840310" w:rsidP="00B42610">
      <w:pPr>
        <w:pStyle w:val="Akapitzlist"/>
        <w:spacing w:line="360" w:lineRule="auto"/>
        <w:ind w:left="360"/>
        <w:rPr>
          <w:rStyle w:val="fpk"/>
          <w:rFonts w:ascii="Times New Roman" w:hAnsi="Times New Roman" w:cs="Times New Roman"/>
          <w:color w:val="000000"/>
          <w:sz w:val="24"/>
          <w:szCs w:val="24"/>
          <w:shd w:val="clear" w:color="auto" w:fill="FFFFFF"/>
        </w:rPr>
      </w:pPr>
      <w:r w:rsidRPr="00E11754">
        <w:rPr>
          <w:rFonts w:ascii="Times New Roman" w:hAnsi="Times New Roman" w:cs="Times New Roman"/>
          <w:b/>
          <w:bCs/>
          <w:sz w:val="24"/>
          <w:szCs w:val="24"/>
        </w:rPr>
        <w:t xml:space="preserve">Punktacja IF: </w:t>
      </w:r>
      <w:r w:rsidR="00CC296D" w:rsidRPr="00E11754">
        <w:rPr>
          <w:rStyle w:val="fif"/>
          <w:rFonts w:ascii="Times New Roman" w:hAnsi="Times New Roman" w:cs="Times New Roman"/>
          <w:color w:val="000000"/>
          <w:sz w:val="24"/>
          <w:szCs w:val="24"/>
          <w:shd w:val="clear" w:color="auto" w:fill="FFFFFF"/>
        </w:rPr>
        <w:t xml:space="preserve">3.344; </w:t>
      </w:r>
      <w:r w:rsidRPr="00E11754">
        <w:rPr>
          <w:rFonts w:ascii="Times New Roman" w:hAnsi="Times New Roman" w:cs="Times New Roman"/>
          <w:b/>
          <w:bCs/>
          <w:sz w:val="24"/>
          <w:szCs w:val="24"/>
        </w:rPr>
        <w:t xml:space="preserve">Punktacja </w:t>
      </w:r>
      <w:proofErr w:type="spellStart"/>
      <w:r w:rsidRPr="00E11754">
        <w:rPr>
          <w:rFonts w:ascii="Times New Roman" w:hAnsi="Times New Roman" w:cs="Times New Roman"/>
          <w:b/>
          <w:bCs/>
          <w:sz w:val="24"/>
          <w:szCs w:val="24"/>
        </w:rPr>
        <w:t>MEiN</w:t>
      </w:r>
      <w:proofErr w:type="spellEnd"/>
      <w:r w:rsidRPr="00E11754">
        <w:rPr>
          <w:rFonts w:ascii="Times New Roman" w:hAnsi="Times New Roman" w:cs="Times New Roman"/>
          <w:b/>
          <w:bCs/>
          <w:sz w:val="24"/>
          <w:szCs w:val="24"/>
        </w:rPr>
        <w:t xml:space="preserve">: </w:t>
      </w:r>
      <w:r w:rsidR="00CC296D" w:rsidRPr="00E11754">
        <w:rPr>
          <w:rStyle w:val="fpk"/>
          <w:rFonts w:ascii="Times New Roman" w:hAnsi="Times New Roman" w:cs="Times New Roman"/>
          <w:color w:val="000000"/>
          <w:sz w:val="24"/>
          <w:szCs w:val="24"/>
          <w:shd w:val="clear" w:color="auto" w:fill="FFFFFF"/>
        </w:rPr>
        <w:t>20.000</w:t>
      </w:r>
    </w:p>
    <w:p w14:paraId="2EF958ED" w14:textId="77777777" w:rsidR="00063B6E" w:rsidRDefault="00063B6E" w:rsidP="00B42610">
      <w:pPr>
        <w:pStyle w:val="Akapitzlist"/>
        <w:spacing w:line="360" w:lineRule="auto"/>
        <w:ind w:left="360"/>
        <w:rPr>
          <w:rFonts w:ascii="Times New Roman" w:hAnsi="Times New Roman" w:cs="Times New Roman"/>
          <w:b/>
          <w:bCs/>
          <w:sz w:val="24"/>
          <w:szCs w:val="24"/>
        </w:rPr>
      </w:pPr>
    </w:p>
    <w:p w14:paraId="49C7646D" w14:textId="77777777" w:rsidR="00063B6E" w:rsidRDefault="00063B6E" w:rsidP="00B42610">
      <w:pPr>
        <w:pStyle w:val="Akapitzlist"/>
        <w:spacing w:line="360" w:lineRule="auto"/>
        <w:ind w:left="360"/>
        <w:rPr>
          <w:rFonts w:ascii="Times New Roman" w:hAnsi="Times New Roman" w:cs="Times New Roman"/>
          <w:b/>
          <w:bCs/>
          <w:sz w:val="24"/>
          <w:szCs w:val="24"/>
        </w:rPr>
      </w:pPr>
    </w:p>
    <w:p w14:paraId="0AD091CF" w14:textId="77777777" w:rsidR="00063B6E" w:rsidRDefault="00063B6E" w:rsidP="00B42610">
      <w:pPr>
        <w:pStyle w:val="Akapitzlist"/>
        <w:spacing w:line="360" w:lineRule="auto"/>
        <w:ind w:left="360"/>
        <w:rPr>
          <w:rFonts w:ascii="Times New Roman" w:hAnsi="Times New Roman" w:cs="Times New Roman"/>
          <w:b/>
          <w:bCs/>
          <w:sz w:val="24"/>
          <w:szCs w:val="24"/>
        </w:rPr>
      </w:pPr>
    </w:p>
    <w:p w14:paraId="1DDFC9C4" w14:textId="77777777" w:rsidR="00063B6E" w:rsidRPr="00E11754" w:rsidRDefault="00063B6E" w:rsidP="00B42610">
      <w:pPr>
        <w:pStyle w:val="Akapitzlist"/>
        <w:spacing w:line="360" w:lineRule="auto"/>
        <w:ind w:left="360"/>
        <w:rPr>
          <w:rFonts w:ascii="Times New Roman" w:hAnsi="Times New Roman" w:cs="Times New Roman"/>
          <w:b/>
          <w:bCs/>
          <w:sz w:val="24"/>
          <w:szCs w:val="24"/>
        </w:rPr>
      </w:pPr>
    </w:p>
    <w:p w14:paraId="73B76173" w14:textId="370D67DC" w:rsidR="00D75363" w:rsidRPr="00E11754" w:rsidRDefault="00B73A05" w:rsidP="00D75363">
      <w:pPr>
        <w:numPr>
          <w:ilvl w:val="0"/>
          <w:numId w:val="19"/>
        </w:numPr>
        <w:spacing w:line="360" w:lineRule="auto"/>
        <w:rPr>
          <w:rFonts w:ascii="Times New Roman" w:hAnsi="Times New Roman" w:cs="Times New Roman"/>
          <w:b/>
          <w:bCs/>
          <w:sz w:val="24"/>
          <w:szCs w:val="24"/>
          <w:lang w:val="en-US"/>
        </w:rPr>
      </w:pPr>
      <w:r w:rsidRPr="00E11754">
        <w:rPr>
          <w:rStyle w:val="fau"/>
          <w:rFonts w:ascii="Times New Roman" w:hAnsi="Times New Roman" w:cs="Times New Roman"/>
          <w:color w:val="000000"/>
          <w:sz w:val="24"/>
          <w:szCs w:val="24"/>
          <w:shd w:val="clear" w:color="auto" w:fill="FFFFFF"/>
          <w:lang w:val="en-US"/>
        </w:rPr>
        <w:lastRenderedPageBreak/>
        <w:t>O.</w:t>
      </w:r>
      <w:r w:rsidR="00095AE1" w:rsidRPr="00E11754">
        <w:rPr>
          <w:rStyle w:val="fau"/>
          <w:rFonts w:ascii="Times New Roman" w:hAnsi="Times New Roman" w:cs="Times New Roman"/>
          <w:color w:val="000000"/>
          <w:sz w:val="24"/>
          <w:szCs w:val="24"/>
          <w:shd w:val="clear" w:color="auto" w:fill="FFFFFF"/>
          <w:lang w:val="en-US"/>
        </w:rPr>
        <w:t xml:space="preserve"> </w:t>
      </w:r>
      <w:proofErr w:type="spellStart"/>
      <w:r w:rsidRPr="00E11754">
        <w:rPr>
          <w:rStyle w:val="fau"/>
          <w:rFonts w:ascii="Times New Roman" w:hAnsi="Times New Roman" w:cs="Times New Roman"/>
          <w:color w:val="000000"/>
          <w:sz w:val="24"/>
          <w:szCs w:val="24"/>
          <w:shd w:val="clear" w:color="auto" w:fill="FFFFFF"/>
          <w:lang w:val="en-US"/>
        </w:rPr>
        <w:t>Maliszewska</w:t>
      </w:r>
      <w:proofErr w:type="spellEnd"/>
      <w:r w:rsidRPr="00E11754">
        <w:rPr>
          <w:rStyle w:val="fau"/>
          <w:rFonts w:ascii="Times New Roman" w:hAnsi="Times New Roman" w:cs="Times New Roman"/>
          <w:color w:val="000000"/>
          <w:sz w:val="24"/>
          <w:szCs w:val="24"/>
          <w:shd w:val="clear" w:color="auto" w:fill="FFFFFF"/>
          <w:lang w:val="en-US"/>
        </w:rPr>
        <w:t>, A.</w:t>
      </w:r>
      <w:r w:rsidR="00095AE1" w:rsidRPr="00E11754">
        <w:rPr>
          <w:rStyle w:val="fau"/>
          <w:rFonts w:ascii="Times New Roman" w:hAnsi="Times New Roman" w:cs="Times New Roman"/>
          <w:color w:val="000000"/>
          <w:sz w:val="24"/>
          <w:szCs w:val="24"/>
          <w:shd w:val="clear" w:color="auto" w:fill="FFFFFF"/>
          <w:lang w:val="en-US"/>
        </w:rPr>
        <w:t xml:space="preserve"> </w:t>
      </w:r>
      <w:proofErr w:type="spellStart"/>
      <w:r w:rsidRPr="00E11754">
        <w:rPr>
          <w:rStyle w:val="fau"/>
          <w:rFonts w:ascii="Times New Roman" w:hAnsi="Times New Roman" w:cs="Times New Roman"/>
          <w:color w:val="000000"/>
          <w:sz w:val="24"/>
          <w:szCs w:val="24"/>
          <w:shd w:val="clear" w:color="auto" w:fill="FFFFFF"/>
          <w:lang w:val="en-US"/>
        </w:rPr>
        <w:t>Roszkowska</w:t>
      </w:r>
      <w:proofErr w:type="spellEnd"/>
      <w:r w:rsidRPr="00E11754">
        <w:rPr>
          <w:rStyle w:val="fau"/>
          <w:rFonts w:ascii="Times New Roman" w:hAnsi="Times New Roman" w:cs="Times New Roman"/>
          <w:color w:val="000000"/>
          <w:sz w:val="24"/>
          <w:szCs w:val="24"/>
          <w:shd w:val="clear" w:color="auto" w:fill="FFFFFF"/>
          <w:lang w:val="en-US"/>
        </w:rPr>
        <w:t>,</w:t>
      </w:r>
      <w:r w:rsidR="00095AE1" w:rsidRPr="00E11754">
        <w:rPr>
          <w:rStyle w:val="fau"/>
          <w:rFonts w:ascii="Times New Roman" w:hAnsi="Times New Roman" w:cs="Times New Roman"/>
          <w:color w:val="000000"/>
          <w:sz w:val="24"/>
          <w:szCs w:val="24"/>
          <w:shd w:val="clear" w:color="auto" w:fill="FFFFFF"/>
          <w:lang w:val="en-US"/>
        </w:rPr>
        <w:t xml:space="preserve"> </w:t>
      </w:r>
      <w:r w:rsidRPr="00E11754">
        <w:rPr>
          <w:rStyle w:val="fau"/>
          <w:rFonts w:ascii="Times New Roman" w:hAnsi="Times New Roman" w:cs="Times New Roman"/>
          <w:color w:val="000000"/>
          <w:sz w:val="24"/>
          <w:szCs w:val="24"/>
          <w:shd w:val="clear" w:color="auto" w:fill="FFFFFF"/>
          <w:lang w:val="en-US"/>
        </w:rPr>
        <w:t xml:space="preserve">M. </w:t>
      </w:r>
      <w:proofErr w:type="spellStart"/>
      <w:r w:rsidRPr="00E11754">
        <w:rPr>
          <w:rStyle w:val="fau"/>
          <w:rFonts w:ascii="Times New Roman" w:hAnsi="Times New Roman" w:cs="Times New Roman"/>
          <w:color w:val="000000"/>
          <w:sz w:val="24"/>
          <w:szCs w:val="24"/>
          <w:shd w:val="clear" w:color="auto" w:fill="FFFFFF"/>
          <w:lang w:val="en-US"/>
        </w:rPr>
        <w:t>Lipiński</w:t>
      </w:r>
      <w:proofErr w:type="spellEnd"/>
      <w:r w:rsidRPr="00E11754">
        <w:rPr>
          <w:rStyle w:val="fau"/>
          <w:rFonts w:ascii="Times New Roman" w:hAnsi="Times New Roman" w:cs="Times New Roman"/>
          <w:color w:val="000000"/>
          <w:sz w:val="24"/>
          <w:szCs w:val="24"/>
          <w:shd w:val="clear" w:color="auto" w:fill="FFFFFF"/>
          <w:lang w:val="en-US"/>
        </w:rPr>
        <w:t xml:space="preserve">, N. </w:t>
      </w:r>
      <w:proofErr w:type="spellStart"/>
      <w:r w:rsidRPr="00E11754">
        <w:rPr>
          <w:rStyle w:val="fau"/>
          <w:rFonts w:ascii="Times New Roman" w:hAnsi="Times New Roman" w:cs="Times New Roman"/>
          <w:color w:val="000000"/>
          <w:sz w:val="24"/>
          <w:szCs w:val="24"/>
          <w:shd w:val="clear" w:color="auto" w:fill="FFFFFF"/>
          <w:lang w:val="en-US"/>
        </w:rPr>
        <w:t>Treder</w:t>
      </w:r>
      <w:proofErr w:type="spellEnd"/>
      <w:r w:rsidRPr="00E11754">
        <w:rPr>
          <w:rStyle w:val="fau"/>
          <w:rFonts w:ascii="Times New Roman" w:hAnsi="Times New Roman" w:cs="Times New Roman"/>
          <w:color w:val="000000"/>
          <w:sz w:val="24"/>
          <w:szCs w:val="24"/>
          <w:shd w:val="clear" w:color="auto" w:fill="FFFFFF"/>
          <w:lang w:val="en-US"/>
        </w:rPr>
        <w:t xml:space="preserve">, I. </w:t>
      </w:r>
      <w:proofErr w:type="spellStart"/>
      <w:r w:rsidRPr="00E11754">
        <w:rPr>
          <w:rStyle w:val="fau"/>
          <w:rFonts w:ascii="Times New Roman" w:hAnsi="Times New Roman" w:cs="Times New Roman"/>
          <w:color w:val="000000"/>
          <w:sz w:val="24"/>
          <w:szCs w:val="24"/>
          <w:shd w:val="clear" w:color="auto" w:fill="FFFFFF"/>
          <w:lang w:val="en-US"/>
        </w:rPr>
        <w:t>Olędzka</w:t>
      </w:r>
      <w:proofErr w:type="spellEnd"/>
      <w:r w:rsidRPr="00E11754">
        <w:rPr>
          <w:rStyle w:val="fau"/>
          <w:rFonts w:ascii="Times New Roman" w:hAnsi="Times New Roman" w:cs="Times New Roman"/>
          <w:color w:val="000000"/>
          <w:sz w:val="24"/>
          <w:szCs w:val="24"/>
          <w:shd w:val="clear" w:color="auto" w:fill="FFFFFF"/>
          <w:lang w:val="en-US"/>
        </w:rPr>
        <w:t xml:space="preserve">, </w:t>
      </w:r>
      <w:r w:rsidR="003C0863" w:rsidRPr="00E11754">
        <w:rPr>
          <w:rStyle w:val="fau"/>
          <w:rFonts w:ascii="Times New Roman" w:hAnsi="Times New Roman" w:cs="Times New Roman"/>
          <w:color w:val="000000"/>
          <w:sz w:val="24"/>
          <w:szCs w:val="24"/>
          <w:shd w:val="clear" w:color="auto" w:fill="FFFFFF"/>
          <w:lang w:val="en-US"/>
        </w:rPr>
        <w:t xml:space="preserve">P. Kowalski,                T. </w:t>
      </w:r>
      <w:proofErr w:type="spellStart"/>
      <w:r w:rsidR="003C0863" w:rsidRPr="00E11754">
        <w:rPr>
          <w:rStyle w:val="fau"/>
          <w:rFonts w:ascii="Times New Roman" w:hAnsi="Times New Roman" w:cs="Times New Roman"/>
          <w:color w:val="000000"/>
          <w:sz w:val="24"/>
          <w:szCs w:val="24"/>
          <w:shd w:val="clear" w:color="auto" w:fill="FFFFFF"/>
          <w:lang w:val="en-US"/>
        </w:rPr>
        <w:t>Bączek</w:t>
      </w:r>
      <w:proofErr w:type="spellEnd"/>
      <w:r w:rsidR="003C0863" w:rsidRPr="00E11754">
        <w:rPr>
          <w:rStyle w:val="fau"/>
          <w:rFonts w:ascii="Times New Roman" w:hAnsi="Times New Roman" w:cs="Times New Roman"/>
          <w:color w:val="000000"/>
          <w:sz w:val="24"/>
          <w:szCs w:val="24"/>
          <w:shd w:val="clear" w:color="auto" w:fill="FFFFFF"/>
          <w:lang w:val="en-US"/>
        </w:rPr>
        <w:t xml:space="preserve">, E. </w:t>
      </w:r>
      <w:proofErr w:type="spellStart"/>
      <w:r w:rsidR="003C0863" w:rsidRPr="00E11754">
        <w:rPr>
          <w:rStyle w:val="fau"/>
          <w:rFonts w:ascii="Times New Roman" w:hAnsi="Times New Roman" w:cs="Times New Roman"/>
          <w:color w:val="000000"/>
          <w:sz w:val="24"/>
          <w:szCs w:val="24"/>
          <w:shd w:val="clear" w:color="auto" w:fill="FFFFFF"/>
          <w:lang w:val="en-US"/>
        </w:rPr>
        <w:t>Bień</w:t>
      </w:r>
      <w:proofErr w:type="spellEnd"/>
      <w:r w:rsidR="003C0863" w:rsidRPr="00E11754">
        <w:rPr>
          <w:rStyle w:val="fau"/>
          <w:rFonts w:ascii="Times New Roman" w:hAnsi="Times New Roman" w:cs="Times New Roman"/>
          <w:color w:val="000000"/>
          <w:sz w:val="24"/>
          <w:szCs w:val="24"/>
          <w:shd w:val="clear" w:color="auto" w:fill="FFFFFF"/>
          <w:lang w:val="en-US"/>
        </w:rPr>
        <w:t xml:space="preserve">, M. A. Krawczyk, </w:t>
      </w:r>
      <w:r w:rsidR="0060617E" w:rsidRPr="00E11754">
        <w:rPr>
          <w:rStyle w:val="fau"/>
          <w:rFonts w:ascii="Times New Roman" w:hAnsi="Times New Roman" w:cs="Times New Roman"/>
          <w:color w:val="000000"/>
          <w:sz w:val="24"/>
          <w:szCs w:val="24"/>
          <w:shd w:val="clear" w:color="auto" w:fill="FFFFFF"/>
          <w:lang w:val="en-US"/>
        </w:rPr>
        <w:t xml:space="preserve">A. </w:t>
      </w:r>
      <w:proofErr w:type="spellStart"/>
      <w:r w:rsidR="0060617E" w:rsidRPr="00E11754">
        <w:rPr>
          <w:rStyle w:val="fau"/>
          <w:rFonts w:ascii="Times New Roman" w:hAnsi="Times New Roman" w:cs="Times New Roman"/>
          <w:color w:val="000000"/>
          <w:sz w:val="24"/>
          <w:szCs w:val="24"/>
          <w:shd w:val="clear" w:color="auto" w:fill="FFFFFF"/>
          <w:lang w:val="en-US"/>
        </w:rPr>
        <w:t>Plenis</w:t>
      </w:r>
      <w:proofErr w:type="spellEnd"/>
      <w:r w:rsidR="0060617E" w:rsidRPr="00E11754">
        <w:rPr>
          <w:rStyle w:val="fau"/>
          <w:rFonts w:ascii="Times New Roman" w:hAnsi="Times New Roman" w:cs="Times New Roman"/>
          <w:color w:val="000000"/>
          <w:sz w:val="24"/>
          <w:szCs w:val="24"/>
          <w:shd w:val="clear" w:color="auto" w:fill="FFFFFF"/>
          <w:lang w:val="en-US"/>
        </w:rPr>
        <w:t xml:space="preserve">, </w:t>
      </w:r>
      <w:r w:rsidR="002214AF" w:rsidRPr="00E11754">
        <w:rPr>
          <w:rFonts w:ascii="Times New Roman" w:hAnsi="Times New Roman" w:cs="Times New Roman"/>
          <w:color w:val="222222"/>
          <w:sz w:val="24"/>
          <w:szCs w:val="24"/>
          <w:shd w:val="clear" w:color="auto" w:fill="FFFFFF"/>
          <w:lang w:val="en-GB"/>
        </w:rPr>
        <w:t xml:space="preserve">Profiling Docetaxel in Plasma and Urine Samples from a </w:t>
      </w:r>
      <w:proofErr w:type="spellStart"/>
      <w:r w:rsidR="002214AF" w:rsidRPr="00E11754">
        <w:rPr>
          <w:rFonts w:ascii="Times New Roman" w:hAnsi="Times New Roman" w:cs="Times New Roman"/>
          <w:color w:val="222222"/>
          <w:sz w:val="24"/>
          <w:szCs w:val="24"/>
          <w:shd w:val="clear" w:color="auto" w:fill="FFFFFF"/>
          <w:lang w:val="en-GB"/>
        </w:rPr>
        <w:t>Pediatric</w:t>
      </w:r>
      <w:proofErr w:type="spellEnd"/>
      <w:r w:rsidR="002214AF" w:rsidRPr="00E11754">
        <w:rPr>
          <w:rFonts w:ascii="Times New Roman" w:hAnsi="Times New Roman" w:cs="Times New Roman"/>
          <w:color w:val="222222"/>
          <w:sz w:val="24"/>
          <w:szCs w:val="24"/>
          <w:shd w:val="clear" w:color="auto" w:fill="FFFFFF"/>
          <w:lang w:val="en-GB"/>
        </w:rPr>
        <w:t xml:space="preserve"> Cancer Patient Using Ultrasound-Assisted Dispersive Liquid–Liquid Microextraction Combined with LC–MS/MS</w:t>
      </w:r>
      <w:r w:rsidR="00D54AE6" w:rsidRPr="00E11754">
        <w:rPr>
          <w:rFonts w:ascii="Times New Roman" w:hAnsi="Times New Roman" w:cs="Times New Roman"/>
          <w:color w:val="222222"/>
          <w:sz w:val="24"/>
          <w:szCs w:val="24"/>
          <w:shd w:val="clear" w:color="auto" w:fill="FFFFFF"/>
          <w:lang w:val="en-GB"/>
        </w:rPr>
        <w:t>,</w:t>
      </w:r>
      <w:r w:rsidR="002214AF" w:rsidRPr="00E11754">
        <w:rPr>
          <w:rFonts w:ascii="Times New Roman" w:hAnsi="Times New Roman" w:cs="Times New Roman"/>
          <w:color w:val="222222"/>
          <w:sz w:val="24"/>
          <w:szCs w:val="24"/>
          <w:shd w:val="clear" w:color="auto" w:fill="FFFFFF"/>
          <w:lang w:val="en-GB"/>
        </w:rPr>
        <w:t> </w:t>
      </w:r>
      <w:r w:rsidR="002214AF" w:rsidRPr="3998842B">
        <w:rPr>
          <w:rFonts w:ascii="Times New Roman" w:hAnsi="Times New Roman" w:cs="Times New Roman"/>
          <w:i/>
          <w:iCs/>
          <w:color w:val="222222"/>
          <w:sz w:val="24"/>
          <w:szCs w:val="24"/>
          <w:shd w:val="clear" w:color="auto" w:fill="FFFFFF"/>
          <w:lang w:val="en-GB"/>
        </w:rPr>
        <w:t>Pharmaceutics</w:t>
      </w:r>
      <w:r w:rsidR="002214AF" w:rsidRPr="00E11754">
        <w:rPr>
          <w:rFonts w:ascii="Times New Roman" w:hAnsi="Times New Roman" w:cs="Times New Roman"/>
          <w:color w:val="222222"/>
          <w:sz w:val="24"/>
          <w:szCs w:val="24"/>
          <w:shd w:val="clear" w:color="auto" w:fill="FFFFFF"/>
          <w:lang w:val="en-GB"/>
        </w:rPr>
        <w:t> </w:t>
      </w:r>
      <w:r w:rsidR="002214AF" w:rsidRPr="00E11754">
        <w:rPr>
          <w:rFonts w:ascii="Times New Roman" w:hAnsi="Times New Roman" w:cs="Times New Roman"/>
          <w:b/>
          <w:bCs/>
          <w:color w:val="222222"/>
          <w:sz w:val="24"/>
          <w:szCs w:val="24"/>
          <w:shd w:val="clear" w:color="auto" w:fill="FFFFFF"/>
          <w:lang w:val="en-GB"/>
        </w:rPr>
        <w:t>2023</w:t>
      </w:r>
      <w:r w:rsidR="002214AF" w:rsidRPr="00E11754">
        <w:rPr>
          <w:rFonts w:ascii="Times New Roman" w:hAnsi="Times New Roman" w:cs="Times New Roman"/>
          <w:color w:val="222222"/>
          <w:sz w:val="24"/>
          <w:szCs w:val="24"/>
          <w:shd w:val="clear" w:color="auto" w:fill="FFFFFF"/>
          <w:lang w:val="en-GB"/>
        </w:rPr>
        <w:t>, </w:t>
      </w:r>
      <w:r w:rsidR="002214AF" w:rsidRPr="3998842B">
        <w:rPr>
          <w:rFonts w:ascii="Times New Roman" w:hAnsi="Times New Roman" w:cs="Times New Roman"/>
          <w:i/>
          <w:iCs/>
          <w:color w:val="222222"/>
          <w:sz w:val="24"/>
          <w:szCs w:val="24"/>
          <w:shd w:val="clear" w:color="auto" w:fill="FFFFFF"/>
          <w:lang w:val="en-GB"/>
        </w:rPr>
        <w:t>15</w:t>
      </w:r>
      <w:r w:rsidR="002214AF" w:rsidRPr="00E11754">
        <w:rPr>
          <w:rFonts w:ascii="Times New Roman" w:hAnsi="Times New Roman" w:cs="Times New Roman"/>
          <w:color w:val="222222"/>
          <w:sz w:val="24"/>
          <w:szCs w:val="24"/>
          <w:shd w:val="clear" w:color="auto" w:fill="FFFFFF"/>
          <w:lang w:val="en-GB"/>
        </w:rPr>
        <w:t>, 1255</w:t>
      </w:r>
      <w:r w:rsidR="002214AF" w:rsidRPr="00E11754">
        <w:rPr>
          <w:rFonts w:ascii="Times New Roman" w:hAnsi="Times New Roman" w:cs="Times New Roman"/>
          <w:color w:val="222222"/>
          <w:sz w:val="24"/>
          <w:szCs w:val="24"/>
          <w:shd w:val="clear" w:color="auto" w:fill="FFFFFF"/>
          <w:lang w:val="en-GB"/>
        </w:rPr>
        <w:br/>
        <w:t>Doi: 10.3390/pharmaceutics15041255</w:t>
      </w:r>
    </w:p>
    <w:p w14:paraId="5280DC3B" w14:textId="5138B09A" w:rsidR="006C4A83" w:rsidRPr="00E11754" w:rsidRDefault="00095AE1" w:rsidP="00095AE1">
      <w:pPr>
        <w:spacing w:line="360" w:lineRule="auto"/>
        <w:rPr>
          <w:rFonts w:ascii="Times New Roman" w:hAnsi="Times New Roman" w:cs="Times New Roman"/>
          <w:b/>
          <w:bCs/>
          <w:sz w:val="24"/>
          <w:szCs w:val="24"/>
        </w:rPr>
      </w:pPr>
      <w:r w:rsidRPr="00E11754">
        <w:rPr>
          <w:rFonts w:ascii="Times New Roman" w:hAnsi="Times New Roman" w:cs="Times New Roman"/>
          <w:b/>
          <w:bCs/>
          <w:sz w:val="24"/>
          <w:szCs w:val="24"/>
        </w:rPr>
        <w:t>Punktacja IF</w:t>
      </w:r>
      <w:r w:rsidRPr="00E11754">
        <w:rPr>
          <w:rStyle w:val="label"/>
          <w:rFonts w:ascii="Times New Roman" w:hAnsi="Times New Roman" w:cs="Times New Roman"/>
          <w:b/>
          <w:bCs/>
          <w:color w:val="000000"/>
          <w:sz w:val="24"/>
          <w:szCs w:val="24"/>
          <w:shd w:val="clear" w:color="auto" w:fill="FFFFFF"/>
        </w:rPr>
        <w:t>: </w:t>
      </w:r>
      <w:r w:rsidRPr="00E11754">
        <w:rPr>
          <w:rStyle w:val="fif"/>
          <w:rFonts w:ascii="Times New Roman" w:hAnsi="Times New Roman" w:cs="Times New Roman"/>
          <w:color w:val="000000"/>
          <w:sz w:val="24"/>
          <w:szCs w:val="24"/>
          <w:shd w:val="clear" w:color="auto" w:fill="FFFFFF"/>
        </w:rPr>
        <w:t xml:space="preserve">6.525; </w:t>
      </w:r>
      <w:r w:rsidRPr="00E11754">
        <w:rPr>
          <w:rStyle w:val="label"/>
          <w:rFonts w:ascii="Times New Roman" w:hAnsi="Times New Roman" w:cs="Times New Roman"/>
          <w:b/>
          <w:bCs/>
          <w:color w:val="000000"/>
          <w:sz w:val="24"/>
          <w:szCs w:val="24"/>
          <w:shd w:val="clear" w:color="auto" w:fill="FFFFFF"/>
        </w:rPr>
        <w:t xml:space="preserve">Punktacja </w:t>
      </w:r>
      <w:proofErr w:type="spellStart"/>
      <w:r w:rsidRPr="00E11754">
        <w:rPr>
          <w:rStyle w:val="label"/>
          <w:rFonts w:ascii="Times New Roman" w:hAnsi="Times New Roman" w:cs="Times New Roman"/>
          <w:b/>
          <w:bCs/>
          <w:color w:val="000000"/>
          <w:sz w:val="24"/>
          <w:szCs w:val="24"/>
          <w:shd w:val="clear" w:color="auto" w:fill="FFFFFF"/>
        </w:rPr>
        <w:t>MEiN</w:t>
      </w:r>
      <w:proofErr w:type="spellEnd"/>
      <w:r w:rsidRPr="00E11754">
        <w:rPr>
          <w:rStyle w:val="label"/>
          <w:rFonts w:ascii="Times New Roman" w:hAnsi="Times New Roman" w:cs="Times New Roman"/>
          <w:b/>
          <w:bCs/>
          <w:color w:val="000000"/>
          <w:sz w:val="24"/>
          <w:szCs w:val="24"/>
          <w:shd w:val="clear" w:color="auto" w:fill="FFFFFF"/>
        </w:rPr>
        <w:t>: </w:t>
      </w:r>
      <w:r w:rsidRPr="00E11754">
        <w:rPr>
          <w:rStyle w:val="fpk"/>
          <w:rFonts w:ascii="Times New Roman" w:hAnsi="Times New Roman" w:cs="Times New Roman"/>
          <w:color w:val="000000"/>
          <w:sz w:val="24"/>
          <w:szCs w:val="24"/>
          <w:shd w:val="clear" w:color="auto" w:fill="FFFFFF"/>
        </w:rPr>
        <w:t>100.000</w:t>
      </w:r>
    </w:p>
    <w:p w14:paraId="678D4A36" w14:textId="749ECEC5" w:rsidR="00095AE1" w:rsidRDefault="00095AE1" w:rsidP="006C4A83">
      <w:pPr>
        <w:spacing w:line="360" w:lineRule="auto"/>
        <w:rPr>
          <w:rStyle w:val="fpk"/>
          <w:rFonts w:ascii="Times New Roman" w:hAnsi="Times New Roman" w:cs="Times New Roman"/>
          <w:color w:val="000000" w:themeColor="text1"/>
          <w:sz w:val="24"/>
          <w:szCs w:val="24"/>
        </w:rPr>
      </w:pPr>
    </w:p>
    <w:p w14:paraId="4DB09B6F" w14:textId="2805A541" w:rsidR="00472533" w:rsidRDefault="00472533" w:rsidP="006C4A83">
      <w:pPr>
        <w:spacing w:line="360" w:lineRule="auto"/>
        <w:rPr>
          <w:rFonts w:ascii="Times New Roman" w:eastAsia="Times New Roman" w:hAnsi="Times New Roman" w:cs="Times New Roman"/>
          <w:sz w:val="24"/>
          <w:szCs w:val="24"/>
          <w:lang w:eastAsia="pl-PL"/>
        </w:rPr>
      </w:pPr>
      <w:r w:rsidRPr="00E11754">
        <w:rPr>
          <w:rFonts w:ascii="Times New Roman" w:hAnsi="Times New Roman" w:cs="Times New Roman"/>
          <w:b/>
          <w:bCs/>
          <w:sz w:val="24"/>
          <w:szCs w:val="24"/>
        </w:rPr>
        <w:t>Łączna punktacja IF:</w:t>
      </w:r>
      <w:r w:rsidR="001B715C" w:rsidRPr="00E11754">
        <w:rPr>
          <w:rFonts w:ascii="Times New Roman" w:eastAsia="Times New Roman" w:hAnsi="Times New Roman" w:cs="Times New Roman"/>
          <w:sz w:val="24"/>
          <w:szCs w:val="24"/>
          <w:lang w:eastAsia="pl-PL"/>
        </w:rPr>
        <w:t xml:space="preserve"> </w:t>
      </w:r>
      <w:r w:rsidR="008E681B" w:rsidRPr="00E11754">
        <w:rPr>
          <w:rFonts w:ascii="Times New Roman" w:eastAsia="Times New Roman" w:hAnsi="Times New Roman" w:cs="Times New Roman"/>
          <w:sz w:val="24"/>
          <w:szCs w:val="24"/>
          <w:lang w:eastAsia="pl-PL"/>
        </w:rPr>
        <w:t>2</w:t>
      </w:r>
      <w:r w:rsidR="002B791D" w:rsidRPr="00E11754">
        <w:rPr>
          <w:rFonts w:ascii="Times New Roman" w:eastAsia="Times New Roman" w:hAnsi="Times New Roman" w:cs="Times New Roman"/>
          <w:sz w:val="24"/>
          <w:szCs w:val="24"/>
          <w:lang w:eastAsia="pl-PL"/>
        </w:rPr>
        <w:t>0</w:t>
      </w:r>
      <w:r w:rsidR="001B715C" w:rsidRPr="00E11754">
        <w:rPr>
          <w:rFonts w:ascii="Times New Roman" w:eastAsia="Times New Roman" w:hAnsi="Times New Roman" w:cs="Times New Roman"/>
          <w:sz w:val="24"/>
          <w:szCs w:val="24"/>
          <w:lang w:eastAsia="pl-PL"/>
        </w:rPr>
        <w:t>.</w:t>
      </w:r>
      <w:r w:rsidR="002B791D" w:rsidRPr="00E11754">
        <w:rPr>
          <w:rFonts w:ascii="Times New Roman" w:eastAsia="Times New Roman" w:hAnsi="Times New Roman" w:cs="Times New Roman"/>
          <w:sz w:val="24"/>
          <w:szCs w:val="24"/>
          <w:lang w:eastAsia="pl-PL"/>
        </w:rPr>
        <w:t>469</w:t>
      </w:r>
      <w:r w:rsidR="411A8DE3" w:rsidRPr="411A8DE3">
        <w:rPr>
          <w:rFonts w:ascii="Times New Roman" w:eastAsia="Times New Roman" w:hAnsi="Times New Roman" w:cs="Times New Roman"/>
          <w:sz w:val="24"/>
          <w:szCs w:val="24"/>
          <w:lang w:eastAsia="pl-PL"/>
        </w:rPr>
        <w:t xml:space="preserve">; </w:t>
      </w:r>
      <w:r w:rsidRPr="001505E1">
        <w:rPr>
          <w:rFonts w:ascii="Times New Roman" w:hAnsi="Times New Roman" w:cs="Times New Roman"/>
          <w:b/>
          <w:bCs/>
          <w:sz w:val="24"/>
          <w:szCs w:val="24"/>
        </w:rPr>
        <w:t xml:space="preserve">Łączna punktacja </w:t>
      </w:r>
      <w:proofErr w:type="spellStart"/>
      <w:r w:rsidRPr="001505E1">
        <w:rPr>
          <w:rFonts w:ascii="Times New Roman" w:hAnsi="Times New Roman" w:cs="Times New Roman"/>
          <w:b/>
          <w:bCs/>
          <w:sz w:val="24"/>
          <w:szCs w:val="24"/>
        </w:rPr>
        <w:t>MEiN</w:t>
      </w:r>
      <w:proofErr w:type="spellEnd"/>
      <w:r w:rsidRPr="001505E1">
        <w:rPr>
          <w:rFonts w:ascii="Times New Roman" w:hAnsi="Times New Roman" w:cs="Times New Roman"/>
          <w:b/>
          <w:bCs/>
          <w:sz w:val="24"/>
          <w:szCs w:val="24"/>
        </w:rPr>
        <w:t xml:space="preserve">: </w:t>
      </w:r>
      <w:r w:rsidR="0031585A" w:rsidRPr="001505E1">
        <w:rPr>
          <w:rFonts w:ascii="Times New Roman" w:hAnsi="Times New Roman" w:cs="Times New Roman"/>
          <w:b/>
          <w:bCs/>
          <w:sz w:val="24"/>
          <w:szCs w:val="24"/>
        </w:rPr>
        <w:t xml:space="preserve"> </w:t>
      </w:r>
      <w:r w:rsidR="00D75363" w:rsidRPr="00E11754">
        <w:rPr>
          <w:rFonts w:ascii="Times New Roman" w:eastAsia="Times New Roman" w:hAnsi="Times New Roman" w:cs="Times New Roman"/>
          <w:sz w:val="24"/>
          <w:szCs w:val="24"/>
          <w:lang w:eastAsia="pl-PL"/>
        </w:rPr>
        <w:t>3</w:t>
      </w:r>
      <w:r w:rsidR="002B791D" w:rsidRPr="00E11754">
        <w:rPr>
          <w:rFonts w:ascii="Times New Roman" w:eastAsia="Times New Roman" w:hAnsi="Times New Roman" w:cs="Times New Roman"/>
          <w:sz w:val="24"/>
          <w:szCs w:val="24"/>
          <w:lang w:eastAsia="pl-PL"/>
        </w:rPr>
        <w:t>6</w:t>
      </w:r>
      <w:r w:rsidR="0031585A" w:rsidRPr="00E11754">
        <w:rPr>
          <w:rFonts w:ascii="Times New Roman" w:eastAsia="Times New Roman" w:hAnsi="Times New Roman" w:cs="Times New Roman"/>
          <w:sz w:val="24"/>
          <w:szCs w:val="24"/>
          <w:lang w:eastAsia="pl-PL"/>
        </w:rPr>
        <w:t>5</w:t>
      </w:r>
      <w:r w:rsidR="00B42610" w:rsidRPr="00E11754">
        <w:rPr>
          <w:rFonts w:ascii="Times New Roman" w:eastAsia="Times New Roman" w:hAnsi="Times New Roman" w:cs="Times New Roman"/>
          <w:sz w:val="24"/>
          <w:szCs w:val="24"/>
          <w:lang w:eastAsia="pl-PL"/>
        </w:rPr>
        <w:t>.000</w:t>
      </w:r>
    </w:p>
    <w:p w14:paraId="00F152FB" w14:textId="2D6AF443" w:rsidR="00191CB4" w:rsidRDefault="00191CB4" w:rsidP="00191CB4">
      <w:pPr>
        <w:spacing w:line="360" w:lineRule="auto"/>
        <w:jc w:val="both"/>
        <w:rPr>
          <w:rFonts w:ascii="Times New Roman" w:hAnsi="Times New Roman" w:cs="Times New Roman"/>
          <w:bCs/>
          <w:sz w:val="24"/>
          <w:szCs w:val="24"/>
        </w:rPr>
      </w:pPr>
      <w:r w:rsidRPr="00191CB4">
        <w:rPr>
          <w:rFonts w:ascii="Times New Roman" w:hAnsi="Times New Roman" w:cs="Times New Roman"/>
          <w:sz w:val="24"/>
          <w:szCs w:val="24"/>
        </w:rPr>
        <w:t>Oświadczam, iż mój własny wkład merytoryczny w przygotowanie, przeprowadzenie i opracowanie badań oraz przedstawienie każdej z wymienionych prac w formie publikacji to:</w:t>
      </w:r>
    </w:p>
    <w:p w14:paraId="5CD0473A" w14:textId="142F49A8" w:rsidR="0045638A" w:rsidRPr="00CE291C" w:rsidRDefault="3998842B" w:rsidP="3998842B">
      <w:pPr>
        <w:pStyle w:val="Akapitzlist"/>
        <w:numPr>
          <w:ilvl w:val="0"/>
          <w:numId w:val="44"/>
        </w:numPr>
        <w:spacing w:line="360" w:lineRule="auto"/>
        <w:jc w:val="both"/>
        <w:rPr>
          <w:rFonts w:ascii="Times New Roman" w:hAnsi="Times New Roman" w:cs="Times New Roman"/>
          <w:sz w:val="24"/>
          <w:szCs w:val="24"/>
        </w:rPr>
        <w:sectPr w:rsidR="0045638A" w:rsidRPr="00CE291C" w:rsidSect="00FF3370">
          <w:pgSz w:w="11906" w:h="16838"/>
          <w:pgMar w:top="1418" w:right="1134" w:bottom="1418" w:left="1985" w:header="709" w:footer="709" w:gutter="0"/>
          <w:cols w:space="708"/>
          <w:docGrid w:linePitch="360"/>
        </w:sectPr>
      </w:pPr>
      <w:r w:rsidRPr="3998842B">
        <w:rPr>
          <w:rFonts w:ascii="Times New Roman" w:hAnsi="Times New Roman" w:cs="Times New Roman"/>
          <w:sz w:val="24"/>
          <w:szCs w:val="24"/>
        </w:rPr>
        <w:t>współudział podczas tworzenia koncepcji prac, prowadzenie eksperymentów bądź współudział w ich wykonywaniu, opracowywanie uzyskanych danych, interpretacja otrzymanych wyników, przegląd literatury naukowej, współudział podczas pisania manuskryptów oraz edycji prac na etapie recenzji.</w:t>
      </w:r>
    </w:p>
    <w:p w14:paraId="1EAA6C55" w14:textId="2D6AF443" w:rsidR="005B0822" w:rsidRDefault="005B0822" w:rsidP="00E72CA9">
      <w:pPr>
        <w:pStyle w:val="Nagwek1"/>
        <w:spacing w:before="120" w:after="120" w:line="360" w:lineRule="auto"/>
        <w:jc w:val="both"/>
        <w:rPr>
          <w:rFonts w:ascii="Times New Roman" w:hAnsi="Times New Roman" w:cs="Times New Roman"/>
          <w:b/>
          <w:bCs/>
          <w:sz w:val="28"/>
          <w:szCs w:val="28"/>
        </w:rPr>
      </w:pPr>
      <w:bookmarkStart w:id="4" w:name="_Toc137702466"/>
      <w:r w:rsidRPr="00490F42">
        <w:rPr>
          <w:rFonts w:ascii="Times New Roman" w:hAnsi="Times New Roman" w:cs="Times New Roman"/>
          <w:b/>
          <w:bCs/>
          <w:sz w:val="28"/>
          <w:szCs w:val="28"/>
        </w:rPr>
        <w:lastRenderedPageBreak/>
        <w:t>Spis publikacji, które nie wchodzą w skład pracy doktorskiej:</w:t>
      </w:r>
      <w:bookmarkEnd w:id="4"/>
    </w:p>
    <w:p w14:paraId="3289D42B" w14:textId="2C785CBF" w:rsidR="00FB6F75" w:rsidRPr="00E72CA9" w:rsidRDefault="3998842B" w:rsidP="00FB6F75">
      <w:pPr>
        <w:pStyle w:val="Akapitzlist"/>
        <w:numPr>
          <w:ilvl w:val="0"/>
          <w:numId w:val="46"/>
        </w:numPr>
        <w:spacing w:line="360" w:lineRule="auto"/>
        <w:rPr>
          <w:rFonts w:ascii="Times New Roman" w:hAnsi="Times New Roman" w:cs="Times New Roman"/>
          <w:sz w:val="24"/>
          <w:szCs w:val="24"/>
          <w:lang w:val="en-GB"/>
        </w:rPr>
      </w:pPr>
      <w:r w:rsidRPr="3998842B">
        <w:rPr>
          <w:rFonts w:ascii="Times New Roman" w:hAnsi="Times New Roman" w:cs="Times New Roman"/>
          <w:sz w:val="24"/>
          <w:szCs w:val="24"/>
        </w:rPr>
        <w:t xml:space="preserve">N. Treder, A. </w:t>
      </w:r>
      <w:proofErr w:type="spellStart"/>
      <w:r w:rsidRPr="3998842B">
        <w:rPr>
          <w:rFonts w:ascii="Times New Roman" w:hAnsi="Times New Roman" w:cs="Times New Roman"/>
          <w:sz w:val="24"/>
          <w:szCs w:val="24"/>
        </w:rPr>
        <w:t>Plenis</w:t>
      </w:r>
      <w:proofErr w:type="spellEnd"/>
      <w:r w:rsidRPr="3998842B">
        <w:rPr>
          <w:rFonts w:ascii="Times New Roman" w:hAnsi="Times New Roman" w:cs="Times New Roman"/>
          <w:sz w:val="24"/>
          <w:szCs w:val="24"/>
        </w:rPr>
        <w:t xml:space="preserve">, O. Maliszewska, N. Kaczmarczyk, I. Olędzka, P. Kowalski,  T. Bączek, E. Bień, M.A. Krawczyk, A. Roszkowska. </w:t>
      </w:r>
      <w:r w:rsidRPr="3998842B">
        <w:rPr>
          <w:rFonts w:ascii="Times New Roman" w:hAnsi="Times New Roman" w:cs="Times New Roman"/>
          <w:sz w:val="24"/>
          <w:szCs w:val="24"/>
          <w:lang w:val="en-GB"/>
        </w:rPr>
        <w:t xml:space="preserve">Monitoring of sirolimus in the whole blood samples from </w:t>
      </w:r>
      <w:proofErr w:type="spellStart"/>
      <w:r w:rsidRPr="3998842B">
        <w:rPr>
          <w:rFonts w:ascii="Times New Roman" w:hAnsi="Times New Roman" w:cs="Times New Roman"/>
          <w:sz w:val="24"/>
          <w:szCs w:val="24"/>
          <w:lang w:val="en-GB"/>
        </w:rPr>
        <w:t>pediatric</w:t>
      </w:r>
      <w:proofErr w:type="spellEnd"/>
      <w:r w:rsidRPr="3998842B">
        <w:rPr>
          <w:rFonts w:ascii="Times New Roman" w:hAnsi="Times New Roman" w:cs="Times New Roman"/>
          <w:sz w:val="24"/>
          <w:szCs w:val="24"/>
          <w:lang w:val="en-GB"/>
        </w:rPr>
        <w:t xml:space="preserve"> patients with lymphatic anomalies. </w:t>
      </w:r>
      <w:r w:rsidRPr="3998842B">
        <w:rPr>
          <w:rFonts w:ascii="Times New Roman" w:hAnsi="Times New Roman" w:cs="Times New Roman"/>
          <w:i/>
          <w:iCs/>
          <w:sz w:val="24"/>
          <w:szCs w:val="24"/>
          <w:lang w:val="en-GB"/>
        </w:rPr>
        <w:t>Open Med</w:t>
      </w:r>
      <w:r w:rsidRPr="3998842B">
        <w:rPr>
          <w:rFonts w:ascii="Times New Roman" w:hAnsi="Times New Roman" w:cs="Times New Roman"/>
          <w:sz w:val="24"/>
          <w:szCs w:val="24"/>
          <w:lang w:val="en-GB"/>
        </w:rPr>
        <w:t xml:space="preserve">. 18: (2023) 20230652. https://doi.org/10.1515/med-2023-0652 </w:t>
      </w:r>
    </w:p>
    <w:p w14:paraId="6A1DD21D" w14:textId="6F853F79" w:rsidR="00FB6F75" w:rsidRPr="00FB6F75" w:rsidRDefault="00FB6F75" w:rsidP="00FB6F75">
      <w:pPr>
        <w:pStyle w:val="Akapitzlist"/>
        <w:spacing w:line="360" w:lineRule="auto"/>
        <w:rPr>
          <w:rFonts w:ascii="Times New Roman" w:hAnsi="Times New Roman" w:cs="Times New Roman"/>
          <w:sz w:val="24"/>
          <w:szCs w:val="24"/>
        </w:rPr>
      </w:pPr>
      <w:r w:rsidRPr="00FB6F75">
        <w:rPr>
          <w:rFonts w:ascii="Times New Roman" w:hAnsi="Times New Roman" w:cs="Times New Roman"/>
          <w:b/>
          <w:bCs/>
          <w:sz w:val="24"/>
          <w:szCs w:val="24"/>
        </w:rPr>
        <w:t>Punktacja IF</w:t>
      </w:r>
      <w:r w:rsidRPr="00FB6F75">
        <w:rPr>
          <w:rStyle w:val="label"/>
          <w:rFonts w:ascii="Times New Roman" w:hAnsi="Times New Roman" w:cs="Times New Roman"/>
          <w:b/>
          <w:bCs/>
          <w:color w:val="000000"/>
          <w:sz w:val="24"/>
          <w:szCs w:val="24"/>
          <w:shd w:val="clear" w:color="auto" w:fill="FFFFFF"/>
        </w:rPr>
        <w:t>:</w:t>
      </w:r>
      <w:r w:rsidRPr="00FB6F75">
        <w:rPr>
          <w:rFonts w:ascii="Times New Roman" w:hAnsi="Times New Roman" w:cs="Times New Roman"/>
          <w:sz w:val="24"/>
          <w:szCs w:val="24"/>
        </w:rPr>
        <w:t xml:space="preserve"> 2.123 </w:t>
      </w:r>
    </w:p>
    <w:p w14:paraId="4DF767E5" w14:textId="30B358B7" w:rsidR="003149FC" w:rsidRPr="00DD6A5D" w:rsidRDefault="00FB6F75" w:rsidP="00DD6A5D">
      <w:pPr>
        <w:pStyle w:val="Akapitzlist"/>
        <w:spacing w:line="360" w:lineRule="auto"/>
        <w:rPr>
          <w:rFonts w:ascii="Times New Roman" w:hAnsi="Times New Roman" w:cs="Times New Roman"/>
          <w:sz w:val="24"/>
          <w:szCs w:val="24"/>
        </w:rPr>
      </w:pPr>
      <w:r w:rsidRPr="00FB6F75">
        <w:rPr>
          <w:rStyle w:val="label"/>
          <w:rFonts w:ascii="Times New Roman" w:hAnsi="Times New Roman" w:cs="Times New Roman"/>
          <w:b/>
          <w:bCs/>
          <w:color w:val="000000"/>
          <w:sz w:val="24"/>
          <w:szCs w:val="24"/>
          <w:shd w:val="clear" w:color="auto" w:fill="FFFFFF"/>
        </w:rPr>
        <w:t xml:space="preserve">Punktacja </w:t>
      </w:r>
      <w:proofErr w:type="spellStart"/>
      <w:r w:rsidRPr="00FB6F75">
        <w:rPr>
          <w:rStyle w:val="label"/>
          <w:rFonts w:ascii="Times New Roman" w:hAnsi="Times New Roman" w:cs="Times New Roman"/>
          <w:b/>
          <w:bCs/>
          <w:color w:val="000000"/>
          <w:sz w:val="24"/>
          <w:szCs w:val="24"/>
          <w:shd w:val="clear" w:color="auto" w:fill="FFFFFF"/>
        </w:rPr>
        <w:t>MEiN</w:t>
      </w:r>
      <w:proofErr w:type="spellEnd"/>
      <w:r w:rsidRPr="00FB6F75">
        <w:rPr>
          <w:rStyle w:val="label"/>
          <w:rFonts w:ascii="Times New Roman" w:hAnsi="Times New Roman" w:cs="Times New Roman"/>
          <w:b/>
          <w:bCs/>
          <w:color w:val="000000"/>
          <w:sz w:val="24"/>
          <w:szCs w:val="24"/>
          <w:shd w:val="clear" w:color="auto" w:fill="FFFFFF"/>
        </w:rPr>
        <w:t>: </w:t>
      </w:r>
      <w:r w:rsidRPr="00FB6F75">
        <w:rPr>
          <w:rFonts w:ascii="Times New Roman" w:hAnsi="Times New Roman" w:cs="Times New Roman"/>
          <w:sz w:val="24"/>
          <w:szCs w:val="24"/>
        </w:rPr>
        <w:t>20.000</w:t>
      </w:r>
    </w:p>
    <w:p w14:paraId="43B2CA7B" w14:textId="7071E194" w:rsidR="00E72CA9" w:rsidRDefault="00E72CA9" w:rsidP="00043CB3">
      <w:pPr>
        <w:pStyle w:val="NAGWEK10"/>
        <w:numPr>
          <w:ilvl w:val="0"/>
          <w:numId w:val="0"/>
        </w:numPr>
      </w:pPr>
      <w:bookmarkStart w:id="5" w:name="_Toc137702467"/>
      <w:r w:rsidRPr="0085241B">
        <w:t>Spis streszczeń zjazdowych, które są związane z rozprawą doktorską</w:t>
      </w:r>
      <w:r>
        <w:t>:</w:t>
      </w:r>
      <w:bookmarkEnd w:id="5"/>
    </w:p>
    <w:p w14:paraId="03072D36" w14:textId="77777777" w:rsidR="00DD6A5D" w:rsidRDefault="00DD6A5D" w:rsidP="00DD6A5D"/>
    <w:p w14:paraId="069668CE" w14:textId="6346210B" w:rsidR="3998842B" w:rsidRDefault="3998842B" w:rsidP="3998842B">
      <w:pPr>
        <w:numPr>
          <w:ilvl w:val="0"/>
          <w:numId w:val="49"/>
        </w:numPr>
        <w:spacing w:line="360" w:lineRule="auto"/>
        <w:jc w:val="both"/>
        <w:rPr>
          <w:rStyle w:val="f975a"/>
          <w:rFonts w:ascii="Times New Roman" w:hAnsi="Times New Roman" w:cs="Times New Roman"/>
          <w:sz w:val="24"/>
          <w:szCs w:val="24"/>
          <w:lang w:val="en-GB"/>
        </w:rPr>
      </w:pPr>
      <w:r w:rsidRPr="3998842B">
        <w:rPr>
          <w:rFonts w:ascii="Times New Roman" w:hAnsi="Times New Roman" w:cs="Times New Roman"/>
          <w:color w:val="000000" w:themeColor="text1"/>
          <w:sz w:val="24"/>
          <w:szCs w:val="24"/>
          <w:lang w:val="en-GB"/>
        </w:rPr>
        <w:t xml:space="preserve">A. </w:t>
      </w:r>
      <w:proofErr w:type="spellStart"/>
      <w:r w:rsidRPr="3998842B">
        <w:rPr>
          <w:rFonts w:ascii="Times New Roman" w:hAnsi="Times New Roman" w:cs="Times New Roman"/>
          <w:color w:val="000000" w:themeColor="text1"/>
          <w:sz w:val="24"/>
          <w:szCs w:val="24"/>
          <w:lang w:val="en-GB"/>
        </w:rPr>
        <w:t>Plenis</w:t>
      </w:r>
      <w:proofErr w:type="spellEnd"/>
      <w:r w:rsidRPr="3998842B">
        <w:rPr>
          <w:rFonts w:ascii="Times New Roman" w:hAnsi="Times New Roman" w:cs="Times New Roman"/>
          <w:color w:val="000000" w:themeColor="text1"/>
          <w:sz w:val="24"/>
          <w:szCs w:val="24"/>
          <w:lang w:val="en-GB"/>
        </w:rPr>
        <w:t xml:space="preserve">, O. </w:t>
      </w:r>
      <w:proofErr w:type="spellStart"/>
      <w:r w:rsidRPr="3998842B">
        <w:rPr>
          <w:rFonts w:ascii="Times New Roman" w:hAnsi="Times New Roman" w:cs="Times New Roman"/>
          <w:color w:val="000000" w:themeColor="text1"/>
          <w:sz w:val="24"/>
          <w:szCs w:val="24"/>
          <w:lang w:val="en-GB"/>
        </w:rPr>
        <w:t>Maliszewska</w:t>
      </w:r>
      <w:proofErr w:type="spellEnd"/>
      <w:r w:rsidRPr="3998842B">
        <w:rPr>
          <w:rFonts w:ascii="Times New Roman" w:hAnsi="Times New Roman" w:cs="Times New Roman"/>
          <w:color w:val="000000" w:themeColor="text1"/>
          <w:sz w:val="24"/>
          <w:szCs w:val="24"/>
          <w:lang w:val="en-GB"/>
        </w:rPr>
        <w:t xml:space="preserve">, N. </w:t>
      </w:r>
      <w:proofErr w:type="spellStart"/>
      <w:r w:rsidRPr="3998842B">
        <w:rPr>
          <w:rFonts w:ascii="Times New Roman" w:hAnsi="Times New Roman" w:cs="Times New Roman"/>
          <w:color w:val="000000" w:themeColor="text1"/>
          <w:sz w:val="24"/>
          <w:szCs w:val="24"/>
          <w:lang w:val="en-GB"/>
        </w:rPr>
        <w:t>Treder</w:t>
      </w:r>
      <w:proofErr w:type="spellEnd"/>
      <w:r w:rsidRPr="3998842B">
        <w:rPr>
          <w:rFonts w:ascii="Times New Roman" w:hAnsi="Times New Roman" w:cs="Times New Roman"/>
          <w:color w:val="000000" w:themeColor="text1"/>
          <w:sz w:val="24"/>
          <w:szCs w:val="24"/>
          <w:lang w:val="en-GB"/>
        </w:rPr>
        <w:t xml:space="preserve">, I. </w:t>
      </w:r>
      <w:proofErr w:type="spellStart"/>
      <w:r w:rsidRPr="3998842B">
        <w:rPr>
          <w:rFonts w:ascii="Times New Roman" w:hAnsi="Times New Roman" w:cs="Times New Roman"/>
          <w:color w:val="000000" w:themeColor="text1"/>
          <w:sz w:val="24"/>
          <w:szCs w:val="24"/>
          <w:lang w:val="en-GB"/>
        </w:rPr>
        <w:t>Olędzka</w:t>
      </w:r>
      <w:proofErr w:type="spellEnd"/>
      <w:r w:rsidRPr="3998842B">
        <w:rPr>
          <w:rFonts w:ascii="Times New Roman" w:hAnsi="Times New Roman" w:cs="Times New Roman"/>
          <w:color w:val="000000" w:themeColor="text1"/>
          <w:sz w:val="24"/>
          <w:szCs w:val="24"/>
          <w:lang w:val="en-GB"/>
        </w:rPr>
        <w:t xml:space="preserve">, A. </w:t>
      </w:r>
      <w:proofErr w:type="spellStart"/>
      <w:r w:rsidRPr="3998842B">
        <w:rPr>
          <w:rFonts w:ascii="Times New Roman" w:hAnsi="Times New Roman" w:cs="Times New Roman"/>
          <w:color w:val="000000" w:themeColor="text1"/>
          <w:sz w:val="24"/>
          <w:szCs w:val="24"/>
          <w:lang w:val="en-GB"/>
        </w:rPr>
        <w:t>Roszkowska</w:t>
      </w:r>
      <w:proofErr w:type="spellEnd"/>
      <w:r w:rsidRPr="3998842B">
        <w:rPr>
          <w:rFonts w:ascii="Times New Roman" w:hAnsi="Times New Roman" w:cs="Times New Roman"/>
          <w:color w:val="000000" w:themeColor="text1"/>
          <w:sz w:val="24"/>
          <w:szCs w:val="24"/>
          <w:lang w:val="en-GB"/>
        </w:rPr>
        <w:t xml:space="preserve">, P. Kowalski, T. </w:t>
      </w:r>
      <w:proofErr w:type="spellStart"/>
      <w:r w:rsidRPr="3998842B">
        <w:rPr>
          <w:rFonts w:ascii="Times New Roman" w:hAnsi="Times New Roman" w:cs="Times New Roman"/>
          <w:color w:val="000000" w:themeColor="text1"/>
          <w:sz w:val="24"/>
          <w:szCs w:val="24"/>
          <w:lang w:val="en-GB"/>
        </w:rPr>
        <w:t>Bączek</w:t>
      </w:r>
      <w:proofErr w:type="spellEnd"/>
      <w:r w:rsidRPr="3998842B">
        <w:rPr>
          <w:rFonts w:ascii="Times New Roman" w:hAnsi="Times New Roman" w:cs="Times New Roman"/>
          <w:color w:val="000000" w:themeColor="text1"/>
          <w:sz w:val="24"/>
          <w:szCs w:val="24"/>
          <w:lang w:val="en-GB"/>
        </w:rPr>
        <w:t xml:space="preserve">, Different approaches for anthracycline antibiotic isolation from biological samples: 6th International </w:t>
      </w:r>
      <w:proofErr w:type="spellStart"/>
      <w:r w:rsidRPr="3998842B">
        <w:rPr>
          <w:rFonts w:ascii="Times New Roman" w:hAnsi="Times New Roman" w:cs="Times New Roman"/>
          <w:color w:val="000000" w:themeColor="text1"/>
          <w:sz w:val="24"/>
          <w:szCs w:val="24"/>
          <w:lang w:val="en-GB"/>
        </w:rPr>
        <w:t>International</w:t>
      </w:r>
      <w:proofErr w:type="spellEnd"/>
      <w:r w:rsidRPr="3998842B">
        <w:rPr>
          <w:rFonts w:ascii="Times New Roman" w:hAnsi="Times New Roman" w:cs="Times New Roman"/>
          <w:color w:val="000000" w:themeColor="text1"/>
          <w:sz w:val="24"/>
          <w:szCs w:val="24"/>
          <w:lang w:val="en-GB"/>
        </w:rPr>
        <w:t xml:space="preserve"> Webinar on chemistry and Pharmaceutical Chemistry, webinar (online meeting), November 25-26, 2022 (</w:t>
      </w:r>
      <w:proofErr w:type="spellStart"/>
      <w:r w:rsidRPr="3998842B">
        <w:rPr>
          <w:rFonts w:ascii="Times New Roman" w:hAnsi="Times New Roman" w:cs="Times New Roman"/>
          <w:color w:val="000000" w:themeColor="text1"/>
          <w:sz w:val="24"/>
          <w:szCs w:val="24"/>
          <w:lang w:val="en-GB"/>
        </w:rPr>
        <w:t>występienie</w:t>
      </w:r>
      <w:proofErr w:type="spellEnd"/>
      <w:r w:rsidRPr="3998842B">
        <w:rPr>
          <w:rFonts w:ascii="Times New Roman" w:hAnsi="Times New Roman" w:cs="Times New Roman"/>
          <w:color w:val="000000" w:themeColor="text1"/>
          <w:sz w:val="24"/>
          <w:szCs w:val="24"/>
          <w:lang w:val="en-GB"/>
        </w:rPr>
        <w:t xml:space="preserve"> </w:t>
      </w:r>
      <w:proofErr w:type="spellStart"/>
      <w:r w:rsidRPr="3998842B">
        <w:rPr>
          <w:rFonts w:ascii="Times New Roman" w:hAnsi="Times New Roman" w:cs="Times New Roman"/>
          <w:color w:val="000000" w:themeColor="text1"/>
          <w:sz w:val="24"/>
          <w:szCs w:val="24"/>
          <w:lang w:val="en-GB"/>
        </w:rPr>
        <w:t>ustne</w:t>
      </w:r>
      <w:proofErr w:type="spellEnd"/>
      <w:r w:rsidRPr="3998842B">
        <w:rPr>
          <w:rFonts w:ascii="Times New Roman" w:hAnsi="Times New Roman" w:cs="Times New Roman"/>
          <w:color w:val="000000" w:themeColor="text1"/>
          <w:sz w:val="24"/>
          <w:szCs w:val="24"/>
          <w:lang w:val="en-GB"/>
        </w:rPr>
        <w:t>)</w:t>
      </w:r>
    </w:p>
    <w:p w14:paraId="410A46AE" w14:textId="29470BC0" w:rsidR="00CB7F50" w:rsidRPr="00043CB3" w:rsidRDefault="003B7DE0" w:rsidP="00043CB3">
      <w:pPr>
        <w:numPr>
          <w:ilvl w:val="0"/>
          <w:numId w:val="49"/>
        </w:numPr>
        <w:spacing w:line="360" w:lineRule="auto"/>
        <w:jc w:val="both"/>
        <w:rPr>
          <w:rStyle w:val="f975a"/>
          <w:sz w:val="24"/>
          <w:szCs w:val="24"/>
          <w:lang w:val="en-GB"/>
        </w:rPr>
      </w:pPr>
      <w:r w:rsidRPr="002A1AE8">
        <w:rPr>
          <w:rFonts w:ascii="Times New Roman" w:hAnsi="Times New Roman" w:cs="Times New Roman"/>
          <w:color w:val="000000"/>
          <w:sz w:val="24"/>
          <w:szCs w:val="24"/>
          <w:shd w:val="clear" w:color="auto" w:fill="FFFFFF"/>
          <w:lang w:val="en-GB"/>
        </w:rPr>
        <w:t xml:space="preserve">N. </w:t>
      </w:r>
      <w:proofErr w:type="spellStart"/>
      <w:r w:rsidRPr="002A1AE8">
        <w:rPr>
          <w:rFonts w:ascii="Times New Roman" w:hAnsi="Times New Roman" w:cs="Times New Roman"/>
          <w:color w:val="000000"/>
          <w:sz w:val="24"/>
          <w:szCs w:val="24"/>
          <w:shd w:val="clear" w:color="auto" w:fill="FFFFFF"/>
          <w:lang w:val="en-GB"/>
        </w:rPr>
        <w:t>Treder</w:t>
      </w:r>
      <w:proofErr w:type="spellEnd"/>
      <w:r w:rsidRPr="00043CB3">
        <w:rPr>
          <w:rFonts w:ascii="Times New Roman" w:hAnsi="Times New Roman" w:cs="Times New Roman"/>
          <w:color w:val="000000"/>
          <w:sz w:val="24"/>
          <w:szCs w:val="24"/>
          <w:shd w:val="clear" w:color="auto" w:fill="FFFFFF"/>
          <w:lang w:val="en-GB"/>
        </w:rPr>
        <w:t xml:space="preserve">, O. </w:t>
      </w:r>
      <w:proofErr w:type="spellStart"/>
      <w:r w:rsidRPr="00043CB3">
        <w:rPr>
          <w:rFonts w:ascii="Times New Roman" w:hAnsi="Times New Roman" w:cs="Times New Roman"/>
          <w:color w:val="000000"/>
          <w:sz w:val="24"/>
          <w:szCs w:val="24"/>
          <w:shd w:val="clear" w:color="auto" w:fill="FFFFFF"/>
          <w:lang w:val="en-GB"/>
        </w:rPr>
        <w:t>Maliszewska</w:t>
      </w:r>
      <w:proofErr w:type="spellEnd"/>
      <w:r w:rsidR="003A0AB9" w:rsidRPr="00043CB3">
        <w:rPr>
          <w:rFonts w:ascii="Times New Roman" w:hAnsi="Times New Roman" w:cs="Times New Roman"/>
          <w:color w:val="000000"/>
          <w:sz w:val="24"/>
          <w:szCs w:val="24"/>
          <w:shd w:val="clear" w:color="auto" w:fill="FFFFFF"/>
          <w:lang w:val="en-GB"/>
        </w:rPr>
        <w:t xml:space="preserve">, I. </w:t>
      </w:r>
      <w:proofErr w:type="spellStart"/>
      <w:r w:rsidR="003A0AB9" w:rsidRPr="00043CB3">
        <w:rPr>
          <w:rFonts w:ascii="Times New Roman" w:hAnsi="Times New Roman" w:cs="Times New Roman"/>
          <w:color w:val="000000"/>
          <w:sz w:val="24"/>
          <w:szCs w:val="24"/>
          <w:shd w:val="clear" w:color="auto" w:fill="FFFFFF"/>
          <w:lang w:val="en-GB"/>
        </w:rPr>
        <w:t>Olędzka</w:t>
      </w:r>
      <w:proofErr w:type="spellEnd"/>
      <w:r w:rsidR="00442129" w:rsidRPr="00043CB3">
        <w:rPr>
          <w:rFonts w:ascii="Times New Roman" w:hAnsi="Times New Roman" w:cs="Times New Roman"/>
          <w:color w:val="000000"/>
          <w:sz w:val="24"/>
          <w:szCs w:val="24"/>
          <w:shd w:val="clear" w:color="auto" w:fill="FFFFFF"/>
          <w:lang w:val="en-GB"/>
        </w:rPr>
        <w:t xml:space="preserve">, A. </w:t>
      </w:r>
      <w:proofErr w:type="spellStart"/>
      <w:r w:rsidR="00442129" w:rsidRPr="00043CB3">
        <w:rPr>
          <w:rFonts w:ascii="Times New Roman" w:hAnsi="Times New Roman" w:cs="Times New Roman"/>
          <w:color w:val="000000"/>
          <w:sz w:val="24"/>
          <w:szCs w:val="24"/>
          <w:shd w:val="clear" w:color="auto" w:fill="FFFFFF"/>
          <w:lang w:val="en-GB"/>
        </w:rPr>
        <w:t>Roszkowska</w:t>
      </w:r>
      <w:proofErr w:type="spellEnd"/>
      <w:r w:rsidR="00442129" w:rsidRPr="00043CB3">
        <w:rPr>
          <w:rFonts w:ascii="Times New Roman" w:hAnsi="Times New Roman" w:cs="Times New Roman"/>
          <w:color w:val="000000"/>
          <w:sz w:val="24"/>
          <w:szCs w:val="24"/>
          <w:shd w:val="clear" w:color="auto" w:fill="FFFFFF"/>
          <w:lang w:val="en-GB"/>
        </w:rPr>
        <w:t xml:space="preserve">, P. Kowalski, N. </w:t>
      </w:r>
      <w:proofErr w:type="spellStart"/>
      <w:r w:rsidR="00442129" w:rsidRPr="00043CB3">
        <w:rPr>
          <w:rFonts w:ascii="Times New Roman" w:hAnsi="Times New Roman" w:cs="Times New Roman"/>
          <w:color w:val="000000"/>
          <w:sz w:val="24"/>
          <w:szCs w:val="24"/>
          <w:shd w:val="clear" w:color="auto" w:fill="FFFFFF"/>
          <w:lang w:val="en-GB"/>
        </w:rPr>
        <w:t>Miękus</w:t>
      </w:r>
      <w:proofErr w:type="spellEnd"/>
      <w:r w:rsidR="00442129" w:rsidRPr="00043CB3">
        <w:rPr>
          <w:rFonts w:ascii="Times New Roman" w:hAnsi="Times New Roman" w:cs="Times New Roman"/>
          <w:color w:val="000000"/>
          <w:sz w:val="24"/>
          <w:szCs w:val="24"/>
          <w:shd w:val="clear" w:color="auto" w:fill="FFFFFF"/>
          <w:lang w:val="en-GB"/>
        </w:rPr>
        <w:t xml:space="preserve">,  T. </w:t>
      </w:r>
      <w:proofErr w:type="spellStart"/>
      <w:r w:rsidR="00442129" w:rsidRPr="00043CB3">
        <w:rPr>
          <w:rFonts w:ascii="Times New Roman" w:hAnsi="Times New Roman" w:cs="Times New Roman"/>
          <w:color w:val="000000"/>
          <w:sz w:val="24"/>
          <w:szCs w:val="24"/>
          <w:shd w:val="clear" w:color="auto" w:fill="FFFFFF"/>
          <w:lang w:val="en-GB"/>
        </w:rPr>
        <w:t>Bączek</w:t>
      </w:r>
      <w:proofErr w:type="spellEnd"/>
      <w:r w:rsidR="00442129" w:rsidRPr="00043CB3">
        <w:rPr>
          <w:rFonts w:ascii="Times New Roman" w:hAnsi="Times New Roman" w:cs="Times New Roman"/>
          <w:color w:val="000000"/>
          <w:sz w:val="24"/>
          <w:szCs w:val="24"/>
          <w:shd w:val="clear" w:color="auto" w:fill="FFFFFF"/>
          <w:lang w:val="en-GB"/>
        </w:rPr>
        <w:t xml:space="preserve">, E. </w:t>
      </w:r>
      <w:proofErr w:type="spellStart"/>
      <w:r w:rsidR="00442129" w:rsidRPr="00043CB3">
        <w:rPr>
          <w:rFonts w:ascii="Times New Roman" w:hAnsi="Times New Roman" w:cs="Times New Roman"/>
          <w:color w:val="000000"/>
          <w:sz w:val="24"/>
          <w:szCs w:val="24"/>
          <w:shd w:val="clear" w:color="auto" w:fill="FFFFFF"/>
          <w:lang w:val="en-GB"/>
        </w:rPr>
        <w:t>Bień</w:t>
      </w:r>
      <w:proofErr w:type="spellEnd"/>
      <w:r w:rsidR="00442129" w:rsidRPr="00043CB3">
        <w:rPr>
          <w:rFonts w:ascii="Times New Roman" w:hAnsi="Times New Roman" w:cs="Times New Roman"/>
          <w:color w:val="000000"/>
          <w:sz w:val="24"/>
          <w:szCs w:val="24"/>
          <w:shd w:val="clear" w:color="auto" w:fill="FFFFFF"/>
          <w:lang w:val="en-GB"/>
        </w:rPr>
        <w:t xml:space="preserve">, A.M. Krawczyk, A. </w:t>
      </w:r>
      <w:proofErr w:type="spellStart"/>
      <w:r w:rsidR="00442129" w:rsidRPr="00043CB3">
        <w:rPr>
          <w:rFonts w:ascii="Times New Roman" w:hAnsi="Times New Roman" w:cs="Times New Roman"/>
          <w:color w:val="000000"/>
          <w:sz w:val="24"/>
          <w:szCs w:val="24"/>
          <w:shd w:val="clear" w:color="auto" w:fill="FFFFFF"/>
          <w:lang w:val="en-GB"/>
        </w:rPr>
        <w:t>Plenis</w:t>
      </w:r>
      <w:proofErr w:type="spellEnd"/>
      <w:r w:rsidR="00442129" w:rsidRPr="00043CB3">
        <w:rPr>
          <w:rFonts w:ascii="Times New Roman" w:hAnsi="Times New Roman" w:cs="Times New Roman"/>
          <w:color w:val="000000"/>
          <w:sz w:val="24"/>
          <w:szCs w:val="24"/>
          <w:shd w:val="clear" w:color="auto" w:fill="FFFFFF"/>
          <w:lang w:val="en-GB"/>
        </w:rPr>
        <w:t xml:space="preserve">, </w:t>
      </w:r>
      <w:r w:rsidR="00247241" w:rsidRPr="00043CB3">
        <w:rPr>
          <w:rStyle w:val="f245a"/>
          <w:rFonts w:ascii="Times New Roman" w:hAnsi="Times New Roman" w:cs="Times New Roman"/>
          <w:color w:val="000000"/>
          <w:sz w:val="24"/>
          <w:szCs w:val="24"/>
          <w:shd w:val="clear" w:color="auto" w:fill="FFFFFF"/>
          <w:lang w:val="en-GB"/>
        </w:rPr>
        <w:t xml:space="preserve">Monitoring concentration profiles </w:t>
      </w:r>
      <w:r w:rsidR="00FE6726" w:rsidRPr="00043CB3">
        <w:rPr>
          <w:rStyle w:val="f245a"/>
          <w:rFonts w:ascii="Times New Roman" w:hAnsi="Times New Roman" w:cs="Times New Roman"/>
          <w:color w:val="000000"/>
          <w:sz w:val="24"/>
          <w:szCs w:val="24"/>
          <w:shd w:val="clear" w:color="auto" w:fill="FFFFFF"/>
          <w:lang w:val="en-GB"/>
        </w:rPr>
        <w:br/>
      </w:r>
      <w:r w:rsidR="00247241" w:rsidRPr="00043CB3">
        <w:rPr>
          <w:rStyle w:val="f245a"/>
          <w:rFonts w:ascii="Times New Roman" w:hAnsi="Times New Roman" w:cs="Times New Roman"/>
          <w:color w:val="000000"/>
          <w:sz w:val="24"/>
          <w:szCs w:val="24"/>
          <w:shd w:val="clear" w:color="auto" w:fill="FFFFFF"/>
          <w:lang w:val="en-GB"/>
        </w:rPr>
        <w:t xml:space="preserve">of anthracycline antibiotics in </w:t>
      </w:r>
      <w:proofErr w:type="spellStart"/>
      <w:r w:rsidR="00247241" w:rsidRPr="00043CB3">
        <w:rPr>
          <w:rStyle w:val="f245a"/>
          <w:rFonts w:ascii="Times New Roman" w:hAnsi="Times New Roman" w:cs="Times New Roman"/>
          <w:color w:val="000000"/>
          <w:sz w:val="24"/>
          <w:szCs w:val="24"/>
          <w:shd w:val="clear" w:color="auto" w:fill="FFFFFF"/>
          <w:lang w:val="en-GB"/>
        </w:rPr>
        <w:t>pediatric</w:t>
      </w:r>
      <w:proofErr w:type="spellEnd"/>
      <w:r w:rsidR="00247241" w:rsidRPr="00043CB3">
        <w:rPr>
          <w:rStyle w:val="f245a"/>
          <w:rFonts w:ascii="Times New Roman" w:hAnsi="Times New Roman" w:cs="Times New Roman"/>
          <w:color w:val="000000"/>
          <w:sz w:val="24"/>
          <w:szCs w:val="24"/>
          <w:shd w:val="clear" w:color="auto" w:fill="FFFFFF"/>
          <w:lang w:val="en-GB"/>
        </w:rPr>
        <w:t xml:space="preserve"> oncology patients</w:t>
      </w:r>
      <w:r w:rsidR="00442129" w:rsidRPr="00043CB3">
        <w:rPr>
          <w:rStyle w:val="f245a"/>
          <w:rFonts w:ascii="Times New Roman" w:hAnsi="Times New Roman" w:cs="Times New Roman"/>
          <w:color w:val="000000"/>
          <w:sz w:val="24"/>
          <w:szCs w:val="24"/>
          <w:shd w:val="clear" w:color="auto" w:fill="FFFFFF"/>
          <w:lang w:val="en-GB"/>
        </w:rPr>
        <w:t xml:space="preserve">, </w:t>
      </w:r>
      <w:r w:rsidR="00247241" w:rsidRPr="00043CB3">
        <w:rPr>
          <w:rStyle w:val="f975a"/>
          <w:rFonts w:ascii="Times New Roman" w:hAnsi="Times New Roman" w:cs="Times New Roman"/>
          <w:color w:val="000000"/>
          <w:sz w:val="24"/>
          <w:szCs w:val="24"/>
          <w:shd w:val="clear" w:color="auto" w:fill="FFFFFF"/>
          <w:lang w:val="en-GB"/>
        </w:rPr>
        <w:t>4</w:t>
      </w:r>
      <w:r w:rsidR="00247241" w:rsidRPr="00043CB3">
        <w:rPr>
          <w:rStyle w:val="f975a"/>
          <w:rFonts w:ascii="Times New Roman" w:hAnsi="Times New Roman" w:cs="Times New Roman"/>
          <w:color w:val="000000"/>
          <w:sz w:val="24"/>
          <w:szCs w:val="24"/>
          <w:shd w:val="clear" w:color="auto" w:fill="FFFFFF"/>
          <w:vertAlign w:val="superscript"/>
          <w:lang w:val="en-GB"/>
        </w:rPr>
        <w:t>TH</w:t>
      </w:r>
      <w:r w:rsidR="00247241" w:rsidRPr="00043CB3">
        <w:rPr>
          <w:rStyle w:val="f975a"/>
          <w:rFonts w:ascii="Times New Roman" w:hAnsi="Times New Roman" w:cs="Times New Roman"/>
          <w:color w:val="000000"/>
          <w:sz w:val="24"/>
          <w:szCs w:val="24"/>
          <w:shd w:val="clear" w:color="auto" w:fill="FFFFFF"/>
          <w:lang w:val="en-GB"/>
        </w:rPr>
        <w:t> Central European Biomedical Congress, [virtual conference, Kraków, Poland], 7-9 June 2021</w:t>
      </w:r>
      <w:r w:rsidR="005C7048" w:rsidRPr="00043CB3">
        <w:rPr>
          <w:rStyle w:val="f975a"/>
          <w:rFonts w:ascii="Times New Roman" w:hAnsi="Times New Roman" w:cs="Times New Roman"/>
          <w:color w:val="000000"/>
          <w:sz w:val="24"/>
          <w:szCs w:val="24"/>
          <w:shd w:val="clear" w:color="auto" w:fill="FFFFFF"/>
          <w:lang w:val="en-GB"/>
        </w:rPr>
        <w:t xml:space="preserve"> (</w:t>
      </w:r>
      <w:proofErr w:type="spellStart"/>
      <w:r w:rsidR="005C7048" w:rsidRPr="00043CB3">
        <w:rPr>
          <w:rStyle w:val="f975a"/>
          <w:rFonts w:ascii="Times New Roman" w:hAnsi="Times New Roman" w:cs="Times New Roman"/>
          <w:color w:val="000000"/>
          <w:sz w:val="24"/>
          <w:szCs w:val="24"/>
          <w:shd w:val="clear" w:color="auto" w:fill="FFFFFF"/>
          <w:lang w:val="en-GB"/>
        </w:rPr>
        <w:t>wystąpienie</w:t>
      </w:r>
      <w:proofErr w:type="spellEnd"/>
      <w:r w:rsidR="00CB7F50" w:rsidRPr="00043CB3">
        <w:rPr>
          <w:rStyle w:val="f975a"/>
          <w:rFonts w:ascii="Times New Roman" w:hAnsi="Times New Roman" w:cs="Times New Roman"/>
          <w:color w:val="000000"/>
          <w:sz w:val="24"/>
          <w:szCs w:val="24"/>
          <w:shd w:val="clear" w:color="auto" w:fill="FFFFFF"/>
          <w:lang w:val="en-GB"/>
        </w:rPr>
        <w:t xml:space="preserve"> </w:t>
      </w:r>
      <w:proofErr w:type="spellStart"/>
      <w:r w:rsidR="005C7048" w:rsidRPr="00043CB3">
        <w:rPr>
          <w:rStyle w:val="f975a"/>
          <w:rFonts w:ascii="Times New Roman" w:hAnsi="Times New Roman" w:cs="Times New Roman"/>
          <w:color w:val="000000"/>
          <w:sz w:val="24"/>
          <w:szCs w:val="24"/>
          <w:shd w:val="clear" w:color="auto" w:fill="FFFFFF"/>
          <w:lang w:val="en-GB"/>
        </w:rPr>
        <w:t>ustne</w:t>
      </w:r>
      <w:proofErr w:type="spellEnd"/>
      <w:r w:rsidR="005C7048" w:rsidRPr="00043CB3">
        <w:rPr>
          <w:rStyle w:val="f975a"/>
          <w:rFonts w:ascii="Times New Roman" w:hAnsi="Times New Roman" w:cs="Times New Roman"/>
          <w:color w:val="000000"/>
          <w:sz w:val="24"/>
          <w:szCs w:val="24"/>
          <w:shd w:val="clear" w:color="auto" w:fill="FFFFFF"/>
          <w:lang w:val="en-GB"/>
        </w:rPr>
        <w:t>)</w:t>
      </w:r>
    </w:p>
    <w:p w14:paraId="5BF54C15" w14:textId="74032A7B" w:rsidR="00043CB3" w:rsidRPr="00043CB3" w:rsidRDefault="00043CB3" w:rsidP="00043CB3">
      <w:pPr>
        <w:numPr>
          <w:ilvl w:val="0"/>
          <w:numId w:val="49"/>
        </w:numPr>
        <w:spacing w:line="360" w:lineRule="auto"/>
        <w:jc w:val="both"/>
        <w:rPr>
          <w:rStyle w:val="f975a"/>
          <w:rFonts w:ascii="Times New Roman" w:hAnsi="Times New Roman" w:cs="Times New Roman"/>
          <w:sz w:val="24"/>
          <w:szCs w:val="24"/>
        </w:rPr>
      </w:pPr>
      <w:r w:rsidRPr="002A1AE8">
        <w:rPr>
          <w:rStyle w:val="f975a"/>
          <w:rFonts w:ascii="Times New Roman" w:hAnsi="Times New Roman" w:cs="Times New Roman"/>
          <w:color w:val="000000"/>
          <w:sz w:val="24"/>
          <w:szCs w:val="24"/>
          <w:shd w:val="clear" w:color="auto" w:fill="FFFFFF"/>
        </w:rPr>
        <w:t>O. Maliszewska</w:t>
      </w:r>
      <w:r w:rsidRPr="00043CB3">
        <w:rPr>
          <w:rStyle w:val="f975a"/>
          <w:rFonts w:ascii="Times New Roman" w:hAnsi="Times New Roman" w:cs="Times New Roman"/>
          <w:color w:val="000000"/>
          <w:sz w:val="24"/>
          <w:szCs w:val="24"/>
          <w:shd w:val="clear" w:color="auto" w:fill="FFFFFF"/>
        </w:rPr>
        <w:t xml:space="preserve">, N. Treder, I. Olędzka, P. Kowalski, N. Miękus, T. Bączek, A. </w:t>
      </w:r>
      <w:proofErr w:type="spellStart"/>
      <w:r w:rsidRPr="00043CB3">
        <w:rPr>
          <w:rStyle w:val="f975a"/>
          <w:rFonts w:ascii="Times New Roman" w:hAnsi="Times New Roman" w:cs="Times New Roman"/>
          <w:color w:val="000000"/>
          <w:sz w:val="24"/>
          <w:szCs w:val="24"/>
          <w:shd w:val="clear" w:color="auto" w:fill="FFFFFF"/>
        </w:rPr>
        <w:t>Plenis</w:t>
      </w:r>
      <w:proofErr w:type="spellEnd"/>
      <w:r w:rsidRPr="00043CB3">
        <w:rPr>
          <w:rStyle w:val="f975a"/>
          <w:rFonts w:ascii="Times New Roman" w:hAnsi="Times New Roman" w:cs="Times New Roman"/>
          <w:color w:val="000000"/>
          <w:sz w:val="24"/>
          <w:szCs w:val="24"/>
          <w:u w:val="single"/>
          <w:shd w:val="clear" w:color="auto" w:fill="FFFFFF"/>
        </w:rPr>
        <w:t xml:space="preserve">, </w:t>
      </w:r>
      <w:r w:rsidRPr="00043CB3">
        <w:rPr>
          <w:rFonts w:ascii="Times New Roman" w:hAnsi="Times New Roman" w:cs="Times New Roman"/>
          <w:sz w:val="24"/>
          <w:szCs w:val="24"/>
        </w:rPr>
        <w:t xml:space="preserve">Monitorowanie stężenia </w:t>
      </w:r>
      <w:proofErr w:type="spellStart"/>
      <w:r w:rsidRPr="00043CB3">
        <w:rPr>
          <w:rFonts w:ascii="Times New Roman" w:hAnsi="Times New Roman" w:cs="Times New Roman"/>
          <w:sz w:val="24"/>
          <w:szCs w:val="24"/>
        </w:rPr>
        <w:t>idarubicyny</w:t>
      </w:r>
      <w:proofErr w:type="spellEnd"/>
      <w:r w:rsidRPr="00043CB3">
        <w:rPr>
          <w:rFonts w:ascii="Times New Roman" w:hAnsi="Times New Roman" w:cs="Times New Roman"/>
          <w:sz w:val="24"/>
          <w:szCs w:val="24"/>
        </w:rPr>
        <w:t xml:space="preserve"> w ludzkim osoczu i moczu metodą SPE-LC z detekcją 9 fluorescencyjną. XIV Kopernikańskie Seminarium Doktoranckie, Toruń, 20-22 września 2021, (plakat)</w:t>
      </w:r>
    </w:p>
    <w:p w14:paraId="5A5F39DC" w14:textId="3881A499" w:rsidR="00FE6726" w:rsidRPr="00043CB3" w:rsidRDefault="00CB7F50" w:rsidP="00043CB3">
      <w:pPr>
        <w:numPr>
          <w:ilvl w:val="0"/>
          <w:numId w:val="49"/>
        </w:numPr>
        <w:spacing w:line="360" w:lineRule="auto"/>
        <w:jc w:val="both"/>
        <w:rPr>
          <w:rFonts w:ascii="Times New Roman" w:hAnsi="Times New Roman" w:cs="Times New Roman"/>
          <w:sz w:val="24"/>
          <w:szCs w:val="24"/>
        </w:rPr>
      </w:pPr>
      <w:r w:rsidRPr="002A1AE8">
        <w:rPr>
          <w:rStyle w:val="f975a"/>
          <w:rFonts w:ascii="Times New Roman" w:hAnsi="Times New Roman" w:cs="Times New Roman"/>
          <w:color w:val="000000"/>
          <w:sz w:val="24"/>
          <w:szCs w:val="24"/>
          <w:shd w:val="clear" w:color="auto" w:fill="FFFFFF"/>
        </w:rPr>
        <w:t>O. Maliszewska</w:t>
      </w:r>
      <w:r w:rsidRPr="00043CB3">
        <w:rPr>
          <w:rStyle w:val="f975a"/>
          <w:rFonts w:ascii="Times New Roman" w:hAnsi="Times New Roman" w:cs="Times New Roman"/>
          <w:color w:val="000000"/>
          <w:sz w:val="24"/>
          <w:szCs w:val="24"/>
          <w:shd w:val="clear" w:color="auto" w:fill="FFFFFF"/>
        </w:rPr>
        <w:t xml:space="preserve">, N. Treder, I. Olędzka, T. Bączek, A. </w:t>
      </w:r>
      <w:proofErr w:type="spellStart"/>
      <w:r w:rsidRPr="00043CB3">
        <w:rPr>
          <w:rStyle w:val="f975a"/>
          <w:rFonts w:ascii="Times New Roman" w:hAnsi="Times New Roman" w:cs="Times New Roman"/>
          <w:color w:val="000000"/>
          <w:sz w:val="24"/>
          <w:szCs w:val="24"/>
          <w:shd w:val="clear" w:color="auto" w:fill="FFFFFF"/>
        </w:rPr>
        <w:t>Plenis</w:t>
      </w:r>
      <w:proofErr w:type="spellEnd"/>
      <w:r w:rsidRPr="00043CB3">
        <w:rPr>
          <w:rStyle w:val="f975a"/>
          <w:rFonts w:ascii="Times New Roman" w:hAnsi="Times New Roman" w:cs="Times New Roman"/>
          <w:color w:val="000000"/>
          <w:sz w:val="24"/>
          <w:szCs w:val="24"/>
          <w:shd w:val="clear" w:color="auto" w:fill="FFFFFF"/>
        </w:rPr>
        <w:t xml:space="preserve">, </w:t>
      </w:r>
      <w:r w:rsidR="00AE47A6" w:rsidRPr="00043CB3">
        <w:rPr>
          <w:rStyle w:val="f245a"/>
          <w:rFonts w:ascii="Times New Roman" w:hAnsi="Times New Roman" w:cs="Times New Roman"/>
          <w:color w:val="000000"/>
          <w:sz w:val="24"/>
          <w:szCs w:val="24"/>
          <w:shd w:val="clear" w:color="auto" w:fill="FFFFFF"/>
        </w:rPr>
        <w:t xml:space="preserve">Porównanie procedur ekstrakcji </w:t>
      </w:r>
      <w:proofErr w:type="spellStart"/>
      <w:r w:rsidR="00AE47A6" w:rsidRPr="00043CB3">
        <w:rPr>
          <w:rStyle w:val="f245a"/>
          <w:rFonts w:ascii="Times New Roman" w:hAnsi="Times New Roman" w:cs="Times New Roman"/>
          <w:color w:val="000000"/>
          <w:sz w:val="24"/>
          <w:szCs w:val="24"/>
          <w:shd w:val="clear" w:color="auto" w:fill="FFFFFF"/>
        </w:rPr>
        <w:t>doksorubicyny</w:t>
      </w:r>
      <w:proofErr w:type="spellEnd"/>
      <w:r w:rsidR="00AE47A6" w:rsidRPr="00043CB3">
        <w:rPr>
          <w:rStyle w:val="f245a"/>
          <w:rFonts w:ascii="Times New Roman" w:hAnsi="Times New Roman" w:cs="Times New Roman"/>
          <w:color w:val="000000"/>
          <w:sz w:val="24"/>
          <w:szCs w:val="24"/>
          <w:shd w:val="clear" w:color="auto" w:fill="FFFFFF"/>
        </w:rPr>
        <w:t xml:space="preserve"> z tkanek zwierzęcych z użyciem </w:t>
      </w:r>
      <w:proofErr w:type="spellStart"/>
      <w:r w:rsidR="00AE47A6" w:rsidRPr="00043CB3">
        <w:rPr>
          <w:rStyle w:val="f245a"/>
          <w:rFonts w:ascii="Times New Roman" w:hAnsi="Times New Roman" w:cs="Times New Roman"/>
          <w:color w:val="000000"/>
          <w:sz w:val="24"/>
          <w:szCs w:val="24"/>
          <w:shd w:val="clear" w:color="auto" w:fill="FFFFFF"/>
        </w:rPr>
        <w:t>deproteinizacji</w:t>
      </w:r>
      <w:proofErr w:type="spellEnd"/>
      <w:r w:rsidR="00AE47A6" w:rsidRPr="00043CB3">
        <w:rPr>
          <w:rStyle w:val="f245a"/>
          <w:rFonts w:ascii="Times New Roman" w:hAnsi="Times New Roman" w:cs="Times New Roman"/>
          <w:color w:val="000000"/>
          <w:sz w:val="24"/>
          <w:szCs w:val="24"/>
          <w:shd w:val="clear" w:color="auto" w:fill="FFFFFF"/>
        </w:rPr>
        <w:t>, LLE i SPE</w:t>
      </w:r>
      <w:r w:rsidR="00FE6726" w:rsidRPr="00043CB3">
        <w:rPr>
          <w:rFonts w:ascii="Times New Roman" w:hAnsi="Times New Roman" w:cs="Times New Roman"/>
          <w:color w:val="000000"/>
          <w:sz w:val="24"/>
          <w:szCs w:val="24"/>
          <w:shd w:val="clear" w:color="auto" w:fill="FFFFFF"/>
        </w:rPr>
        <w:t xml:space="preserve">, </w:t>
      </w:r>
      <w:r w:rsidR="00AE47A6" w:rsidRPr="00043CB3">
        <w:rPr>
          <w:rStyle w:val="f975a"/>
          <w:rFonts w:ascii="Times New Roman" w:hAnsi="Times New Roman" w:cs="Times New Roman"/>
          <w:color w:val="000000"/>
          <w:sz w:val="24"/>
          <w:szCs w:val="24"/>
          <w:shd w:val="clear" w:color="auto" w:fill="FFFFFF"/>
        </w:rPr>
        <w:t>Biologia, Chemia i Środowisko: Spojrzenie Młodych Naukowców: Edycja II: materiały Konferencji Młodych Naukowców, [on-line], Kraków, 24-25.04.2021</w:t>
      </w:r>
      <w:r w:rsidR="00FE6726" w:rsidRPr="00043CB3">
        <w:rPr>
          <w:rStyle w:val="f975a"/>
          <w:rFonts w:ascii="Times New Roman" w:hAnsi="Times New Roman" w:cs="Times New Roman"/>
          <w:color w:val="000000"/>
          <w:sz w:val="24"/>
          <w:szCs w:val="24"/>
          <w:shd w:val="clear" w:color="auto" w:fill="FFFFFF"/>
        </w:rPr>
        <w:t xml:space="preserve"> (plakat)</w:t>
      </w:r>
      <w:r w:rsidR="00FE6726" w:rsidRPr="00043CB3">
        <w:rPr>
          <w:rFonts w:ascii="Times New Roman" w:hAnsi="Times New Roman" w:cs="Times New Roman"/>
          <w:color w:val="000000"/>
          <w:sz w:val="24"/>
          <w:szCs w:val="24"/>
          <w:shd w:val="clear" w:color="auto" w:fill="FFFFFF"/>
        </w:rPr>
        <w:t xml:space="preserve"> </w:t>
      </w:r>
    </w:p>
    <w:p w14:paraId="2EB0FBE9" w14:textId="60945B6B" w:rsidR="007564E9" w:rsidRPr="00043CB3" w:rsidRDefault="009F2E16" w:rsidP="00043CB3">
      <w:pPr>
        <w:numPr>
          <w:ilvl w:val="0"/>
          <w:numId w:val="49"/>
        </w:numPr>
        <w:spacing w:line="360" w:lineRule="auto"/>
        <w:jc w:val="both"/>
        <w:rPr>
          <w:rFonts w:ascii="Times New Roman" w:hAnsi="Times New Roman" w:cs="Times New Roman"/>
          <w:sz w:val="24"/>
          <w:szCs w:val="24"/>
        </w:rPr>
      </w:pPr>
      <w:r w:rsidRPr="002A1AE8">
        <w:rPr>
          <w:rStyle w:val="f975a"/>
          <w:rFonts w:ascii="Times New Roman" w:hAnsi="Times New Roman" w:cs="Times New Roman"/>
          <w:sz w:val="24"/>
          <w:szCs w:val="24"/>
          <w:shd w:val="clear" w:color="auto" w:fill="FFFFFF"/>
        </w:rPr>
        <w:t>O. Maliszewska</w:t>
      </w:r>
      <w:r w:rsidRPr="00043CB3">
        <w:rPr>
          <w:rStyle w:val="f975a"/>
          <w:rFonts w:ascii="Times New Roman" w:hAnsi="Times New Roman" w:cs="Times New Roman"/>
          <w:sz w:val="24"/>
          <w:szCs w:val="24"/>
          <w:shd w:val="clear" w:color="auto" w:fill="FFFFFF"/>
        </w:rPr>
        <w:t xml:space="preserve">, N. Treder, I. Olędzka, P. Kowalski, N. Miękus, T. Bączek, E. Bień, M.A. Krawczyk, </w:t>
      </w:r>
      <w:r w:rsidR="00F46CA4" w:rsidRPr="00043CB3">
        <w:rPr>
          <w:rStyle w:val="f975a"/>
          <w:rFonts w:ascii="Times New Roman" w:hAnsi="Times New Roman" w:cs="Times New Roman"/>
          <w:sz w:val="24"/>
          <w:szCs w:val="24"/>
          <w:shd w:val="clear" w:color="auto" w:fill="FFFFFF"/>
        </w:rPr>
        <w:t xml:space="preserve">A. </w:t>
      </w:r>
      <w:proofErr w:type="spellStart"/>
      <w:r w:rsidR="00F46CA4" w:rsidRPr="00043CB3">
        <w:rPr>
          <w:rStyle w:val="f975a"/>
          <w:rFonts w:ascii="Times New Roman" w:hAnsi="Times New Roman" w:cs="Times New Roman"/>
          <w:sz w:val="24"/>
          <w:szCs w:val="24"/>
          <w:shd w:val="clear" w:color="auto" w:fill="FFFFFF"/>
        </w:rPr>
        <w:t>Plenis</w:t>
      </w:r>
      <w:proofErr w:type="spellEnd"/>
      <w:r w:rsidR="00F46CA4" w:rsidRPr="00043CB3">
        <w:rPr>
          <w:rStyle w:val="f975a"/>
          <w:rFonts w:ascii="Times New Roman" w:hAnsi="Times New Roman" w:cs="Times New Roman"/>
          <w:sz w:val="24"/>
          <w:szCs w:val="24"/>
          <w:shd w:val="clear" w:color="auto" w:fill="FFFFFF"/>
        </w:rPr>
        <w:t>,</w:t>
      </w:r>
      <w:r w:rsidR="00042C10" w:rsidRPr="00043CB3">
        <w:rPr>
          <w:rStyle w:val="f975a"/>
          <w:rFonts w:ascii="Times New Roman" w:hAnsi="Times New Roman" w:cs="Times New Roman"/>
          <w:sz w:val="24"/>
          <w:szCs w:val="24"/>
          <w:shd w:val="clear" w:color="auto" w:fill="FFFFFF"/>
        </w:rPr>
        <w:t xml:space="preserve"> </w:t>
      </w:r>
      <w:r w:rsidR="007564E9" w:rsidRPr="00043CB3">
        <w:rPr>
          <w:rStyle w:val="f245a"/>
          <w:rFonts w:ascii="Times New Roman" w:hAnsi="Times New Roman" w:cs="Times New Roman"/>
          <w:sz w:val="24"/>
          <w:szCs w:val="24"/>
          <w:shd w:val="clear" w:color="auto" w:fill="FFFFFF"/>
        </w:rPr>
        <w:t xml:space="preserve">Opracowanie nowych procedur LC-FL do oznaczania wybranych leków cytostatycznych w płynach ustrojowych i ich zastosowanie w praktyce klinicznej </w:t>
      </w:r>
      <w:r w:rsidR="00B23367" w:rsidRPr="00043CB3">
        <w:rPr>
          <w:rFonts w:ascii="Times New Roman" w:hAnsi="Times New Roman" w:cs="Times New Roman"/>
          <w:sz w:val="24"/>
          <w:szCs w:val="24"/>
        </w:rPr>
        <w:t xml:space="preserve">XXVI Konferencja Naukowa Wydziału Farmaceutycznego </w:t>
      </w:r>
      <w:r w:rsidR="00B23367" w:rsidRPr="00043CB3">
        <w:rPr>
          <w:rFonts w:ascii="Times New Roman" w:hAnsi="Times New Roman" w:cs="Times New Roman"/>
          <w:sz w:val="24"/>
          <w:szCs w:val="24"/>
        </w:rPr>
        <w:lastRenderedPageBreak/>
        <w:t>Gdańskiego Uniwersytetu Medycznego, Gdańsk, Polska, 28-29 stycznia 2021, (plakat)</w:t>
      </w:r>
      <w:r w:rsidR="007564E9" w:rsidRPr="00043CB3">
        <w:rPr>
          <w:rFonts w:ascii="Times New Roman" w:hAnsi="Times New Roman" w:cs="Times New Roman"/>
          <w:sz w:val="24"/>
          <w:szCs w:val="24"/>
          <w:shd w:val="clear" w:color="auto" w:fill="FFFFFF"/>
        </w:rPr>
        <w:br/>
      </w:r>
    </w:p>
    <w:p w14:paraId="059EEB8A" w14:textId="36840FE8" w:rsidR="00643E36" w:rsidRPr="00043CB3" w:rsidRDefault="00B23367" w:rsidP="00043CB3">
      <w:pPr>
        <w:numPr>
          <w:ilvl w:val="0"/>
          <w:numId w:val="49"/>
        </w:numPr>
        <w:spacing w:line="360" w:lineRule="auto"/>
        <w:jc w:val="both"/>
        <w:rPr>
          <w:rFonts w:ascii="Times New Roman" w:hAnsi="Times New Roman" w:cs="Times New Roman"/>
          <w:sz w:val="24"/>
          <w:szCs w:val="24"/>
        </w:rPr>
      </w:pPr>
      <w:r w:rsidRPr="002A1AE8">
        <w:rPr>
          <w:rFonts w:ascii="Times New Roman" w:hAnsi="Times New Roman" w:cs="Times New Roman"/>
          <w:color w:val="000000"/>
          <w:sz w:val="24"/>
          <w:szCs w:val="24"/>
          <w:shd w:val="clear" w:color="auto" w:fill="FFFFFF"/>
        </w:rPr>
        <w:t xml:space="preserve">A. </w:t>
      </w:r>
      <w:proofErr w:type="spellStart"/>
      <w:r w:rsidRPr="002A1AE8">
        <w:rPr>
          <w:rFonts w:ascii="Times New Roman" w:hAnsi="Times New Roman" w:cs="Times New Roman"/>
          <w:color w:val="000000"/>
          <w:sz w:val="24"/>
          <w:szCs w:val="24"/>
          <w:shd w:val="clear" w:color="auto" w:fill="FFFFFF"/>
        </w:rPr>
        <w:t>Plenis</w:t>
      </w:r>
      <w:proofErr w:type="spellEnd"/>
      <w:r w:rsidRPr="00043CB3">
        <w:rPr>
          <w:rFonts w:ascii="Times New Roman" w:hAnsi="Times New Roman" w:cs="Times New Roman"/>
          <w:color w:val="000000"/>
          <w:sz w:val="24"/>
          <w:szCs w:val="24"/>
          <w:shd w:val="clear" w:color="auto" w:fill="FFFFFF"/>
        </w:rPr>
        <w:t xml:space="preserve">, O. Maliszewska, N. Treder, I. Olędzka, P. Kowalski, N. Miękus, T. Bączek, </w:t>
      </w:r>
      <w:r w:rsidR="0053230B" w:rsidRPr="00043CB3">
        <w:rPr>
          <w:rStyle w:val="f245a"/>
          <w:rFonts w:ascii="Times New Roman" w:hAnsi="Times New Roman" w:cs="Times New Roman"/>
          <w:color w:val="000000"/>
          <w:sz w:val="24"/>
          <w:szCs w:val="24"/>
          <w:shd w:val="clear" w:color="auto" w:fill="FFFFFF"/>
        </w:rPr>
        <w:t xml:space="preserve">Opracowanie metod oznaczania wybranych antybiotyków </w:t>
      </w:r>
      <w:proofErr w:type="spellStart"/>
      <w:r w:rsidR="0053230B" w:rsidRPr="00043CB3">
        <w:rPr>
          <w:rStyle w:val="f245a"/>
          <w:rFonts w:ascii="Times New Roman" w:hAnsi="Times New Roman" w:cs="Times New Roman"/>
          <w:color w:val="000000"/>
          <w:sz w:val="24"/>
          <w:szCs w:val="24"/>
          <w:shd w:val="clear" w:color="auto" w:fill="FFFFFF"/>
        </w:rPr>
        <w:t>antracyklinowych</w:t>
      </w:r>
      <w:proofErr w:type="spellEnd"/>
      <w:r w:rsidR="0053230B" w:rsidRPr="00043CB3">
        <w:rPr>
          <w:rStyle w:val="f245a"/>
          <w:rFonts w:ascii="Times New Roman" w:hAnsi="Times New Roman" w:cs="Times New Roman"/>
          <w:color w:val="000000"/>
          <w:sz w:val="24"/>
          <w:szCs w:val="24"/>
          <w:shd w:val="clear" w:color="auto" w:fill="FFFFFF"/>
        </w:rPr>
        <w:t xml:space="preserve"> w osoczu i moczu krwi ludzkiej techniką LC-FL i ich zastosowanie w praktyce klinicznej</w:t>
      </w:r>
      <w:r w:rsidR="0053230B" w:rsidRPr="00043CB3">
        <w:rPr>
          <w:rStyle w:val="fieldtc"/>
          <w:rFonts w:ascii="Times New Roman" w:hAnsi="Times New Roman" w:cs="Times New Roman"/>
          <w:color w:val="000000"/>
          <w:sz w:val="24"/>
          <w:szCs w:val="24"/>
          <w:shd w:val="clear" w:color="auto" w:fill="FFFFFF"/>
        </w:rPr>
        <w:t>: </w:t>
      </w:r>
      <w:r w:rsidR="0053230B" w:rsidRPr="00043CB3">
        <w:rPr>
          <w:rStyle w:val="f975a"/>
          <w:rFonts w:ascii="Times New Roman" w:hAnsi="Times New Roman" w:cs="Times New Roman"/>
          <w:color w:val="000000"/>
          <w:sz w:val="24"/>
          <w:szCs w:val="24"/>
          <w:shd w:val="clear" w:color="auto" w:fill="FFFFFF"/>
        </w:rPr>
        <w:t xml:space="preserve">III Poznańska Konferencja Naukowo-Szkoleniowa: Współczesna analityka farmaceutyczna i biomedyczna w ochronie zdrowia, on-line, Poznań, 04-05.06.2020 r. </w:t>
      </w:r>
      <w:r w:rsidRPr="00043CB3">
        <w:rPr>
          <w:rStyle w:val="f975a"/>
          <w:rFonts w:ascii="Times New Roman" w:hAnsi="Times New Roman" w:cs="Times New Roman"/>
          <w:color w:val="000000"/>
          <w:sz w:val="24"/>
          <w:szCs w:val="24"/>
          <w:shd w:val="clear" w:color="auto" w:fill="FFFFFF"/>
        </w:rPr>
        <w:t xml:space="preserve">(wystąpienie ustne) </w:t>
      </w:r>
    </w:p>
    <w:p w14:paraId="434DD12B" w14:textId="036310AD" w:rsidR="007F3500" w:rsidRPr="007F3500" w:rsidRDefault="3998842B" w:rsidP="00043CB3">
      <w:pPr>
        <w:numPr>
          <w:ilvl w:val="0"/>
          <w:numId w:val="49"/>
        </w:numPr>
        <w:spacing w:line="360" w:lineRule="auto"/>
        <w:jc w:val="both"/>
        <w:rPr>
          <w:rFonts w:ascii="Times New Roman" w:hAnsi="Times New Roman" w:cs="Times New Roman"/>
          <w:sz w:val="24"/>
          <w:szCs w:val="24"/>
          <w:lang w:val="en-GB"/>
        </w:rPr>
      </w:pPr>
      <w:r w:rsidRPr="3998842B">
        <w:rPr>
          <w:rFonts w:ascii="Times New Roman" w:hAnsi="Times New Roman" w:cs="Times New Roman"/>
          <w:sz w:val="24"/>
          <w:szCs w:val="24"/>
          <w:lang w:val="en-US"/>
        </w:rPr>
        <w:t xml:space="preserve">A. </w:t>
      </w:r>
      <w:proofErr w:type="spellStart"/>
      <w:r w:rsidRPr="3998842B">
        <w:rPr>
          <w:rFonts w:ascii="Times New Roman" w:hAnsi="Times New Roman" w:cs="Times New Roman"/>
          <w:sz w:val="24"/>
          <w:szCs w:val="24"/>
          <w:lang w:val="en-US"/>
        </w:rPr>
        <w:t>Plenis</w:t>
      </w:r>
      <w:proofErr w:type="spellEnd"/>
      <w:r w:rsidRPr="3998842B">
        <w:rPr>
          <w:rFonts w:ascii="Times New Roman" w:hAnsi="Times New Roman" w:cs="Times New Roman"/>
          <w:sz w:val="24"/>
          <w:szCs w:val="24"/>
          <w:lang w:val="en-US"/>
        </w:rPr>
        <w:t xml:space="preserve">, O. </w:t>
      </w:r>
      <w:proofErr w:type="spellStart"/>
      <w:r w:rsidRPr="3998842B">
        <w:rPr>
          <w:rFonts w:ascii="Times New Roman" w:hAnsi="Times New Roman" w:cs="Times New Roman"/>
          <w:sz w:val="24"/>
          <w:szCs w:val="24"/>
          <w:lang w:val="en-US"/>
        </w:rPr>
        <w:t>Maliszewska</w:t>
      </w:r>
      <w:proofErr w:type="spellEnd"/>
      <w:r w:rsidRPr="3998842B">
        <w:rPr>
          <w:rFonts w:ascii="Times New Roman" w:hAnsi="Times New Roman" w:cs="Times New Roman"/>
          <w:sz w:val="24"/>
          <w:szCs w:val="24"/>
          <w:lang w:val="en-US"/>
        </w:rPr>
        <w:t xml:space="preserve">, N. </w:t>
      </w:r>
      <w:proofErr w:type="spellStart"/>
      <w:r w:rsidRPr="3998842B">
        <w:rPr>
          <w:rFonts w:ascii="Times New Roman" w:hAnsi="Times New Roman" w:cs="Times New Roman"/>
          <w:sz w:val="24"/>
          <w:szCs w:val="24"/>
          <w:lang w:val="en-US"/>
        </w:rPr>
        <w:t>Treder</w:t>
      </w:r>
      <w:proofErr w:type="spellEnd"/>
      <w:r w:rsidRPr="3998842B">
        <w:rPr>
          <w:rFonts w:ascii="Times New Roman" w:hAnsi="Times New Roman" w:cs="Times New Roman"/>
          <w:sz w:val="24"/>
          <w:szCs w:val="24"/>
          <w:lang w:val="en-US"/>
        </w:rPr>
        <w:t xml:space="preserve">, I. </w:t>
      </w:r>
      <w:proofErr w:type="spellStart"/>
      <w:r w:rsidRPr="3998842B">
        <w:rPr>
          <w:rFonts w:ascii="Times New Roman" w:hAnsi="Times New Roman" w:cs="Times New Roman"/>
          <w:sz w:val="24"/>
          <w:szCs w:val="24"/>
          <w:lang w:val="en-US"/>
        </w:rPr>
        <w:t>Olędzka</w:t>
      </w:r>
      <w:proofErr w:type="spellEnd"/>
      <w:r w:rsidRPr="3998842B">
        <w:rPr>
          <w:rFonts w:ascii="Times New Roman" w:hAnsi="Times New Roman" w:cs="Times New Roman"/>
          <w:sz w:val="24"/>
          <w:szCs w:val="24"/>
          <w:lang w:val="en-US"/>
        </w:rPr>
        <w:t xml:space="preserve">, P. Kowalski, N. </w:t>
      </w:r>
      <w:proofErr w:type="spellStart"/>
      <w:r w:rsidRPr="3998842B">
        <w:rPr>
          <w:rFonts w:ascii="Times New Roman" w:hAnsi="Times New Roman" w:cs="Times New Roman"/>
          <w:sz w:val="24"/>
          <w:szCs w:val="24"/>
          <w:lang w:val="en-US"/>
        </w:rPr>
        <w:t>Miękus</w:t>
      </w:r>
      <w:proofErr w:type="spellEnd"/>
      <w:r w:rsidRPr="3998842B">
        <w:rPr>
          <w:rFonts w:ascii="Times New Roman" w:hAnsi="Times New Roman" w:cs="Times New Roman"/>
          <w:sz w:val="24"/>
          <w:szCs w:val="24"/>
          <w:lang w:val="en-US"/>
        </w:rPr>
        <w:t xml:space="preserve">, , E. </w:t>
      </w:r>
      <w:proofErr w:type="spellStart"/>
      <w:r w:rsidRPr="3998842B">
        <w:rPr>
          <w:rFonts w:ascii="Times New Roman" w:hAnsi="Times New Roman" w:cs="Times New Roman"/>
          <w:sz w:val="24"/>
          <w:szCs w:val="24"/>
          <w:lang w:val="en-US"/>
        </w:rPr>
        <w:t>Bień</w:t>
      </w:r>
      <w:proofErr w:type="spellEnd"/>
      <w:r w:rsidRPr="3998842B">
        <w:rPr>
          <w:rFonts w:ascii="Times New Roman" w:hAnsi="Times New Roman" w:cs="Times New Roman"/>
          <w:sz w:val="24"/>
          <w:szCs w:val="24"/>
          <w:lang w:val="en-US"/>
        </w:rPr>
        <w:t xml:space="preserve">, M.A. Krawczyk, E. </w:t>
      </w:r>
      <w:proofErr w:type="spellStart"/>
      <w:r w:rsidRPr="3998842B">
        <w:rPr>
          <w:rFonts w:ascii="Times New Roman" w:hAnsi="Times New Roman" w:cs="Times New Roman"/>
          <w:sz w:val="24"/>
          <w:szCs w:val="24"/>
          <w:lang w:val="en-US"/>
        </w:rPr>
        <w:t>Adamkiewicz-Drożyńska</w:t>
      </w:r>
      <w:proofErr w:type="spellEnd"/>
      <w:r w:rsidRPr="3998842B">
        <w:rPr>
          <w:rFonts w:ascii="Times New Roman" w:hAnsi="Times New Roman" w:cs="Times New Roman"/>
          <w:sz w:val="24"/>
          <w:szCs w:val="24"/>
          <w:lang w:val="en-US"/>
        </w:rPr>
        <w:t xml:space="preserve">, T. </w:t>
      </w:r>
      <w:proofErr w:type="spellStart"/>
      <w:r w:rsidRPr="3998842B">
        <w:rPr>
          <w:rFonts w:ascii="Times New Roman" w:hAnsi="Times New Roman" w:cs="Times New Roman"/>
          <w:sz w:val="24"/>
          <w:szCs w:val="24"/>
          <w:lang w:val="en-US"/>
        </w:rPr>
        <w:t>Bączek</w:t>
      </w:r>
      <w:proofErr w:type="spellEnd"/>
      <w:r w:rsidRPr="3998842B">
        <w:rPr>
          <w:rFonts w:ascii="Times New Roman" w:hAnsi="Times New Roman" w:cs="Times New Roman"/>
          <w:b/>
          <w:bCs/>
          <w:sz w:val="24"/>
          <w:szCs w:val="24"/>
          <w:lang w:val="en-US"/>
        </w:rPr>
        <w:t xml:space="preserve">, </w:t>
      </w:r>
      <w:r w:rsidRPr="3998842B">
        <w:rPr>
          <w:rFonts w:ascii="Times New Roman" w:hAnsi="Times New Roman" w:cs="Times New Roman"/>
          <w:sz w:val="24"/>
          <w:szCs w:val="24"/>
          <w:lang w:val="en-US"/>
        </w:rPr>
        <w:t xml:space="preserve">The application of LC-FL methods for the quantification of selected anthracycline antibiotics in human plasma and urine samples (poster), CECE 2019: 16th International Interdisciplinary Meeting on Bioanalysis, </w:t>
      </w:r>
      <w:proofErr w:type="spellStart"/>
      <w:r w:rsidRPr="3998842B">
        <w:rPr>
          <w:rFonts w:ascii="Times New Roman" w:hAnsi="Times New Roman" w:cs="Times New Roman"/>
          <w:sz w:val="24"/>
          <w:szCs w:val="24"/>
          <w:lang w:val="en-US"/>
        </w:rPr>
        <w:t>Gdańsk</w:t>
      </w:r>
      <w:proofErr w:type="spellEnd"/>
      <w:r w:rsidRPr="3998842B">
        <w:rPr>
          <w:rFonts w:ascii="Times New Roman" w:hAnsi="Times New Roman" w:cs="Times New Roman"/>
          <w:sz w:val="24"/>
          <w:szCs w:val="24"/>
          <w:lang w:val="en-US"/>
        </w:rPr>
        <w:t>, Poland, 24-26th September 2019 (</w:t>
      </w:r>
      <w:proofErr w:type="spellStart"/>
      <w:r w:rsidRPr="3998842B">
        <w:rPr>
          <w:rFonts w:ascii="Times New Roman" w:hAnsi="Times New Roman" w:cs="Times New Roman"/>
          <w:sz w:val="24"/>
          <w:szCs w:val="24"/>
          <w:lang w:val="en-US"/>
        </w:rPr>
        <w:t>plakat</w:t>
      </w:r>
      <w:proofErr w:type="spellEnd"/>
      <w:r w:rsidRPr="3998842B">
        <w:rPr>
          <w:rFonts w:ascii="Times New Roman" w:hAnsi="Times New Roman" w:cs="Times New Roman"/>
          <w:sz w:val="24"/>
          <w:szCs w:val="24"/>
          <w:lang w:val="en-US"/>
        </w:rPr>
        <w:t>)</w:t>
      </w:r>
    </w:p>
    <w:p w14:paraId="1B5E27D4" w14:textId="0A8364B7" w:rsidR="007F3500" w:rsidRPr="007F3500" w:rsidRDefault="3998842B" w:rsidP="00043CB3">
      <w:pPr>
        <w:numPr>
          <w:ilvl w:val="0"/>
          <w:numId w:val="49"/>
        </w:numPr>
        <w:spacing w:line="360" w:lineRule="auto"/>
        <w:jc w:val="both"/>
        <w:rPr>
          <w:rFonts w:ascii="Times New Roman" w:hAnsi="Times New Roman" w:cs="Times New Roman"/>
          <w:sz w:val="24"/>
          <w:szCs w:val="24"/>
          <w:lang w:val="en-GB"/>
        </w:rPr>
      </w:pPr>
      <w:r w:rsidRPr="3998842B">
        <w:rPr>
          <w:rFonts w:ascii="Times New Roman" w:hAnsi="Times New Roman" w:cs="Times New Roman"/>
          <w:sz w:val="24"/>
          <w:szCs w:val="24"/>
          <w:lang w:val="en-US"/>
        </w:rPr>
        <w:t xml:space="preserve">N. </w:t>
      </w:r>
      <w:proofErr w:type="spellStart"/>
      <w:r w:rsidRPr="3998842B">
        <w:rPr>
          <w:rFonts w:ascii="Times New Roman" w:hAnsi="Times New Roman" w:cs="Times New Roman"/>
          <w:sz w:val="24"/>
          <w:szCs w:val="24"/>
          <w:lang w:val="en-US"/>
        </w:rPr>
        <w:t>Treder</w:t>
      </w:r>
      <w:proofErr w:type="spellEnd"/>
      <w:r w:rsidRPr="3998842B">
        <w:rPr>
          <w:rFonts w:ascii="Times New Roman" w:hAnsi="Times New Roman" w:cs="Times New Roman"/>
          <w:sz w:val="24"/>
          <w:szCs w:val="24"/>
          <w:lang w:val="en-US"/>
        </w:rPr>
        <w:t xml:space="preserve">, O. </w:t>
      </w:r>
      <w:proofErr w:type="spellStart"/>
      <w:r w:rsidRPr="3998842B">
        <w:rPr>
          <w:rFonts w:ascii="Times New Roman" w:hAnsi="Times New Roman" w:cs="Times New Roman"/>
          <w:sz w:val="24"/>
          <w:szCs w:val="24"/>
          <w:lang w:val="en-US"/>
        </w:rPr>
        <w:t>Maliszewska</w:t>
      </w:r>
      <w:proofErr w:type="spellEnd"/>
      <w:r w:rsidRPr="3998842B">
        <w:rPr>
          <w:rFonts w:ascii="Times New Roman" w:hAnsi="Times New Roman" w:cs="Times New Roman"/>
          <w:sz w:val="24"/>
          <w:szCs w:val="24"/>
          <w:lang w:val="en-US"/>
        </w:rPr>
        <w:t xml:space="preserve">, , I. </w:t>
      </w:r>
      <w:proofErr w:type="spellStart"/>
      <w:r w:rsidRPr="3998842B">
        <w:rPr>
          <w:rFonts w:ascii="Times New Roman" w:hAnsi="Times New Roman" w:cs="Times New Roman"/>
          <w:sz w:val="24"/>
          <w:szCs w:val="24"/>
          <w:lang w:val="en-US"/>
        </w:rPr>
        <w:t>Olędzka</w:t>
      </w:r>
      <w:proofErr w:type="spellEnd"/>
      <w:r w:rsidRPr="3998842B">
        <w:rPr>
          <w:rFonts w:ascii="Times New Roman" w:hAnsi="Times New Roman" w:cs="Times New Roman"/>
          <w:sz w:val="24"/>
          <w:szCs w:val="24"/>
          <w:lang w:val="en-US"/>
        </w:rPr>
        <w:t xml:space="preserve">, P. Kowalski, N. </w:t>
      </w:r>
      <w:proofErr w:type="spellStart"/>
      <w:r w:rsidRPr="3998842B">
        <w:rPr>
          <w:rFonts w:ascii="Times New Roman" w:hAnsi="Times New Roman" w:cs="Times New Roman"/>
          <w:sz w:val="24"/>
          <w:szCs w:val="24"/>
          <w:lang w:val="en-US"/>
        </w:rPr>
        <w:t>Miękus</w:t>
      </w:r>
      <w:proofErr w:type="spellEnd"/>
      <w:r w:rsidRPr="3998842B">
        <w:rPr>
          <w:rFonts w:ascii="Times New Roman" w:hAnsi="Times New Roman" w:cs="Times New Roman"/>
          <w:sz w:val="24"/>
          <w:szCs w:val="24"/>
          <w:lang w:val="en-US"/>
        </w:rPr>
        <w:t xml:space="preserve">, T. </w:t>
      </w:r>
      <w:proofErr w:type="spellStart"/>
      <w:r w:rsidRPr="3998842B">
        <w:rPr>
          <w:rFonts w:ascii="Times New Roman" w:hAnsi="Times New Roman" w:cs="Times New Roman"/>
          <w:sz w:val="24"/>
          <w:szCs w:val="24"/>
          <w:lang w:val="en-US"/>
        </w:rPr>
        <w:t>Bączek</w:t>
      </w:r>
      <w:proofErr w:type="spellEnd"/>
      <w:r w:rsidRPr="3998842B">
        <w:rPr>
          <w:rFonts w:ascii="Times New Roman" w:hAnsi="Times New Roman" w:cs="Times New Roman"/>
          <w:sz w:val="24"/>
          <w:szCs w:val="24"/>
          <w:lang w:val="en-US"/>
        </w:rPr>
        <w:t xml:space="preserve">, E. </w:t>
      </w:r>
      <w:proofErr w:type="spellStart"/>
      <w:r w:rsidRPr="3998842B">
        <w:rPr>
          <w:rFonts w:ascii="Times New Roman" w:hAnsi="Times New Roman" w:cs="Times New Roman"/>
          <w:sz w:val="24"/>
          <w:szCs w:val="24"/>
          <w:lang w:val="en-US"/>
        </w:rPr>
        <w:t>Bień</w:t>
      </w:r>
      <w:proofErr w:type="spellEnd"/>
      <w:r w:rsidRPr="3998842B">
        <w:rPr>
          <w:rFonts w:ascii="Times New Roman" w:hAnsi="Times New Roman" w:cs="Times New Roman"/>
          <w:sz w:val="24"/>
          <w:szCs w:val="24"/>
          <w:lang w:val="en-US"/>
        </w:rPr>
        <w:t xml:space="preserve">, M.A. Krawczyk, E. </w:t>
      </w:r>
      <w:proofErr w:type="spellStart"/>
      <w:r w:rsidRPr="3998842B">
        <w:rPr>
          <w:rFonts w:ascii="Times New Roman" w:hAnsi="Times New Roman" w:cs="Times New Roman"/>
          <w:sz w:val="24"/>
          <w:szCs w:val="24"/>
          <w:lang w:val="en-US"/>
        </w:rPr>
        <w:t>Adamkiewicz-Drożyńska</w:t>
      </w:r>
      <w:proofErr w:type="spellEnd"/>
      <w:r w:rsidRPr="3998842B">
        <w:rPr>
          <w:rFonts w:ascii="Times New Roman" w:hAnsi="Times New Roman" w:cs="Times New Roman"/>
          <w:sz w:val="24"/>
          <w:szCs w:val="24"/>
          <w:lang w:val="en-US"/>
        </w:rPr>
        <w:t xml:space="preserve">, A. </w:t>
      </w:r>
      <w:proofErr w:type="spellStart"/>
      <w:r w:rsidRPr="3998842B">
        <w:rPr>
          <w:rFonts w:ascii="Times New Roman" w:hAnsi="Times New Roman" w:cs="Times New Roman"/>
          <w:sz w:val="24"/>
          <w:szCs w:val="24"/>
          <w:lang w:val="en-US"/>
        </w:rPr>
        <w:t>Plenis</w:t>
      </w:r>
      <w:proofErr w:type="spellEnd"/>
      <w:r w:rsidRPr="3998842B">
        <w:rPr>
          <w:rFonts w:ascii="Times New Roman" w:hAnsi="Times New Roman" w:cs="Times New Roman"/>
          <w:b/>
          <w:bCs/>
          <w:sz w:val="24"/>
          <w:szCs w:val="24"/>
          <w:lang w:val="en-US"/>
        </w:rPr>
        <w:t xml:space="preserve">, </w:t>
      </w:r>
      <w:r w:rsidRPr="3998842B">
        <w:rPr>
          <w:rFonts w:ascii="Times New Roman" w:hAnsi="Times New Roman" w:cs="Times New Roman"/>
          <w:sz w:val="24"/>
          <w:szCs w:val="24"/>
          <w:lang w:val="en-US"/>
        </w:rPr>
        <w:t xml:space="preserve">A new method for </w:t>
      </w:r>
      <w:proofErr w:type="spellStart"/>
      <w:r w:rsidRPr="3998842B">
        <w:rPr>
          <w:rFonts w:ascii="Times New Roman" w:hAnsi="Times New Roman" w:cs="Times New Roman"/>
          <w:sz w:val="24"/>
          <w:szCs w:val="24"/>
          <w:lang w:val="en-US"/>
        </w:rPr>
        <w:t>epirubicin</w:t>
      </w:r>
      <w:proofErr w:type="spellEnd"/>
      <w:r w:rsidRPr="3998842B">
        <w:rPr>
          <w:rFonts w:ascii="Times New Roman" w:hAnsi="Times New Roman" w:cs="Times New Roman"/>
          <w:sz w:val="24"/>
          <w:szCs w:val="24"/>
          <w:lang w:val="en-US"/>
        </w:rPr>
        <w:t xml:space="preserve"> analysis using high-performance liquid chromatography with fluorescence detector in human plasma and urine and its application to real samples (poster), CECE 2019 : 16th International Interdisciplinary Meeting on Bioanalysis, </w:t>
      </w:r>
      <w:proofErr w:type="spellStart"/>
      <w:r w:rsidRPr="3998842B">
        <w:rPr>
          <w:rFonts w:ascii="Times New Roman" w:hAnsi="Times New Roman" w:cs="Times New Roman"/>
          <w:sz w:val="24"/>
          <w:szCs w:val="24"/>
          <w:lang w:val="en-US"/>
        </w:rPr>
        <w:t>Gdańsk</w:t>
      </w:r>
      <w:proofErr w:type="spellEnd"/>
      <w:r w:rsidRPr="3998842B">
        <w:rPr>
          <w:rFonts w:ascii="Times New Roman" w:hAnsi="Times New Roman" w:cs="Times New Roman"/>
          <w:sz w:val="24"/>
          <w:szCs w:val="24"/>
          <w:lang w:val="en-US"/>
        </w:rPr>
        <w:t>, Poland, 24-26th September, 2019 , (</w:t>
      </w:r>
      <w:proofErr w:type="spellStart"/>
      <w:r w:rsidRPr="3998842B">
        <w:rPr>
          <w:rFonts w:ascii="Times New Roman" w:hAnsi="Times New Roman" w:cs="Times New Roman"/>
          <w:sz w:val="24"/>
          <w:szCs w:val="24"/>
          <w:lang w:val="en-US"/>
        </w:rPr>
        <w:t>plakat</w:t>
      </w:r>
      <w:proofErr w:type="spellEnd"/>
      <w:r w:rsidRPr="3998842B">
        <w:rPr>
          <w:rFonts w:ascii="Times New Roman" w:hAnsi="Times New Roman" w:cs="Times New Roman"/>
          <w:sz w:val="24"/>
          <w:szCs w:val="24"/>
          <w:lang w:val="en-US"/>
        </w:rPr>
        <w:t>)</w:t>
      </w:r>
    </w:p>
    <w:p w14:paraId="19857E6F" w14:textId="6DBB65DE" w:rsidR="00E72CA9" w:rsidRPr="00043CB3" w:rsidRDefault="3998842B" w:rsidP="00043CB3">
      <w:pPr>
        <w:numPr>
          <w:ilvl w:val="0"/>
          <w:numId w:val="49"/>
        </w:numPr>
        <w:spacing w:line="360" w:lineRule="auto"/>
        <w:jc w:val="both"/>
        <w:rPr>
          <w:rFonts w:ascii="Times New Roman" w:hAnsi="Times New Roman" w:cs="Times New Roman"/>
          <w:sz w:val="24"/>
          <w:szCs w:val="24"/>
          <w:lang w:val="en-GB"/>
        </w:rPr>
      </w:pPr>
      <w:r w:rsidRPr="3998842B">
        <w:rPr>
          <w:rFonts w:ascii="Times New Roman" w:hAnsi="Times New Roman" w:cs="Times New Roman"/>
          <w:sz w:val="24"/>
          <w:szCs w:val="24"/>
          <w:lang w:val="en-US"/>
        </w:rPr>
        <w:t xml:space="preserve">A. </w:t>
      </w:r>
      <w:proofErr w:type="spellStart"/>
      <w:r w:rsidRPr="3998842B">
        <w:rPr>
          <w:rFonts w:ascii="Times New Roman" w:hAnsi="Times New Roman" w:cs="Times New Roman"/>
          <w:sz w:val="24"/>
          <w:szCs w:val="24"/>
          <w:lang w:val="en-US"/>
        </w:rPr>
        <w:t>Plenis</w:t>
      </w:r>
      <w:proofErr w:type="spellEnd"/>
      <w:r w:rsidRPr="3998842B">
        <w:rPr>
          <w:rFonts w:ascii="Times New Roman" w:hAnsi="Times New Roman" w:cs="Times New Roman"/>
          <w:sz w:val="24"/>
          <w:szCs w:val="24"/>
          <w:lang w:val="en-US"/>
        </w:rPr>
        <w:t xml:space="preserve">, N. </w:t>
      </w:r>
      <w:proofErr w:type="spellStart"/>
      <w:r w:rsidRPr="3998842B">
        <w:rPr>
          <w:rFonts w:ascii="Times New Roman" w:hAnsi="Times New Roman" w:cs="Times New Roman"/>
          <w:sz w:val="24"/>
          <w:szCs w:val="24"/>
          <w:lang w:val="en-US"/>
        </w:rPr>
        <w:t>Treder</w:t>
      </w:r>
      <w:proofErr w:type="spellEnd"/>
      <w:r w:rsidRPr="3998842B">
        <w:rPr>
          <w:rFonts w:ascii="Times New Roman" w:hAnsi="Times New Roman" w:cs="Times New Roman"/>
          <w:sz w:val="24"/>
          <w:szCs w:val="24"/>
          <w:lang w:val="en-US"/>
        </w:rPr>
        <w:t xml:space="preserve">, </w:t>
      </w:r>
      <w:r w:rsidRPr="3998842B">
        <w:rPr>
          <w:rFonts w:ascii="Times New Roman" w:hAnsi="Times New Roman" w:cs="Times New Roman"/>
          <w:b/>
          <w:bCs/>
          <w:sz w:val="24"/>
          <w:szCs w:val="24"/>
          <w:lang w:val="en-US"/>
        </w:rPr>
        <w:t xml:space="preserve"> </w:t>
      </w:r>
      <w:r w:rsidRPr="3998842B">
        <w:rPr>
          <w:rFonts w:ascii="Times New Roman" w:hAnsi="Times New Roman" w:cs="Times New Roman"/>
          <w:sz w:val="24"/>
          <w:szCs w:val="24"/>
          <w:lang w:val="en-US"/>
        </w:rPr>
        <w:t xml:space="preserve">O. </w:t>
      </w:r>
      <w:proofErr w:type="spellStart"/>
      <w:r w:rsidRPr="3998842B">
        <w:rPr>
          <w:rFonts w:ascii="Times New Roman" w:hAnsi="Times New Roman" w:cs="Times New Roman"/>
          <w:sz w:val="24"/>
          <w:szCs w:val="24"/>
          <w:lang w:val="en-US"/>
        </w:rPr>
        <w:t>Maliszewska</w:t>
      </w:r>
      <w:proofErr w:type="spellEnd"/>
      <w:r w:rsidRPr="3998842B">
        <w:rPr>
          <w:rFonts w:ascii="Times New Roman" w:hAnsi="Times New Roman" w:cs="Times New Roman"/>
          <w:sz w:val="24"/>
          <w:szCs w:val="24"/>
          <w:lang w:val="en-US"/>
        </w:rPr>
        <w:t xml:space="preserve">, P. Kowalski, I. </w:t>
      </w:r>
      <w:proofErr w:type="spellStart"/>
      <w:r w:rsidRPr="3998842B">
        <w:rPr>
          <w:rFonts w:ascii="Times New Roman" w:hAnsi="Times New Roman" w:cs="Times New Roman"/>
          <w:sz w:val="24"/>
          <w:szCs w:val="24"/>
          <w:lang w:val="en-US"/>
        </w:rPr>
        <w:t>Olędzka</w:t>
      </w:r>
      <w:proofErr w:type="spellEnd"/>
      <w:r w:rsidRPr="3998842B">
        <w:rPr>
          <w:rFonts w:ascii="Times New Roman" w:hAnsi="Times New Roman" w:cs="Times New Roman"/>
          <w:sz w:val="24"/>
          <w:szCs w:val="24"/>
          <w:lang w:val="en-US"/>
        </w:rPr>
        <w:t xml:space="preserve">, N. </w:t>
      </w:r>
      <w:proofErr w:type="spellStart"/>
      <w:r w:rsidRPr="3998842B">
        <w:rPr>
          <w:rFonts w:ascii="Times New Roman" w:hAnsi="Times New Roman" w:cs="Times New Roman"/>
          <w:sz w:val="24"/>
          <w:szCs w:val="24"/>
          <w:lang w:val="en-US"/>
        </w:rPr>
        <w:t>Miękus</w:t>
      </w:r>
      <w:proofErr w:type="spellEnd"/>
      <w:r w:rsidRPr="3998842B">
        <w:rPr>
          <w:rFonts w:ascii="Times New Roman" w:hAnsi="Times New Roman" w:cs="Times New Roman"/>
          <w:sz w:val="24"/>
          <w:szCs w:val="24"/>
          <w:lang w:val="en-US"/>
        </w:rPr>
        <w:t xml:space="preserve">, E. </w:t>
      </w:r>
      <w:proofErr w:type="spellStart"/>
      <w:r w:rsidRPr="3998842B">
        <w:rPr>
          <w:rFonts w:ascii="Times New Roman" w:hAnsi="Times New Roman" w:cs="Times New Roman"/>
          <w:sz w:val="24"/>
          <w:szCs w:val="24"/>
          <w:lang w:val="en-US"/>
        </w:rPr>
        <w:t>Bień</w:t>
      </w:r>
      <w:proofErr w:type="spellEnd"/>
      <w:r w:rsidRPr="3998842B">
        <w:rPr>
          <w:rFonts w:ascii="Times New Roman" w:hAnsi="Times New Roman" w:cs="Times New Roman"/>
          <w:sz w:val="24"/>
          <w:szCs w:val="24"/>
          <w:lang w:val="en-US"/>
        </w:rPr>
        <w:t xml:space="preserve">, M.A. Krawczyk, E. </w:t>
      </w:r>
      <w:proofErr w:type="spellStart"/>
      <w:r w:rsidRPr="3998842B">
        <w:rPr>
          <w:rFonts w:ascii="Times New Roman" w:hAnsi="Times New Roman" w:cs="Times New Roman"/>
          <w:sz w:val="24"/>
          <w:szCs w:val="24"/>
          <w:lang w:val="en-US"/>
        </w:rPr>
        <w:t>Adamkiewicz-Drożyńska</w:t>
      </w:r>
      <w:proofErr w:type="spellEnd"/>
      <w:r w:rsidRPr="3998842B">
        <w:rPr>
          <w:rFonts w:ascii="Times New Roman" w:hAnsi="Times New Roman" w:cs="Times New Roman"/>
          <w:sz w:val="24"/>
          <w:szCs w:val="24"/>
          <w:lang w:val="en-US"/>
        </w:rPr>
        <w:t xml:space="preserve">, T. </w:t>
      </w:r>
      <w:proofErr w:type="spellStart"/>
      <w:r w:rsidRPr="3998842B">
        <w:rPr>
          <w:rFonts w:ascii="Times New Roman" w:hAnsi="Times New Roman" w:cs="Times New Roman"/>
          <w:sz w:val="24"/>
          <w:szCs w:val="24"/>
          <w:lang w:val="en-US"/>
        </w:rPr>
        <w:t>Bączek</w:t>
      </w:r>
      <w:proofErr w:type="spellEnd"/>
      <w:r w:rsidRPr="3998842B">
        <w:rPr>
          <w:rFonts w:ascii="Times New Roman" w:hAnsi="Times New Roman" w:cs="Times New Roman"/>
          <w:b/>
          <w:bCs/>
          <w:sz w:val="24"/>
          <w:szCs w:val="24"/>
          <w:lang w:val="en-GB"/>
        </w:rPr>
        <w:t>;</w:t>
      </w:r>
      <w:r w:rsidRPr="3998842B">
        <w:rPr>
          <w:rFonts w:ascii="Times New Roman" w:hAnsi="Times New Roman" w:cs="Times New Roman"/>
          <w:b/>
          <w:bCs/>
          <w:sz w:val="24"/>
          <w:szCs w:val="24"/>
          <w:lang w:val="en-US"/>
        </w:rPr>
        <w:t xml:space="preserve"> </w:t>
      </w:r>
      <w:r w:rsidRPr="3998842B">
        <w:rPr>
          <w:rFonts w:ascii="Times New Roman" w:hAnsi="Times New Roman" w:cs="Times New Roman"/>
          <w:sz w:val="24"/>
          <w:szCs w:val="24"/>
          <w:lang w:val="en-US"/>
        </w:rPr>
        <w:t xml:space="preserve">Development and validation of LC method for the determination of </w:t>
      </w:r>
      <w:proofErr w:type="spellStart"/>
      <w:r w:rsidRPr="3998842B">
        <w:rPr>
          <w:rFonts w:ascii="Times New Roman" w:hAnsi="Times New Roman" w:cs="Times New Roman"/>
          <w:sz w:val="24"/>
          <w:szCs w:val="24"/>
          <w:lang w:val="en-US"/>
        </w:rPr>
        <w:t>epirubicin</w:t>
      </w:r>
      <w:proofErr w:type="spellEnd"/>
      <w:r w:rsidRPr="3998842B">
        <w:rPr>
          <w:rFonts w:ascii="Times New Roman" w:hAnsi="Times New Roman" w:cs="Times New Roman"/>
          <w:sz w:val="24"/>
          <w:szCs w:val="24"/>
          <w:lang w:val="en-US"/>
        </w:rPr>
        <w:t xml:space="preserve"> in human plasma and urine: application to a drug monitoring (poster),  15th International Interdisciplinary Meeting on Bioanalysis, CECE2018, Brno, Czech Republic, October 15-17.2018, (</w:t>
      </w:r>
      <w:proofErr w:type="spellStart"/>
      <w:r w:rsidRPr="3998842B">
        <w:rPr>
          <w:rFonts w:ascii="Times New Roman" w:hAnsi="Times New Roman" w:cs="Times New Roman"/>
          <w:sz w:val="24"/>
          <w:szCs w:val="24"/>
          <w:lang w:val="en-US"/>
        </w:rPr>
        <w:t>plakat</w:t>
      </w:r>
      <w:proofErr w:type="spellEnd"/>
      <w:r w:rsidRPr="3998842B">
        <w:rPr>
          <w:rFonts w:ascii="Times New Roman" w:hAnsi="Times New Roman" w:cs="Times New Roman"/>
          <w:sz w:val="24"/>
          <w:szCs w:val="24"/>
          <w:lang w:val="en-US"/>
        </w:rPr>
        <w:t>)</w:t>
      </w:r>
    </w:p>
    <w:p w14:paraId="6845D2B4" w14:textId="493FE7FD" w:rsidR="00151ABC" w:rsidRPr="00151ABC" w:rsidRDefault="3998842B" w:rsidP="00043CB3">
      <w:pPr>
        <w:numPr>
          <w:ilvl w:val="0"/>
          <w:numId w:val="49"/>
        </w:numPr>
        <w:spacing w:line="360" w:lineRule="auto"/>
        <w:jc w:val="both"/>
        <w:rPr>
          <w:rFonts w:ascii="Times New Roman" w:hAnsi="Times New Roman" w:cs="Times New Roman"/>
          <w:sz w:val="24"/>
          <w:szCs w:val="24"/>
        </w:rPr>
      </w:pPr>
      <w:r w:rsidRPr="3998842B">
        <w:rPr>
          <w:rFonts w:ascii="Times New Roman" w:hAnsi="Times New Roman" w:cs="Times New Roman"/>
          <w:sz w:val="24"/>
          <w:szCs w:val="24"/>
        </w:rPr>
        <w:t xml:space="preserve">N. Treder, A. </w:t>
      </w:r>
      <w:proofErr w:type="spellStart"/>
      <w:r w:rsidRPr="3998842B">
        <w:rPr>
          <w:rFonts w:ascii="Times New Roman" w:hAnsi="Times New Roman" w:cs="Times New Roman"/>
          <w:sz w:val="24"/>
          <w:szCs w:val="24"/>
        </w:rPr>
        <w:t>Plenis</w:t>
      </w:r>
      <w:proofErr w:type="spellEnd"/>
      <w:r w:rsidRPr="3998842B">
        <w:rPr>
          <w:rFonts w:ascii="Times New Roman" w:hAnsi="Times New Roman" w:cs="Times New Roman"/>
          <w:sz w:val="24"/>
          <w:szCs w:val="24"/>
        </w:rPr>
        <w:t>, O. Maliszewska, P. Kowalski, I. Olędzka, N. Miękus, E. Bień, M.A. Krawczyk, E. Adamkiewicz-Drożyńska, T. Bączek</w:t>
      </w:r>
      <w:r w:rsidRPr="3998842B">
        <w:rPr>
          <w:rFonts w:ascii="Times New Roman" w:hAnsi="Times New Roman" w:cs="Times New Roman"/>
          <w:b/>
          <w:bCs/>
          <w:sz w:val="24"/>
          <w:szCs w:val="24"/>
        </w:rPr>
        <w:t xml:space="preserve">; </w:t>
      </w:r>
      <w:r w:rsidRPr="3998842B">
        <w:rPr>
          <w:rFonts w:ascii="Times New Roman" w:hAnsi="Times New Roman" w:cs="Times New Roman"/>
          <w:sz w:val="24"/>
          <w:szCs w:val="24"/>
        </w:rPr>
        <w:t xml:space="preserve">Monitorowanie poziomu </w:t>
      </w:r>
      <w:proofErr w:type="spellStart"/>
      <w:r w:rsidRPr="3998842B">
        <w:rPr>
          <w:rFonts w:ascii="Times New Roman" w:hAnsi="Times New Roman" w:cs="Times New Roman"/>
          <w:sz w:val="24"/>
          <w:szCs w:val="24"/>
        </w:rPr>
        <w:t>epirubicyny</w:t>
      </w:r>
      <w:proofErr w:type="spellEnd"/>
      <w:r w:rsidRPr="3998842B">
        <w:rPr>
          <w:rFonts w:ascii="Times New Roman" w:hAnsi="Times New Roman" w:cs="Times New Roman"/>
          <w:sz w:val="24"/>
          <w:szCs w:val="24"/>
        </w:rPr>
        <w:t xml:space="preserve"> w wybranych płynach ustrojowych techniką LC-FL (poster), XXV Konferencja Naukowa Wydziału Farmaceutycznego z OML Gdańskiego Uniwersytetu Medycznego, Gdańsk, 07-08.12.2018, (plakat)</w:t>
      </w:r>
    </w:p>
    <w:p w14:paraId="59B13AC0" w14:textId="33B3B5F2" w:rsidR="00151ABC" w:rsidRPr="00151ABC" w:rsidRDefault="3998842B" w:rsidP="00043CB3">
      <w:pPr>
        <w:numPr>
          <w:ilvl w:val="0"/>
          <w:numId w:val="49"/>
        </w:numPr>
        <w:spacing w:line="360" w:lineRule="auto"/>
        <w:jc w:val="both"/>
        <w:rPr>
          <w:rFonts w:ascii="Times New Roman" w:hAnsi="Times New Roman" w:cs="Times New Roman"/>
          <w:sz w:val="24"/>
          <w:szCs w:val="24"/>
          <w:lang w:val="en-GB"/>
        </w:rPr>
      </w:pPr>
      <w:r w:rsidRPr="3998842B">
        <w:rPr>
          <w:rFonts w:ascii="Times New Roman" w:hAnsi="Times New Roman" w:cs="Times New Roman"/>
          <w:sz w:val="24"/>
          <w:szCs w:val="24"/>
          <w:lang w:val="en-GB"/>
        </w:rPr>
        <w:lastRenderedPageBreak/>
        <w:t xml:space="preserve">O. </w:t>
      </w:r>
      <w:proofErr w:type="spellStart"/>
      <w:r w:rsidRPr="3998842B">
        <w:rPr>
          <w:rFonts w:ascii="Times New Roman" w:hAnsi="Times New Roman" w:cs="Times New Roman"/>
          <w:sz w:val="24"/>
          <w:szCs w:val="24"/>
          <w:lang w:val="en-GB"/>
        </w:rPr>
        <w:t>Maliszewska</w:t>
      </w:r>
      <w:proofErr w:type="spellEnd"/>
      <w:r w:rsidRPr="3998842B">
        <w:rPr>
          <w:rFonts w:ascii="Times New Roman" w:hAnsi="Times New Roman" w:cs="Times New Roman"/>
          <w:sz w:val="24"/>
          <w:szCs w:val="24"/>
          <w:lang w:val="en-GB"/>
        </w:rPr>
        <w:t xml:space="preserve">, W. </w:t>
      </w:r>
      <w:proofErr w:type="spellStart"/>
      <w:r w:rsidRPr="3998842B">
        <w:rPr>
          <w:rFonts w:ascii="Times New Roman" w:hAnsi="Times New Roman" w:cs="Times New Roman"/>
          <w:sz w:val="24"/>
          <w:szCs w:val="24"/>
          <w:lang w:val="en-GB"/>
        </w:rPr>
        <w:t>Rodzaj</w:t>
      </w:r>
      <w:proofErr w:type="spellEnd"/>
      <w:r w:rsidRPr="3998842B">
        <w:rPr>
          <w:rFonts w:ascii="Times New Roman" w:hAnsi="Times New Roman" w:cs="Times New Roman"/>
          <w:sz w:val="24"/>
          <w:szCs w:val="24"/>
          <w:lang w:val="en-GB"/>
        </w:rPr>
        <w:t xml:space="preserve">, A. </w:t>
      </w:r>
      <w:proofErr w:type="spellStart"/>
      <w:r w:rsidRPr="3998842B">
        <w:rPr>
          <w:rFonts w:ascii="Times New Roman" w:hAnsi="Times New Roman" w:cs="Times New Roman"/>
          <w:sz w:val="24"/>
          <w:szCs w:val="24"/>
          <w:lang w:val="en-GB"/>
        </w:rPr>
        <w:t>Plenis</w:t>
      </w:r>
      <w:proofErr w:type="spellEnd"/>
      <w:r w:rsidRPr="3998842B">
        <w:rPr>
          <w:rFonts w:ascii="Times New Roman" w:hAnsi="Times New Roman" w:cs="Times New Roman"/>
          <w:sz w:val="24"/>
          <w:szCs w:val="24"/>
          <w:lang w:val="en-GB"/>
        </w:rPr>
        <w:t xml:space="preserve">, I. </w:t>
      </w:r>
      <w:proofErr w:type="spellStart"/>
      <w:r w:rsidRPr="3998842B">
        <w:rPr>
          <w:rFonts w:ascii="Times New Roman" w:hAnsi="Times New Roman" w:cs="Times New Roman"/>
          <w:sz w:val="24"/>
          <w:szCs w:val="24"/>
          <w:lang w:val="en-US"/>
        </w:rPr>
        <w:t>Olędzka</w:t>
      </w:r>
      <w:proofErr w:type="spellEnd"/>
      <w:r w:rsidRPr="3998842B">
        <w:rPr>
          <w:rFonts w:ascii="Times New Roman" w:hAnsi="Times New Roman" w:cs="Times New Roman"/>
          <w:sz w:val="24"/>
          <w:szCs w:val="24"/>
          <w:lang w:val="en-US"/>
        </w:rPr>
        <w:t xml:space="preserve">, P. Kowalski, N. </w:t>
      </w:r>
      <w:proofErr w:type="spellStart"/>
      <w:r w:rsidRPr="3998842B">
        <w:rPr>
          <w:rFonts w:ascii="Times New Roman" w:hAnsi="Times New Roman" w:cs="Times New Roman"/>
          <w:sz w:val="24"/>
          <w:szCs w:val="24"/>
          <w:lang w:val="en-US"/>
        </w:rPr>
        <w:t>Kossakowska</w:t>
      </w:r>
      <w:proofErr w:type="spellEnd"/>
      <w:r w:rsidRPr="3998842B">
        <w:rPr>
          <w:rFonts w:ascii="Times New Roman" w:hAnsi="Times New Roman" w:cs="Times New Roman"/>
          <w:sz w:val="24"/>
          <w:szCs w:val="24"/>
          <w:lang w:val="en-US"/>
        </w:rPr>
        <w:t xml:space="preserve">, N. </w:t>
      </w:r>
      <w:proofErr w:type="spellStart"/>
      <w:r w:rsidRPr="3998842B">
        <w:rPr>
          <w:rFonts w:ascii="Times New Roman" w:hAnsi="Times New Roman" w:cs="Times New Roman"/>
          <w:sz w:val="24"/>
          <w:szCs w:val="24"/>
          <w:lang w:val="en-US"/>
        </w:rPr>
        <w:t>Miękus</w:t>
      </w:r>
      <w:proofErr w:type="spellEnd"/>
      <w:r w:rsidRPr="3998842B">
        <w:rPr>
          <w:rFonts w:ascii="Times New Roman" w:hAnsi="Times New Roman" w:cs="Times New Roman"/>
          <w:sz w:val="24"/>
          <w:szCs w:val="24"/>
          <w:lang w:val="en-US"/>
        </w:rPr>
        <w:t xml:space="preserve">, T. </w:t>
      </w:r>
      <w:proofErr w:type="spellStart"/>
      <w:r w:rsidRPr="3998842B">
        <w:rPr>
          <w:rFonts w:ascii="Times New Roman" w:hAnsi="Times New Roman" w:cs="Times New Roman"/>
          <w:sz w:val="24"/>
          <w:szCs w:val="24"/>
          <w:lang w:val="en-US"/>
        </w:rPr>
        <w:t>Bączek</w:t>
      </w:r>
      <w:proofErr w:type="spellEnd"/>
      <w:r w:rsidRPr="3998842B">
        <w:rPr>
          <w:rFonts w:ascii="Times New Roman" w:hAnsi="Times New Roman" w:cs="Times New Roman"/>
          <w:sz w:val="24"/>
          <w:szCs w:val="24"/>
          <w:lang w:val="en-GB"/>
        </w:rPr>
        <w:t>;</w:t>
      </w:r>
      <w:r w:rsidRPr="3998842B">
        <w:rPr>
          <w:rFonts w:ascii="Times New Roman" w:hAnsi="Times New Roman" w:cs="Times New Roman"/>
          <w:sz w:val="24"/>
          <w:szCs w:val="24"/>
          <w:lang w:val="en-US"/>
        </w:rPr>
        <w:t xml:space="preserve"> Quantification of idarubicin in human plasma and urine by LC-FL method (poster) ITP 2017: 24th International Symposium on Electro- and Liquid Phase-Separation Techniques; </w:t>
      </w:r>
      <w:proofErr w:type="spellStart"/>
      <w:r w:rsidRPr="3998842B">
        <w:rPr>
          <w:rFonts w:ascii="Times New Roman" w:hAnsi="Times New Roman" w:cs="Times New Roman"/>
          <w:sz w:val="24"/>
          <w:szCs w:val="24"/>
          <w:lang w:val="en-US"/>
        </w:rPr>
        <w:t>PKChrom</w:t>
      </w:r>
      <w:proofErr w:type="spellEnd"/>
      <w:r w:rsidRPr="3998842B">
        <w:rPr>
          <w:rFonts w:ascii="Times New Roman" w:hAnsi="Times New Roman" w:cs="Times New Roman"/>
          <w:sz w:val="24"/>
          <w:szCs w:val="24"/>
          <w:lang w:val="en-GB"/>
        </w:rPr>
        <w:t xml:space="preserve"> 2017: XI Polska</w:t>
      </w:r>
      <w:r w:rsidRPr="3998842B">
        <w:rPr>
          <w:rFonts w:ascii="Times New Roman" w:hAnsi="Times New Roman" w:cs="Times New Roman"/>
          <w:sz w:val="24"/>
          <w:szCs w:val="24"/>
          <w:lang w:val="en-US"/>
        </w:rPr>
        <w:t xml:space="preserve"> </w:t>
      </w:r>
      <w:proofErr w:type="spellStart"/>
      <w:r w:rsidRPr="3998842B">
        <w:rPr>
          <w:rFonts w:ascii="Times New Roman" w:hAnsi="Times New Roman" w:cs="Times New Roman"/>
          <w:sz w:val="24"/>
          <w:szCs w:val="24"/>
          <w:lang w:val="en-GB"/>
        </w:rPr>
        <w:t>Konferencja</w:t>
      </w:r>
      <w:proofErr w:type="spellEnd"/>
      <w:r w:rsidRPr="3998842B">
        <w:rPr>
          <w:rFonts w:ascii="Times New Roman" w:hAnsi="Times New Roman" w:cs="Times New Roman"/>
          <w:sz w:val="24"/>
          <w:szCs w:val="24"/>
          <w:lang w:val="en-US"/>
        </w:rPr>
        <w:t xml:space="preserve"> </w:t>
      </w:r>
      <w:proofErr w:type="spellStart"/>
      <w:r w:rsidRPr="3998842B">
        <w:rPr>
          <w:rFonts w:ascii="Times New Roman" w:hAnsi="Times New Roman" w:cs="Times New Roman"/>
          <w:sz w:val="24"/>
          <w:szCs w:val="24"/>
          <w:lang w:val="en-GB"/>
        </w:rPr>
        <w:t>Chromatograficzna</w:t>
      </w:r>
      <w:proofErr w:type="spellEnd"/>
      <w:r w:rsidRPr="3998842B">
        <w:rPr>
          <w:rFonts w:ascii="Times New Roman" w:hAnsi="Times New Roman" w:cs="Times New Roman"/>
          <w:sz w:val="24"/>
          <w:szCs w:val="24"/>
          <w:lang w:val="en-US"/>
        </w:rPr>
        <w:t xml:space="preserve"> : "Chromatography in pharmacy and bioanalysis", Sopot/</w:t>
      </w:r>
      <w:proofErr w:type="spellStart"/>
      <w:r w:rsidRPr="3998842B">
        <w:rPr>
          <w:rFonts w:ascii="Times New Roman" w:hAnsi="Times New Roman" w:cs="Times New Roman"/>
          <w:sz w:val="24"/>
          <w:szCs w:val="24"/>
          <w:lang w:val="en-US"/>
        </w:rPr>
        <w:t>Gdańsk</w:t>
      </w:r>
      <w:proofErr w:type="spellEnd"/>
      <w:r w:rsidRPr="3998842B">
        <w:rPr>
          <w:rFonts w:ascii="Times New Roman" w:hAnsi="Times New Roman" w:cs="Times New Roman"/>
          <w:sz w:val="24"/>
          <w:szCs w:val="24"/>
          <w:lang w:val="en-US"/>
        </w:rPr>
        <w:t>, Poland, 10-13 September 2017</w:t>
      </w:r>
      <w:r w:rsidRPr="3998842B">
        <w:rPr>
          <w:rFonts w:ascii="Times New Roman" w:hAnsi="Times New Roman" w:cs="Times New Roman"/>
          <w:sz w:val="24"/>
          <w:szCs w:val="24"/>
          <w:lang w:val="en-GB"/>
        </w:rPr>
        <w:t xml:space="preserve"> (</w:t>
      </w:r>
      <w:proofErr w:type="spellStart"/>
      <w:r w:rsidRPr="3998842B">
        <w:rPr>
          <w:rFonts w:ascii="Times New Roman" w:hAnsi="Times New Roman" w:cs="Times New Roman"/>
          <w:sz w:val="24"/>
          <w:szCs w:val="24"/>
          <w:lang w:val="en-GB"/>
        </w:rPr>
        <w:t>plakat</w:t>
      </w:r>
      <w:proofErr w:type="spellEnd"/>
      <w:r w:rsidRPr="3998842B">
        <w:rPr>
          <w:rFonts w:ascii="Times New Roman" w:hAnsi="Times New Roman" w:cs="Times New Roman"/>
          <w:sz w:val="24"/>
          <w:szCs w:val="24"/>
          <w:lang w:val="en-GB"/>
        </w:rPr>
        <w:t>)</w:t>
      </w:r>
    </w:p>
    <w:p w14:paraId="7F27BF26" w14:textId="1057C103" w:rsidR="00151ABC" w:rsidRPr="00151ABC" w:rsidRDefault="3998842B" w:rsidP="00043CB3">
      <w:pPr>
        <w:numPr>
          <w:ilvl w:val="0"/>
          <w:numId w:val="49"/>
        </w:numPr>
        <w:spacing w:line="360" w:lineRule="auto"/>
        <w:jc w:val="both"/>
        <w:rPr>
          <w:rFonts w:ascii="Times New Roman" w:hAnsi="Times New Roman" w:cs="Times New Roman"/>
          <w:sz w:val="24"/>
          <w:szCs w:val="24"/>
          <w:lang w:val="en-GB"/>
        </w:rPr>
      </w:pPr>
      <w:r w:rsidRPr="3998842B">
        <w:rPr>
          <w:rFonts w:ascii="Times New Roman" w:hAnsi="Times New Roman" w:cs="Times New Roman"/>
          <w:sz w:val="24"/>
          <w:szCs w:val="24"/>
          <w:lang w:val="en-US"/>
        </w:rPr>
        <w:t xml:space="preserve">A. </w:t>
      </w:r>
      <w:proofErr w:type="spellStart"/>
      <w:r w:rsidRPr="3998842B">
        <w:rPr>
          <w:rFonts w:ascii="Times New Roman" w:hAnsi="Times New Roman" w:cs="Times New Roman"/>
          <w:sz w:val="24"/>
          <w:szCs w:val="24"/>
          <w:lang w:val="en-US"/>
        </w:rPr>
        <w:t>Plenis</w:t>
      </w:r>
      <w:proofErr w:type="spellEnd"/>
      <w:r w:rsidRPr="3998842B">
        <w:rPr>
          <w:rFonts w:ascii="Times New Roman" w:hAnsi="Times New Roman" w:cs="Times New Roman"/>
          <w:sz w:val="24"/>
          <w:szCs w:val="24"/>
          <w:lang w:val="en-US"/>
        </w:rPr>
        <w:t xml:space="preserve">, O. </w:t>
      </w:r>
      <w:proofErr w:type="spellStart"/>
      <w:r w:rsidRPr="3998842B">
        <w:rPr>
          <w:rFonts w:ascii="Times New Roman" w:hAnsi="Times New Roman" w:cs="Times New Roman"/>
          <w:sz w:val="24"/>
          <w:szCs w:val="24"/>
          <w:lang w:val="en-US"/>
        </w:rPr>
        <w:t>Maliszewska</w:t>
      </w:r>
      <w:proofErr w:type="spellEnd"/>
      <w:r w:rsidRPr="3998842B">
        <w:rPr>
          <w:rFonts w:ascii="Times New Roman" w:hAnsi="Times New Roman" w:cs="Times New Roman"/>
          <w:sz w:val="24"/>
          <w:szCs w:val="24"/>
          <w:lang w:val="en-US"/>
        </w:rPr>
        <w:t xml:space="preserve">, </w:t>
      </w:r>
      <w:proofErr w:type="spellStart"/>
      <w:r w:rsidRPr="3998842B">
        <w:rPr>
          <w:rFonts w:ascii="Times New Roman" w:hAnsi="Times New Roman" w:cs="Times New Roman"/>
          <w:sz w:val="24"/>
          <w:szCs w:val="24"/>
          <w:lang w:val="en-US"/>
        </w:rPr>
        <w:t>I.Olędzka</w:t>
      </w:r>
      <w:proofErr w:type="spellEnd"/>
      <w:r w:rsidRPr="3998842B">
        <w:rPr>
          <w:rFonts w:ascii="Times New Roman" w:hAnsi="Times New Roman" w:cs="Times New Roman"/>
          <w:sz w:val="24"/>
          <w:szCs w:val="24"/>
          <w:lang w:val="en-US"/>
        </w:rPr>
        <w:t xml:space="preserve">, P. Kowalski, N. </w:t>
      </w:r>
      <w:proofErr w:type="spellStart"/>
      <w:r w:rsidRPr="3998842B">
        <w:rPr>
          <w:rFonts w:ascii="Times New Roman" w:hAnsi="Times New Roman" w:cs="Times New Roman"/>
          <w:sz w:val="24"/>
          <w:szCs w:val="24"/>
          <w:lang w:val="en-US"/>
        </w:rPr>
        <w:t>Miękus</w:t>
      </w:r>
      <w:proofErr w:type="spellEnd"/>
      <w:r w:rsidRPr="3998842B">
        <w:rPr>
          <w:rFonts w:ascii="Times New Roman" w:hAnsi="Times New Roman" w:cs="Times New Roman"/>
          <w:sz w:val="24"/>
          <w:szCs w:val="24"/>
          <w:lang w:val="en-US"/>
        </w:rPr>
        <w:t xml:space="preserve">, E. </w:t>
      </w:r>
      <w:proofErr w:type="spellStart"/>
      <w:r w:rsidRPr="3998842B">
        <w:rPr>
          <w:rFonts w:ascii="Times New Roman" w:hAnsi="Times New Roman" w:cs="Times New Roman"/>
          <w:sz w:val="24"/>
          <w:szCs w:val="24"/>
          <w:lang w:val="en-US"/>
        </w:rPr>
        <w:t>Bień</w:t>
      </w:r>
      <w:proofErr w:type="spellEnd"/>
      <w:r w:rsidRPr="3998842B">
        <w:rPr>
          <w:rFonts w:ascii="Times New Roman" w:hAnsi="Times New Roman" w:cs="Times New Roman"/>
          <w:sz w:val="24"/>
          <w:szCs w:val="24"/>
          <w:lang w:val="en-US"/>
        </w:rPr>
        <w:t xml:space="preserve">, M.A. Krawczyk, E. </w:t>
      </w:r>
      <w:proofErr w:type="spellStart"/>
      <w:r w:rsidRPr="3998842B">
        <w:rPr>
          <w:rFonts w:ascii="Times New Roman" w:hAnsi="Times New Roman" w:cs="Times New Roman"/>
          <w:sz w:val="24"/>
          <w:szCs w:val="24"/>
          <w:lang w:val="en-US"/>
        </w:rPr>
        <w:t>Adamkiewicz-Drożyńska</w:t>
      </w:r>
      <w:proofErr w:type="spellEnd"/>
      <w:r w:rsidRPr="3998842B">
        <w:rPr>
          <w:rFonts w:ascii="Times New Roman" w:hAnsi="Times New Roman" w:cs="Times New Roman"/>
          <w:sz w:val="24"/>
          <w:szCs w:val="24"/>
          <w:lang w:val="en-US"/>
        </w:rPr>
        <w:t xml:space="preserve">, T. </w:t>
      </w:r>
      <w:proofErr w:type="spellStart"/>
      <w:r w:rsidRPr="3998842B">
        <w:rPr>
          <w:rFonts w:ascii="Times New Roman" w:hAnsi="Times New Roman" w:cs="Times New Roman"/>
          <w:sz w:val="24"/>
          <w:szCs w:val="24"/>
          <w:lang w:val="en-US"/>
        </w:rPr>
        <w:t>Bączek</w:t>
      </w:r>
      <w:proofErr w:type="spellEnd"/>
      <w:r w:rsidRPr="3998842B">
        <w:rPr>
          <w:rFonts w:ascii="Times New Roman" w:hAnsi="Times New Roman" w:cs="Times New Roman"/>
          <w:sz w:val="24"/>
          <w:szCs w:val="24"/>
          <w:lang w:val="en-GB"/>
        </w:rPr>
        <w:t>;</w:t>
      </w:r>
      <w:r w:rsidRPr="3998842B">
        <w:rPr>
          <w:rFonts w:ascii="Times New Roman" w:hAnsi="Times New Roman" w:cs="Times New Roman"/>
          <w:sz w:val="24"/>
          <w:szCs w:val="24"/>
          <w:lang w:val="en-US"/>
        </w:rPr>
        <w:t xml:space="preserve"> Development and validation of LC assays for the quantification of doxorubicin in human plasma and urine : application to a drug monitoring (poster) ITP 2017 : 24th International Symposium on Electro- and Liquid Phase-Separation Techniques ; </w:t>
      </w:r>
      <w:proofErr w:type="spellStart"/>
      <w:r w:rsidRPr="3998842B">
        <w:rPr>
          <w:rFonts w:ascii="Times New Roman" w:hAnsi="Times New Roman" w:cs="Times New Roman"/>
          <w:sz w:val="24"/>
          <w:szCs w:val="24"/>
          <w:lang w:val="en-US"/>
        </w:rPr>
        <w:t>PKChrom</w:t>
      </w:r>
      <w:proofErr w:type="spellEnd"/>
      <w:r w:rsidRPr="3998842B">
        <w:rPr>
          <w:rFonts w:ascii="Times New Roman" w:hAnsi="Times New Roman" w:cs="Times New Roman"/>
          <w:sz w:val="24"/>
          <w:szCs w:val="24"/>
          <w:lang w:val="en-US"/>
        </w:rPr>
        <w:t xml:space="preserve"> 2017 : XI Polska </w:t>
      </w:r>
      <w:proofErr w:type="spellStart"/>
      <w:r w:rsidRPr="3998842B">
        <w:rPr>
          <w:rFonts w:ascii="Times New Roman" w:hAnsi="Times New Roman" w:cs="Times New Roman"/>
          <w:sz w:val="24"/>
          <w:szCs w:val="24"/>
          <w:lang w:val="en-US"/>
        </w:rPr>
        <w:t>Konferencja</w:t>
      </w:r>
      <w:proofErr w:type="spellEnd"/>
      <w:r w:rsidRPr="3998842B">
        <w:rPr>
          <w:rFonts w:ascii="Times New Roman" w:hAnsi="Times New Roman" w:cs="Times New Roman"/>
          <w:sz w:val="24"/>
          <w:szCs w:val="24"/>
          <w:lang w:val="en-US"/>
        </w:rPr>
        <w:t xml:space="preserve"> </w:t>
      </w:r>
      <w:proofErr w:type="spellStart"/>
      <w:r w:rsidRPr="3998842B">
        <w:rPr>
          <w:rFonts w:ascii="Times New Roman" w:hAnsi="Times New Roman" w:cs="Times New Roman"/>
          <w:sz w:val="24"/>
          <w:szCs w:val="24"/>
          <w:lang w:val="en-US"/>
        </w:rPr>
        <w:t>Chromatograficzna</w:t>
      </w:r>
      <w:proofErr w:type="spellEnd"/>
      <w:r w:rsidRPr="3998842B">
        <w:rPr>
          <w:rFonts w:ascii="Times New Roman" w:hAnsi="Times New Roman" w:cs="Times New Roman"/>
          <w:sz w:val="24"/>
          <w:szCs w:val="24"/>
          <w:lang w:val="en-US"/>
        </w:rPr>
        <w:t xml:space="preserve"> :"Chromatography in pharmacy and bioanalysis", Sopot/</w:t>
      </w:r>
      <w:proofErr w:type="spellStart"/>
      <w:r w:rsidRPr="3998842B">
        <w:rPr>
          <w:rFonts w:ascii="Times New Roman" w:hAnsi="Times New Roman" w:cs="Times New Roman"/>
          <w:sz w:val="24"/>
          <w:szCs w:val="24"/>
          <w:lang w:val="en-US"/>
        </w:rPr>
        <w:t>Gdańsk</w:t>
      </w:r>
      <w:proofErr w:type="spellEnd"/>
      <w:r w:rsidRPr="3998842B">
        <w:rPr>
          <w:rFonts w:ascii="Times New Roman" w:hAnsi="Times New Roman" w:cs="Times New Roman"/>
          <w:sz w:val="24"/>
          <w:szCs w:val="24"/>
          <w:lang w:val="en-US"/>
        </w:rPr>
        <w:t>, Poland, 10-13 September 2017</w:t>
      </w:r>
      <w:r w:rsidRPr="3998842B">
        <w:rPr>
          <w:rFonts w:ascii="Times New Roman" w:hAnsi="Times New Roman" w:cs="Times New Roman"/>
          <w:sz w:val="24"/>
          <w:szCs w:val="24"/>
          <w:lang w:val="en-GB"/>
        </w:rPr>
        <w:t xml:space="preserve">  (</w:t>
      </w:r>
      <w:proofErr w:type="spellStart"/>
      <w:r w:rsidRPr="3998842B">
        <w:rPr>
          <w:rFonts w:ascii="Times New Roman" w:hAnsi="Times New Roman" w:cs="Times New Roman"/>
          <w:sz w:val="24"/>
          <w:szCs w:val="24"/>
          <w:lang w:val="en-GB"/>
        </w:rPr>
        <w:t>plakat</w:t>
      </w:r>
      <w:proofErr w:type="spellEnd"/>
      <w:r w:rsidRPr="3998842B">
        <w:rPr>
          <w:rFonts w:ascii="Times New Roman" w:hAnsi="Times New Roman" w:cs="Times New Roman"/>
          <w:sz w:val="24"/>
          <w:szCs w:val="24"/>
          <w:lang w:val="en-GB"/>
        </w:rPr>
        <w:t>)</w:t>
      </w:r>
    </w:p>
    <w:p w14:paraId="32DD081F" w14:textId="11943721" w:rsidR="00151ABC" w:rsidRPr="00151ABC" w:rsidRDefault="3998842B" w:rsidP="00043CB3">
      <w:pPr>
        <w:numPr>
          <w:ilvl w:val="0"/>
          <w:numId w:val="49"/>
        </w:numPr>
        <w:spacing w:line="360" w:lineRule="auto"/>
        <w:jc w:val="both"/>
        <w:rPr>
          <w:rFonts w:ascii="Times New Roman" w:hAnsi="Times New Roman" w:cs="Times New Roman"/>
          <w:sz w:val="24"/>
          <w:szCs w:val="24"/>
          <w:lang w:val="en-GB"/>
        </w:rPr>
      </w:pPr>
      <w:r w:rsidRPr="3998842B">
        <w:rPr>
          <w:rFonts w:ascii="Times New Roman" w:hAnsi="Times New Roman" w:cs="Times New Roman"/>
          <w:sz w:val="24"/>
          <w:szCs w:val="24"/>
          <w:lang w:val="en-US"/>
        </w:rPr>
        <w:t xml:space="preserve">O. </w:t>
      </w:r>
      <w:proofErr w:type="spellStart"/>
      <w:r w:rsidRPr="3998842B">
        <w:rPr>
          <w:rFonts w:ascii="Times New Roman" w:hAnsi="Times New Roman" w:cs="Times New Roman"/>
          <w:sz w:val="24"/>
          <w:szCs w:val="24"/>
          <w:lang w:val="en-US"/>
        </w:rPr>
        <w:t>Rudzińska</w:t>
      </w:r>
      <w:proofErr w:type="spellEnd"/>
      <w:r w:rsidRPr="3998842B">
        <w:rPr>
          <w:rFonts w:ascii="Times New Roman" w:hAnsi="Times New Roman" w:cs="Times New Roman"/>
          <w:sz w:val="24"/>
          <w:szCs w:val="24"/>
          <w:lang w:val="en-GB"/>
        </w:rPr>
        <w:t xml:space="preserve"> (</w:t>
      </w:r>
      <w:proofErr w:type="spellStart"/>
      <w:r w:rsidRPr="3998842B">
        <w:rPr>
          <w:rFonts w:ascii="Times New Roman" w:hAnsi="Times New Roman" w:cs="Times New Roman"/>
          <w:sz w:val="24"/>
          <w:szCs w:val="24"/>
          <w:lang w:val="en-GB"/>
        </w:rPr>
        <w:t>Maliszewska</w:t>
      </w:r>
      <w:proofErr w:type="spellEnd"/>
      <w:r w:rsidRPr="3998842B">
        <w:rPr>
          <w:rFonts w:ascii="Times New Roman" w:hAnsi="Times New Roman" w:cs="Times New Roman"/>
          <w:sz w:val="24"/>
          <w:szCs w:val="24"/>
          <w:lang w:val="en-GB"/>
        </w:rPr>
        <w:t>)</w:t>
      </w:r>
      <w:r w:rsidRPr="3998842B">
        <w:rPr>
          <w:rFonts w:ascii="Times New Roman" w:hAnsi="Times New Roman" w:cs="Times New Roman"/>
          <w:sz w:val="24"/>
          <w:szCs w:val="24"/>
          <w:lang w:val="en-US"/>
        </w:rPr>
        <w:t xml:space="preserve">, A. </w:t>
      </w:r>
      <w:proofErr w:type="spellStart"/>
      <w:r w:rsidRPr="3998842B">
        <w:rPr>
          <w:rFonts w:ascii="Times New Roman" w:hAnsi="Times New Roman" w:cs="Times New Roman"/>
          <w:sz w:val="24"/>
          <w:szCs w:val="24"/>
          <w:lang w:val="en-US"/>
        </w:rPr>
        <w:t>Plenis</w:t>
      </w:r>
      <w:proofErr w:type="spellEnd"/>
      <w:r w:rsidRPr="3998842B">
        <w:rPr>
          <w:rFonts w:ascii="Times New Roman" w:hAnsi="Times New Roman" w:cs="Times New Roman"/>
          <w:sz w:val="24"/>
          <w:szCs w:val="24"/>
          <w:lang w:val="en-US"/>
        </w:rPr>
        <w:t xml:space="preserve">, I. </w:t>
      </w:r>
      <w:proofErr w:type="spellStart"/>
      <w:r w:rsidRPr="3998842B">
        <w:rPr>
          <w:rFonts w:ascii="Times New Roman" w:hAnsi="Times New Roman" w:cs="Times New Roman"/>
          <w:sz w:val="24"/>
          <w:szCs w:val="24"/>
          <w:lang w:val="en-US"/>
        </w:rPr>
        <w:t>Olędzka</w:t>
      </w:r>
      <w:proofErr w:type="spellEnd"/>
      <w:r w:rsidRPr="3998842B">
        <w:rPr>
          <w:rFonts w:ascii="Times New Roman" w:hAnsi="Times New Roman" w:cs="Times New Roman"/>
          <w:sz w:val="24"/>
          <w:szCs w:val="24"/>
          <w:lang w:val="en-US"/>
        </w:rPr>
        <w:t xml:space="preserve">, P. Kowalski, N. </w:t>
      </w:r>
      <w:proofErr w:type="spellStart"/>
      <w:r w:rsidRPr="3998842B">
        <w:rPr>
          <w:rFonts w:ascii="Times New Roman" w:hAnsi="Times New Roman" w:cs="Times New Roman"/>
          <w:sz w:val="24"/>
          <w:szCs w:val="24"/>
          <w:lang w:val="en-US"/>
        </w:rPr>
        <w:t>Miękus</w:t>
      </w:r>
      <w:proofErr w:type="spellEnd"/>
      <w:r w:rsidRPr="3998842B">
        <w:rPr>
          <w:rFonts w:ascii="Times New Roman" w:hAnsi="Times New Roman" w:cs="Times New Roman"/>
          <w:sz w:val="24"/>
          <w:szCs w:val="24"/>
          <w:lang w:val="en-US"/>
        </w:rPr>
        <w:t xml:space="preserve">, T. </w:t>
      </w:r>
      <w:proofErr w:type="spellStart"/>
      <w:r w:rsidRPr="3998842B">
        <w:rPr>
          <w:rFonts w:ascii="Times New Roman" w:hAnsi="Times New Roman" w:cs="Times New Roman"/>
          <w:sz w:val="24"/>
          <w:szCs w:val="24"/>
          <w:lang w:val="en-US"/>
        </w:rPr>
        <w:t>Bączek</w:t>
      </w:r>
      <w:proofErr w:type="spellEnd"/>
      <w:r w:rsidRPr="3998842B">
        <w:rPr>
          <w:rFonts w:ascii="Times New Roman" w:hAnsi="Times New Roman" w:cs="Times New Roman"/>
          <w:sz w:val="24"/>
          <w:szCs w:val="24"/>
          <w:lang w:val="en-US"/>
        </w:rPr>
        <w:t xml:space="preserve">, Comparative study of various extraction procedures of doxorubicin from animal tissues based on </w:t>
      </w:r>
      <w:proofErr w:type="spellStart"/>
      <w:r w:rsidRPr="3998842B">
        <w:rPr>
          <w:rFonts w:ascii="Times New Roman" w:hAnsi="Times New Roman" w:cs="Times New Roman"/>
          <w:sz w:val="24"/>
          <w:szCs w:val="24"/>
          <w:lang w:val="en-US"/>
        </w:rPr>
        <w:t>lle</w:t>
      </w:r>
      <w:proofErr w:type="spellEnd"/>
      <w:r w:rsidRPr="3998842B">
        <w:rPr>
          <w:rFonts w:ascii="Times New Roman" w:hAnsi="Times New Roman" w:cs="Times New Roman"/>
          <w:sz w:val="24"/>
          <w:szCs w:val="24"/>
          <w:lang w:val="en-US"/>
        </w:rPr>
        <w:t xml:space="preserve"> and </w:t>
      </w:r>
      <w:proofErr w:type="spellStart"/>
      <w:r w:rsidRPr="3998842B">
        <w:rPr>
          <w:rFonts w:ascii="Times New Roman" w:hAnsi="Times New Roman" w:cs="Times New Roman"/>
          <w:sz w:val="24"/>
          <w:szCs w:val="24"/>
          <w:lang w:val="en-US"/>
        </w:rPr>
        <w:t>spe</w:t>
      </w:r>
      <w:proofErr w:type="spellEnd"/>
      <w:r w:rsidRPr="3998842B">
        <w:rPr>
          <w:rFonts w:ascii="Times New Roman" w:hAnsi="Times New Roman" w:cs="Times New Roman"/>
          <w:sz w:val="24"/>
          <w:szCs w:val="24"/>
          <w:lang w:val="en-US"/>
        </w:rPr>
        <w:t xml:space="preserve"> techniques, 9th Polish-German Symposium on Pharmaceutical Sciences "Towards novel concepts in pharmaceutical sciences", Kraków, Poland, 26-27.05.2017</w:t>
      </w:r>
      <w:r w:rsidRPr="3998842B">
        <w:rPr>
          <w:rFonts w:ascii="Times New Roman" w:hAnsi="Times New Roman" w:cs="Times New Roman"/>
          <w:sz w:val="24"/>
          <w:szCs w:val="24"/>
          <w:lang w:val="en-GB"/>
        </w:rPr>
        <w:t xml:space="preserve"> (</w:t>
      </w:r>
      <w:proofErr w:type="spellStart"/>
      <w:r w:rsidRPr="3998842B">
        <w:rPr>
          <w:rFonts w:ascii="Times New Roman" w:hAnsi="Times New Roman" w:cs="Times New Roman"/>
          <w:sz w:val="24"/>
          <w:szCs w:val="24"/>
          <w:lang w:val="en-GB"/>
        </w:rPr>
        <w:t>wystąpienie</w:t>
      </w:r>
      <w:proofErr w:type="spellEnd"/>
      <w:r w:rsidRPr="3998842B">
        <w:rPr>
          <w:rFonts w:ascii="Times New Roman" w:hAnsi="Times New Roman" w:cs="Times New Roman"/>
          <w:sz w:val="24"/>
          <w:szCs w:val="24"/>
          <w:lang w:val="en-GB"/>
        </w:rPr>
        <w:t xml:space="preserve"> </w:t>
      </w:r>
      <w:proofErr w:type="spellStart"/>
      <w:r w:rsidRPr="3998842B">
        <w:rPr>
          <w:rFonts w:ascii="Times New Roman" w:hAnsi="Times New Roman" w:cs="Times New Roman"/>
          <w:sz w:val="24"/>
          <w:szCs w:val="24"/>
          <w:lang w:val="en-GB"/>
        </w:rPr>
        <w:t>ustne</w:t>
      </w:r>
      <w:proofErr w:type="spellEnd"/>
      <w:r w:rsidRPr="3998842B">
        <w:rPr>
          <w:rFonts w:ascii="Times New Roman" w:hAnsi="Times New Roman" w:cs="Times New Roman"/>
          <w:sz w:val="24"/>
          <w:szCs w:val="24"/>
          <w:lang w:val="en-GB"/>
        </w:rPr>
        <w:t>)</w:t>
      </w:r>
    </w:p>
    <w:p w14:paraId="15AF2D32" w14:textId="7E13B8D0" w:rsidR="00151ABC" w:rsidRPr="00043CB3" w:rsidRDefault="3998842B" w:rsidP="00043CB3">
      <w:pPr>
        <w:numPr>
          <w:ilvl w:val="0"/>
          <w:numId w:val="49"/>
        </w:numPr>
        <w:spacing w:line="360" w:lineRule="auto"/>
        <w:jc w:val="both"/>
        <w:rPr>
          <w:rFonts w:ascii="Times New Roman" w:hAnsi="Times New Roman" w:cs="Times New Roman"/>
          <w:sz w:val="24"/>
          <w:szCs w:val="24"/>
          <w:lang w:val="en-GB"/>
        </w:rPr>
        <w:sectPr w:rsidR="00151ABC" w:rsidRPr="00043CB3" w:rsidSect="00CE291C">
          <w:pgSz w:w="11906" w:h="16838"/>
          <w:pgMar w:top="1418" w:right="1134" w:bottom="1418" w:left="1985" w:header="709" w:footer="709" w:gutter="0"/>
          <w:cols w:space="708"/>
          <w:docGrid w:linePitch="360"/>
        </w:sectPr>
      </w:pPr>
      <w:r w:rsidRPr="3998842B">
        <w:rPr>
          <w:rFonts w:ascii="Times New Roman" w:hAnsi="Times New Roman" w:cs="Times New Roman"/>
          <w:sz w:val="24"/>
          <w:szCs w:val="24"/>
          <w:lang w:val="en-GB"/>
        </w:rPr>
        <w:t xml:space="preserve">A. </w:t>
      </w:r>
      <w:proofErr w:type="spellStart"/>
      <w:r w:rsidRPr="3998842B">
        <w:rPr>
          <w:rFonts w:ascii="Times New Roman" w:hAnsi="Times New Roman" w:cs="Times New Roman"/>
          <w:sz w:val="24"/>
          <w:szCs w:val="24"/>
          <w:lang w:val="en-GB"/>
        </w:rPr>
        <w:t>Plenis</w:t>
      </w:r>
      <w:proofErr w:type="spellEnd"/>
      <w:r w:rsidRPr="3998842B">
        <w:rPr>
          <w:rFonts w:ascii="Times New Roman" w:hAnsi="Times New Roman" w:cs="Times New Roman"/>
          <w:sz w:val="24"/>
          <w:szCs w:val="24"/>
          <w:lang w:val="en-GB"/>
        </w:rPr>
        <w:t xml:space="preserve">, M. </w:t>
      </w:r>
      <w:proofErr w:type="spellStart"/>
      <w:r w:rsidRPr="3998842B">
        <w:rPr>
          <w:rFonts w:ascii="Times New Roman" w:hAnsi="Times New Roman" w:cs="Times New Roman"/>
          <w:sz w:val="24"/>
          <w:szCs w:val="24"/>
          <w:lang w:val="en-GB"/>
        </w:rPr>
        <w:t>Żółtowska</w:t>
      </w:r>
      <w:proofErr w:type="spellEnd"/>
      <w:r w:rsidRPr="3998842B">
        <w:rPr>
          <w:rFonts w:ascii="Times New Roman" w:hAnsi="Times New Roman" w:cs="Times New Roman"/>
          <w:sz w:val="24"/>
          <w:szCs w:val="24"/>
          <w:lang w:val="en-GB"/>
        </w:rPr>
        <w:t xml:space="preserve">, O. </w:t>
      </w:r>
      <w:proofErr w:type="spellStart"/>
      <w:r w:rsidRPr="3998842B">
        <w:rPr>
          <w:rFonts w:ascii="Times New Roman" w:hAnsi="Times New Roman" w:cs="Times New Roman"/>
          <w:sz w:val="24"/>
          <w:szCs w:val="24"/>
          <w:lang w:val="en-GB"/>
        </w:rPr>
        <w:t>Rudzińska</w:t>
      </w:r>
      <w:proofErr w:type="spellEnd"/>
      <w:r w:rsidRPr="3998842B">
        <w:rPr>
          <w:rFonts w:ascii="Times New Roman" w:hAnsi="Times New Roman" w:cs="Times New Roman"/>
          <w:sz w:val="24"/>
          <w:szCs w:val="24"/>
          <w:lang w:val="en-GB"/>
        </w:rPr>
        <w:t xml:space="preserve"> (</w:t>
      </w:r>
      <w:proofErr w:type="spellStart"/>
      <w:r w:rsidRPr="3998842B">
        <w:rPr>
          <w:rFonts w:ascii="Times New Roman" w:hAnsi="Times New Roman" w:cs="Times New Roman"/>
          <w:sz w:val="24"/>
          <w:szCs w:val="24"/>
          <w:lang w:val="en-GB"/>
        </w:rPr>
        <w:t>Maliszewska</w:t>
      </w:r>
      <w:proofErr w:type="spellEnd"/>
      <w:r w:rsidRPr="3998842B">
        <w:rPr>
          <w:rFonts w:ascii="Times New Roman" w:hAnsi="Times New Roman" w:cs="Times New Roman"/>
          <w:sz w:val="24"/>
          <w:szCs w:val="24"/>
          <w:lang w:val="en-GB"/>
        </w:rPr>
        <w:t xml:space="preserve">), I. </w:t>
      </w:r>
      <w:proofErr w:type="spellStart"/>
      <w:r w:rsidRPr="3998842B">
        <w:rPr>
          <w:rFonts w:ascii="Times New Roman" w:hAnsi="Times New Roman" w:cs="Times New Roman"/>
          <w:sz w:val="24"/>
          <w:szCs w:val="24"/>
          <w:lang w:val="en-GB"/>
        </w:rPr>
        <w:t>Olędzka</w:t>
      </w:r>
      <w:proofErr w:type="spellEnd"/>
      <w:r w:rsidRPr="3998842B">
        <w:rPr>
          <w:rFonts w:ascii="Times New Roman" w:hAnsi="Times New Roman" w:cs="Times New Roman"/>
          <w:sz w:val="24"/>
          <w:szCs w:val="24"/>
          <w:lang w:val="en-GB"/>
        </w:rPr>
        <w:t xml:space="preserve">, P. Kowalski, N. </w:t>
      </w:r>
      <w:proofErr w:type="spellStart"/>
      <w:r w:rsidRPr="3998842B">
        <w:rPr>
          <w:rFonts w:ascii="Times New Roman" w:hAnsi="Times New Roman" w:cs="Times New Roman"/>
          <w:sz w:val="24"/>
          <w:szCs w:val="24"/>
          <w:lang w:val="en-GB"/>
        </w:rPr>
        <w:t>Miękus</w:t>
      </w:r>
      <w:proofErr w:type="spellEnd"/>
      <w:r w:rsidRPr="3998842B">
        <w:rPr>
          <w:rFonts w:ascii="Times New Roman" w:hAnsi="Times New Roman" w:cs="Times New Roman"/>
          <w:sz w:val="24"/>
          <w:szCs w:val="24"/>
          <w:lang w:val="en-GB"/>
        </w:rPr>
        <w:t xml:space="preserve">, E. </w:t>
      </w:r>
      <w:proofErr w:type="spellStart"/>
      <w:r w:rsidRPr="3998842B">
        <w:rPr>
          <w:rFonts w:ascii="Times New Roman" w:hAnsi="Times New Roman" w:cs="Times New Roman"/>
          <w:sz w:val="24"/>
          <w:szCs w:val="24"/>
          <w:lang w:val="en-GB"/>
        </w:rPr>
        <w:t>Bień</w:t>
      </w:r>
      <w:proofErr w:type="spellEnd"/>
      <w:r w:rsidRPr="3998842B">
        <w:rPr>
          <w:rFonts w:ascii="Times New Roman" w:hAnsi="Times New Roman" w:cs="Times New Roman"/>
          <w:sz w:val="24"/>
          <w:szCs w:val="24"/>
          <w:lang w:val="en-GB"/>
        </w:rPr>
        <w:t xml:space="preserve">, M. </w:t>
      </w:r>
      <w:r w:rsidRPr="3998842B">
        <w:rPr>
          <w:rFonts w:ascii="Times New Roman" w:hAnsi="Times New Roman" w:cs="Times New Roman"/>
          <w:sz w:val="24"/>
          <w:szCs w:val="24"/>
          <w:lang w:val="en-US"/>
        </w:rPr>
        <w:t xml:space="preserve">Krawczyk, E. </w:t>
      </w:r>
      <w:proofErr w:type="spellStart"/>
      <w:r w:rsidRPr="3998842B">
        <w:rPr>
          <w:rFonts w:ascii="Times New Roman" w:hAnsi="Times New Roman" w:cs="Times New Roman"/>
          <w:sz w:val="24"/>
          <w:szCs w:val="24"/>
          <w:lang w:val="en-US"/>
        </w:rPr>
        <w:t>Adamkiewicz-Drożyńska</w:t>
      </w:r>
      <w:proofErr w:type="spellEnd"/>
      <w:r w:rsidRPr="3998842B">
        <w:rPr>
          <w:rFonts w:ascii="Times New Roman" w:hAnsi="Times New Roman" w:cs="Times New Roman"/>
          <w:sz w:val="24"/>
          <w:szCs w:val="24"/>
          <w:lang w:val="en-US"/>
        </w:rPr>
        <w:t xml:space="preserve">, T. </w:t>
      </w:r>
      <w:proofErr w:type="spellStart"/>
      <w:r w:rsidRPr="3998842B">
        <w:rPr>
          <w:rFonts w:ascii="Times New Roman" w:hAnsi="Times New Roman" w:cs="Times New Roman"/>
          <w:sz w:val="24"/>
          <w:szCs w:val="24"/>
          <w:lang w:val="en-US"/>
        </w:rPr>
        <w:t>Bączek</w:t>
      </w:r>
      <w:proofErr w:type="spellEnd"/>
      <w:r w:rsidRPr="3998842B">
        <w:rPr>
          <w:rFonts w:ascii="Times New Roman" w:hAnsi="Times New Roman" w:cs="Times New Roman"/>
          <w:sz w:val="24"/>
          <w:szCs w:val="24"/>
          <w:lang w:val="en-US"/>
        </w:rPr>
        <w:t>, Determination of doxorubicin in human plasma and urine by liquid chromatography with fluorescence detection, 9th Polish-German Symposium on Pharmaceutical Sciences "Towards novel concepts in pharmaceutical sciences", Kraków, Poland, 26-27.05.2017</w:t>
      </w:r>
      <w:r w:rsidRPr="3998842B">
        <w:rPr>
          <w:rFonts w:ascii="Times New Roman" w:hAnsi="Times New Roman" w:cs="Times New Roman"/>
          <w:sz w:val="24"/>
          <w:szCs w:val="24"/>
          <w:lang w:val="en-GB"/>
        </w:rPr>
        <w:t xml:space="preserve">  (</w:t>
      </w:r>
      <w:proofErr w:type="spellStart"/>
      <w:r w:rsidRPr="3998842B">
        <w:rPr>
          <w:rFonts w:ascii="Times New Roman" w:hAnsi="Times New Roman" w:cs="Times New Roman"/>
          <w:sz w:val="24"/>
          <w:szCs w:val="24"/>
          <w:lang w:val="en-GB"/>
        </w:rPr>
        <w:t>plakat</w:t>
      </w:r>
      <w:proofErr w:type="spellEnd"/>
      <w:r w:rsidRPr="3998842B">
        <w:rPr>
          <w:rFonts w:ascii="Times New Roman" w:hAnsi="Times New Roman" w:cs="Times New Roman"/>
          <w:sz w:val="24"/>
          <w:szCs w:val="24"/>
          <w:lang w:val="en-GB"/>
        </w:rPr>
        <w:t>)</w:t>
      </w:r>
    </w:p>
    <w:p w14:paraId="0B3A87E3" w14:textId="0E1C571F" w:rsidR="0085241B" w:rsidRDefault="3998842B" w:rsidP="008D540B">
      <w:pPr>
        <w:pStyle w:val="NAGWEK10"/>
        <w:numPr>
          <w:ilvl w:val="0"/>
          <w:numId w:val="0"/>
        </w:numPr>
        <w:spacing w:before="120" w:after="120"/>
        <w:ind w:left="357"/>
      </w:pPr>
      <w:bookmarkStart w:id="6" w:name="_Toc137702468"/>
      <w:r>
        <w:lastRenderedPageBreak/>
        <w:t>Spis streszczeń zjazdowych, które nie są związane z rozprawą doktorską:</w:t>
      </w:r>
      <w:bookmarkEnd w:id="6"/>
    </w:p>
    <w:p w14:paraId="2A924F2B" w14:textId="77777777" w:rsidR="004D511A" w:rsidRPr="001C2796" w:rsidRDefault="004D511A" w:rsidP="004D511A">
      <w:pPr>
        <w:pStyle w:val="Akapitzlist"/>
        <w:spacing w:line="360" w:lineRule="auto"/>
        <w:jc w:val="both"/>
        <w:rPr>
          <w:rStyle w:val="f975a"/>
          <w:rFonts w:ascii="Times New Roman" w:hAnsi="Times New Roman" w:cs="Times New Roman"/>
          <w:sz w:val="24"/>
          <w:szCs w:val="24"/>
        </w:rPr>
      </w:pPr>
    </w:p>
    <w:p w14:paraId="5FB428DF" w14:textId="29133F23" w:rsidR="002075BC" w:rsidRPr="00567F00" w:rsidRDefault="0052140C" w:rsidP="006E644F">
      <w:pPr>
        <w:pStyle w:val="Akapitzlist"/>
        <w:numPr>
          <w:ilvl w:val="0"/>
          <w:numId w:val="51"/>
        </w:numPr>
        <w:spacing w:line="360" w:lineRule="auto"/>
        <w:jc w:val="both"/>
        <w:rPr>
          <w:rStyle w:val="f975a"/>
          <w:rFonts w:ascii="Times New Roman" w:hAnsi="Times New Roman" w:cs="Times New Roman"/>
          <w:sz w:val="24"/>
          <w:szCs w:val="24"/>
          <w:lang w:val="en-GB"/>
        </w:rPr>
      </w:pPr>
      <w:r w:rsidRPr="00612354">
        <w:rPr>
          <w:rFonts w:ascii="Times New Roman" w:hAnsi="Times New Roman" w:cs="Times New Roman"/>
          <w:color w:val="000000"/>
          <w:sz w:val="24"/>
          <w:szCs w:val="24"/>
          <w:shd w:val="clear" w:color="auto" w:fill="FFFFFF"/>
          <w:lang w:val="en-GB"/>
        </w:rPr>
        <w:t xml:space="preserve">A. </w:t>
      </w:r>
      <w:proofErr w:type="spellStart"/>
      <w:r w:rsidRPr="00612354">
        <w:rPr>
          <w:rFonts w:ascii="Times New Roman" w:hAnsi="Times New Roman" w:cs="Times New Roman"/>
          <w:color w:val="000000"/>
          <w:sz w:val="24"/>
          <w:szCs w:val="24"/>
          <w:shd w:val="clear" w:color="auto" w:fill="FFFFFF"/>
          <w:lang w:val="en-GB"/>
        </w:rPr>
        <w:t>Plenis</w:t>
      </w:r>
      <w:proofErr w:type="spellEnd"/>
      <w:r w:rsidRPr="00567F00">
        <w:rPr>
          <w:rFonts w:ascii="Times New Roman" w:hAnsi="Times New Roman" w:cs="Times New Roman"/>
          <w:color w:val="000000"/>
          <w:sz w:val="24"/>
          <w:szCs w:val="24"/>
          <w:shd w:val="clear" w:color="auto" w:fill="FFFFFF"/>
          <w:lang w:val="en-GB"/>
        </w:rPr>
        <w:t xml:space="preserve">, N. </w:t>
      </w:r>
      <w:proofErr w:type="spellStart"/>
      <w:r w:rsidRPr="00567F00">
        <w:rPr>
          <w:rFonts w:ascii="Times New Roman" w:hAnsi="Times New Roman" w:cs="Times New Roman"/>
          <w:color w:val="000000"/>
          <w:sz w:val="24"/>
          <w:szCs w:val="24"/>
          <w:shd w:val="clear" w:color="auto" w:fill="FFFFFF"/>
          <w:lang w:val="en-GB"/>
        </w:rPr>
        <w:t>Treder</w:t>
      </w:r>
      <w:proofErr w:type="spellEnd"/>
      <w:r w:rsidRPr="00567F00">
        <w:rPr>
          <w:rFonts w:ascii="Times New Roman" w:hAnsi="Times New Roman" w:cs="Times New Roman"/>
          <w:color w:val="000000"/>
          <w:sz w:val="24"/>
          <w:szCs w:val="24"/>
          <w:shd w:val="clear" w:color="auto" w:fill="FFFFFF"/>
          <w:lang w:val="en-GB"/>
        </w:rPr>
        <w:t xml:space="preserve">, A. </w:t>
      </w:r>
      <w:proofErr w:type="spellStart"/>
      <w:r w:rsidRPr="00567F00">
        <w:rPr>
          <w:rFonts w:ascii="Times New Roman" w:hAnsi="Times New Roman" w:cs="Times New Roman"/>
          <w:color w:val="000000"/>
          <w:sz w:val="24"/>
          <w:szCs w:val="24"/>
          <w:shd w:val="clear" w:color="auto" w:fill="FFFFFF"/>
          <w:lang w:val="en-GB"/>
        </w:rPr>
        <w:t>Roszkowska</w:t>
      </w:r>
      <w:proofErr w:type="spellEnd"/>
      <w:r w:rsidRPr="00567F00">
        <w:rPr>
          <w:rFonts w:ascii="Times New Roman" w:hAnsi="Times New Roman" w:cs="Times New Roman"/>
          <w:color w:val="000000"/>
          <w:sz w:val="24"/>
          <w:szCs w:val="24"/>
          <w:shd w:val="clear" w:color="auto" w:fill="FFFFFF"/>
          <w:lang w:val="en-GB"/>
        </w:rPr>
        <w:t xml:space="preserve">, O. </w:t>
      </w:r>
      <w:proofErr w:type="spellStart"/>
      <w:r w:rsidRPr="00567F00">
        <w:rPr>
          <w:rFonts w:ascii="Times New Roman" w:hAnsi="Times New Roman" w:cs="Times New Roman"/>
          <w:color w:val="000000"/>
          <w:sz w:val="24"/>
          <w:szCs w:val="24"/>
          <w:shd w:val="clear" w:color="auto" w:fill="FFFFFF"/>
          <w:lang w:val="en-GB"/>
        </w:rPr>
        <w:t>Maliszewska</w:t>
      </w:r>
      <w:proofErr w:type="spellEnd"/>
      <w:r w:rsidRPr="00567F00">
        <w:rPr>
          <w:rFonts w:ascii="Times New Roman" w:hAnsi="Times New Roman" w:cs="Times New Roman"/>
          <w:color w:val="000000"/>
          <w:sz w:val="24"/>
          <w:szCs w:val="24"/>
          <w:shd w:val="clear" w:color="auto" w:fill="FFFFFF"/>
          <w:lang w:val="en-GB"/>
        </w:rPr>
        <w:t xml:space="preserve">, N. </w:t>
      </w:r>
      <w:proofErr w:type="spellStart"/>
      <w:r w:rsidRPr="00567F00">
        <w:rPr>
          <w:rFonts w:ascii="Times New Roman" w:hAnsi="Times New Roman" w:cs="Times New Roman"/>
          <w:color w:val="000000"/>
          <w:sz w:val="24"/>
          <w:szCs w:val="24"/>
          <w:shd w:val="clear" w:color="auto" w:fill="FFFFFF"/>
          <w:lang w:val="en-GB"/>
        </w:rPr>
        <w:t>Kaczmarczyk</w:t>
      </w:r>
      <w:proofErr w:type="spellEnd"/>
      <w:r w:rsidRPr="00567F00">
        <w:rPr>
          <w:rFonts w:ascii="Times New Roman" w:hAnsi="Times New Roman" w:cs="Times New Roman"/>
          <w:color w:val="000000"/>
          <w:sz w:val="24"/>
          <w:szCs w:val="24"/>
          <w:shd w:val="clear" w:color="auto" w:fill="FFFFFF"/>
          <w:lang w:val="en-GB"/>
        </w:rPr>
        <w:t xml:space="preserve">, I. </w:t>
      </w:r>
      <w:proofErr w:type="spellStart"/>
      <w:r w:rsidRPr="00567F00">
        <w:rPr>
          <w:rFonts w:ascii="Times New Roman" w:hAnsi="Times New Roman" w:cs="Times New Roman"/>
          <w:color w:val="000000"/>
          <w:sz w:val="24"/>
          <w:szCs w:val="24"/>
          <w:shd w:val="clear" w:color="auto" w:fill="FFFFFF"/>
          <w:lang w:val="en-GB"/>
        </w:rPr>
        <w:t>Oledzka</w:t>
      </w:r>
      <w:proofErr w:type="spellEnd"/>
      <w:r w:rsidRPr="00567F00">
        <w:rPr>
          <w:rFonts w:ascii="Times New Roman" w:hAnsi="Times New Roman" w:cs="Times New Roman"/>
          <w:color w:val="000000"/>
          <w:sz w:val="24"/>
          <w:szCs w:val="24"/>
          <w:shd w:val="clear" w:color="auto" w:fill="FFFFFF"/>
          <w:lang w:val="en-GB"/>
        </w:rPr>
        <w:t xml:space="preserve">, P. Kowalski, T. </w:t>
      </w:r>
      <w:proofErr w:type="spellStart"/>
      <w:r w:rsidRPr="00567F00">
        <w:rPr>
          <w:rFonts w:ascii="Times New Roman" w:hAnsi="Times New Roman" w:cs="Times New Roman"/>
          <w:color w:val="000000"/>
          <w:sz w:val="24"/>
          <w:szCs w:val="24"/>
          <w:shd w:val="clear" w:color="auto" w:fill="FFFFFF"/>
          <w:lang w:val="en-GB"/>
        </w:rPr>
        <w:t>Bączek</w:t>
      </w:r>
      <w:proofErr w:type="spellEnd"/>
      <w:r w:rsidRPr="00567F00">
        <w:rPr>
          <w:rFonts w:ascii="Times New Roman" w:hAnsi="Times New Roman" w:cs="Times New Roman"/>
          <w:color w:val="000000"/>
          <w:sz w:val="24"/>
          <w:szCs w:val="24"/>
          <w:shd w:val="clear" w:color="auto" w:fill="FFFFFF"/>
          <w:lang w:val="en-GB"/>
        </w:rPr>
        <w:t xml:space="preserve">, E. </w:t>
      </w:r>
      <w:proofErr w:type="spellStart"/>
      <w:r w:rsidRPr="00567F00">
        <w:rPr>
          <w:rFonts w:ascii="Times New Roman" w:hAnsi="Times New Roman" w:cs="Times New Roman"/>
          <w:color w:val="000000"/>
          <w:sz w:val="24"/>
          <w:szCs w:val="24"/>
          <w:shd w:val="clear" w:color="auto" w:fill="FFFFFF"/>
          <w:lang w:val="en-GB"/>
        </w:rPr>
        <w:t>Bień</w:t>
      </w:r>
      <w:proofErr w:type="spellEnd"/>
      <w:r w:rsidRPr="00567F00">
        <w:rPr>
          <w:rFonts w:ascii="Times New Roman" w:hAnsi="Times New Roman" w:cs="Times New Roman"/>
          <w:color w:val="000000"/>
          <w:sz w:val="24"/>
          <w:szCs w:val="24"/>
          <w:shd w:val="clear" w:color="auto" w:fill="FFFFFF"/>
          <w:lang w:val="en-GB"/>
        </w:rPr>
        <w:t xml:space="preserve">, M. A. Krawczyk, </w:t>
      </w:r>
      <w:r w:rsidR="006A3BC4" w:rsidRPr="00567F00">
        <w:rPr>
          <w:rFonts w:ascii="Times New Roman" w:hAnsi="Times New Roman" w:cs="Times New Roman"/>
          <w:color w:val="000000"/>
          <w:sz w:val="24"/>
          <w:szCs w:val="24"/>
          <w:shd w:val="clear" w:color="auto" w:fill="FFFFFF"/>
          <w:lang w:val="en-GB"/>
        </w:rPr>
        <w:t xml:space="preserve"> </w:t>
      </w:r>
      <w:r w:rsidR="00D23B7D" w:rsidRPr="00567F00">
        <w:rPr>
          <w:rStyle w:val="f245a"/>
          <w:rFonts w:ascii="Times New Roman" w:hAnsi="Times New Roman" w:cs="Times New Roman"/>
          <w:color w:val="000000"/>
          <w:sz w:val="24"/>
          <w:szCs w:val="24"/>
          <w:shd w:val="clear" w:color="auto" w:fill="FFFFFF"/>
          <w:lang w:val="en-GB"/>
        </w:rPr>
        <w:t>The development of DLLME combined with LC-MS/MS for the determination of sirolimus in the whole blood samples and its application in clinical practice</w:t>
      </w:r>
      <w:r w:rsidR="00D23B7D" w:rsidRPr="00567F00">
        <w:rPr>
          <w:rStyle w:val="fieldtc"/>
          <w:rFonts w:ascii="Times New Roman" w:hAnsi="Times New Roman" w:cs="Times New Roman"/>
          <w:color w:val="000000"/>
          <w:sz w:val="24"/>
          <w:szCs w:val="24"/>
          <w:shd w:val="clear" w:color="auto" w:fill="FFFFFF"/>
          <w:lang w:val="en-GB"/>
        </w:rPr>
        <w:t>: </w:t>
      </w:r>
      <w:r w:rsidR="00D23B7D" w:rsidRPr="00567F00">
        <w:rPr>
          <w:rStyle w:val="f975a"/>
          <w:rFonts w:ascii="Times New Roman" w:hAnsi="Times New Roman" w:cs="Times New Roman"/>
          <w:color w:val="000000"/>
          <w:sz w:val="24"/>
          <w:szCs w:val="24"/>
          <w:shd w:val="clear" w:color="auto" w:fill="FFFFFF"/>
          <w:lang w:val="en-GB"/>
        </w:rPr>
        <w:t>4th - International Conference on Pharmaceutical and Medical Sciences, [</w:t>
      </w:r>
      <w:proofErr w:type="spellStart"/>
      <w:r w:rsidR="00D23B7D" w:rsidRPr="00567F00">
        <w:rPr>
          <w:rStyle w:val="f975a"/>
          <w:rFonts w:ascii="Times New Roman" w:hAnsi="Times New Roman" w:cs="Times New Roman"/>
          <w:color w:val="000000"/>
          <w:sz w:val="24"/>
          <w:szCs w:val="24"/>
          <w:shd w:val="clear" w:color="auto" w:fill="FFFFFF"/>
          <w:lang w:val="en-GB"/>
        </w:rPr>
        <w:t>hybrydowa</w:t>
      </w:r>
      <w:proofErr w:type="spellEnd"/>
      <w:r w:rsidR="00D23B7D" w:rsidRPr="00567F00">
        <w:rPr>
          <w:rStyle w:val="f975a"/>
          <w:rFonts w:ascii="Times New Roman" w:hAnsi="Times New Roman" w:cs="Times New Roman"/>
          <w:color w:val="000000"/>
          <w:sz w:val="24"/>
          <w:szCs w:val="24"/>
          <w:shd w:val="clear" w:color="auto" w:fill="FFFFFF"/>
          <w:lang w:val="en-GB"/>
        </w:rPr>
        <w:t>], Martin [</w:t>
      </w:r>
      <w:proofErr w:type="spellStart"/>
      <w:r w:rsidR="00D23B7D" w:rsidRPr="00567F00">
        <w:rPr>
          <w:rStyle w:val="f975a"/>
          <w:rFonts w:ascii="Times New Roman" w:hAnsi="Times New Roman" w:cs="Times New Roman"/>
          <w:color w:val="000000"/>
          <w:sz w:val="24"/>
          <w:szCs w:val="24"/>
          <w:shd w:val="clear" w:color="auto" w:fill="FFFFFF"/>
          <w:lang w:val="en-GB"/>
        </w:rPr>
        <w:t>Słowacja</w:t>
      </w:r>
      <w:proofErr w:type="spellEnd"/>
      <w:r w:rsidR="00D23B7D" w:rsidRPr="00567F00">
        <w:rPr>
          <w:rStyle w:val="f975a"/>
          <w:rFonts w:ascii="Times New Roman" w:hAnsi="Times New Roman" w:cs="Times New Roman"/>
          <w:color w:val="000000"/>
          <w:sz w:val="24"/>
          <w:szCs w:val="24"/>
          <w:shd w:val="clear" w:color="auto" w:fill="FFFFFF"/>
          <w:lang w:val="en-GB"/>
        </w:rPr>
        <w:t>], Kraków [Polska], Szeged [</w:t>
      </w:r>
      <w:proofErr w:type="spellStart"/>
      <w:r w:rsidR="00D23B7D" w:rsidRPr="00567F00">
        <w:rPr>
          <w:rStyle w:val="f975a"/>
          <w:rFonts w:ascii="Times New Roman" w:hAnsi="Times New Roman" w:cs="Times New Roman"/>
          <w:color w:val="000000"/>
          <w:sz w:val="24"/>
          <w:szCs w:val="24"/>
          <w:shd w:val="clear" w:color="auto" w:fill="FFFFFF"/>
          <w:lang w:val="en-GB"/>
        </w:rPr>
        <w:t>Węgry</w:t>
      </w:r>
      <w:proofErr w:type="spellEnd"/>
      <w:r w:rsidR="00D23B7D" w:rsidRPr="00567F00">
        <w:rPr>
          <w:rStyle w:val="f975a"/>
          <w:rFonts w:ascii="Times New Roman" w:hAnsi="Times New Roman" w:cs="Times New Roman"/>
          <w:color w:val="000000"/>
          <w:sz w:val="24"/>
          <w:szCs w:val="24"/>
          <w:shd w:val="clear" w:color="auto" w:fill="FFFFFF"/>
          <w:lang w:val="en-GB"/>
        </w:rPr>
        <w:t xml:space="preserve">], 16-18th September 2022 </w:t>
      </w:r>
      <w:r w:rsidR="006E644F" w:rsidRPr="00567F00">
        <w:rPr>
          <w:rStyle w:val="f975a"/>
          <w:rFonts w:ascii="Times New Roman" w:hAnsi="Times New Roman" w:cs="Times New Roman"/>
          <w:color w:val="000000"/>
          <w:sz w:val="24"/>
          <w:szCs w:val="24"/>
          <w:shd w:val="clear" w:color="auto" w:fill="FFFFFF"/>
          <w:lang w:val="en-GB"/>
        </w:rPr>
        <w:t>(</w:t>
      </w:r>
      <w:proofErr w:type="spellStart"/>
      <w:r w:rsidR="00B94E47" w:rsidRPr="00567F00">
        <w:rPr>
          <w:rStyle w:val="f975a"/>
          <w:rFonts w:ascii="Times New Roman" w:hAnsi="Times New Roman" w:cs="Times New Roman"/>
          <w:color w:val="000000"/>
          <w:sz w:val="24"/>
          <w:szCs w:val="24"/>
          <w:shd w:val="clear" w:color="auto" w:fill="FFFFFF"/>
          <w:lang w:val="en-GB"/>
        </w:rPr>
        <w:t>plakat</w:t>
      </w:r>
      <w:proofErr w:type="spellEnd"/>
      <w:r w:rsidR="00B94E47" w:rsidRPr="00567F00">
        <w:rPr>
          <w:rStyle w:val="f975a"/>
          <w:rFonts w:ascii="Times New Roman" w:hAnsi="Times New Roman" w:cs="Times New Roman"/>
          <w:color w:val="000000"/>
          <w:sz w:val="24"/>
          <w:szCs w:val="24"/>
          <w:shd w:val="clear" w:color="auto" w:fill="FFFFFF"/>
          <w:lang w:val="en-GB"/>
        </w:rPr>
        <w:t>)</w:t>
      </w:r>
    </w:p>
    <w:p w14:paraId="17B23D03" w14:textId="77777777" w:rsidR="00E93CD5" w:rsidRPr="00567F00" w:rsidRDefault="00E93CD5" w:rsidP="00E93CD5">
      <w:pPr>
        <w:pStyle w:val="Akapitzlist"/>
        <w:rPr>
          <w:rFonts w:ascii="Times New Roman" w:hAnsi="Times New Roman" w:cs="Times New Roman"/>
          <w:sz w:val="24"/>
          <w:szCs w:val="24"/>
          <w:lang w:val="en-GB"/>
        </w:rPr>
      </w:pPr>
    </w:p>
    <w:p w14:paraId="6C3C08E7" w14:textId="7BBD5282" w:rsidR="00E93CD5" w:rsidRPr="00567F00" w:rsidRDefault="00E93CD5" w:rsidP="005B0822">
      <w:pPr>
        <w:pStyle w:val="Akapitzlist"/>
        <w:numPr>
          <w:ilvl w:val="0"/>
          <w:numId w:val="51"/>
        </w:numPr>
        <w:spacing w:line="360" w:lineRule="auto"/>
        <w:jc w:val="both"/>
        <w:rPr>
          <w:rFonts w:ascii="Times New Roman" w:hAnsi="Times New Roman" w:cs="Times New Roman"/>
          <w:sz w:val="24"/>
          <w:szCs w:val="24"/>
          <w:lang w:val="en-GB"/>
        </w:rPr>
        <w:sectPr w:rsidR="00E93CD5" w:rsidRPr="00567F00">
          <w:pgSz w:w="11906" w:h="16838"/>
          <w:pgMar w:top="1418" w:right="1134" w:bottom="1418" w:left="1985" w:header="720" w:footer="720" w:gutter="0"/>
          <w:cols w:space="708"/>
        </w:sectPr>
      </w:pPr>
      <w:r w:rsidRPr="00612354">
        <w:rPr>
          <w:rFonts w:ascii="Times New Roman" w:hAnsi="Times New Roman" w:cs="Times New Roman"/>
          <w:sz w:val="24"/>
          <w:szCs w:val="24"/>
          <w:lang w:val="en-GB"/>
        </w:rPr>
        <w:t xml:space="preserve">N. </w:t>
      </w:r>
      <w:proofErr w:type="spellStart"/>
      <w:r w:rsidRPr="00612354">
        <w:rPr>
          <w:rFonts w:ascii="Times New Roman" w:hAnsi="Times New Roman" w:cs="Times New Roman"/>
          <w:sz w:val="24"/>
          <w:szCs w:val="24"/>
          <w:lang w:val="en-GB"/>
        </w:rPr>
        <w:t>Kossakowska</w:t>
      </w:r>
      <w:proofErr w:type="spellEnd"/>
      <w:r w:rsidRPr="00567F00">
        <w:rPr>
          <w:rFonts w:ascii="Times New Roman" w:hAnsi="Times New Roman" w:cs="Times New Roman"/>
          <w:sz w:val="24"/>
          <w:szCs w:val="24"/>
          <w:lang w:val="en-GB"/>
        </w:rPr>
        <w:t xml:space="preserve">, A. </w:t>
      </w:r>
      <w:proofErr w:type="spellStart"/>
      <w:r w:rsidRPr="00567F00">
        <w:rPr>
          <w:rFonts w:ascii="Times New Roman" w:hAnsi="Times New Roman" w:cs="Times New Roman"/>
          <w:sz w:val="24"/>
          <w:szCs w:val="24"/>
          <w:lang w:val="en-GB"/>
        </w:rPr>
        <w:t>Kowalik</w:t>
      </w:r>
      <w:proofErr w:type="spellEnd"/>
      <w:r w:rsidRPr="00567F00">
        <w:rPr>
          <w:rFonts w:ascii="Times New Roman" w:hAnsi="Times New Roman" w:cs="Times New Roman"/>
          <w:sz w:val="24"/>
          <w:szCs w:val="24"/>
          <w:lang w:val="en-GB"/>
        </w:rPr>
        <w:t xml:space="preserve">, N. </w:t>
      </w:r>
      <w:proofErr w:type="spellStart"/>
      <w:r w:rsidRPr="00567F00">
        <w:rPr>
          <w:rFonts w:ascii="Times New Roman" w:hAnsi="Times New Roman" w:cs="Times New Roman"/>
          <w:sz w:val="24"/>
          <w:szCs w:val="24"/>
          <w:lang w:val="en-GB"/>
        </w:rPr>
        <w:t>Miękus</w:t>
      </w:r>
      <w:proofErr w:type="spellEnd"/>
      <w:r w:rsidRPr="00567F00">
        <w:rPr>
          <w:rFonts w:ascii="Times New Roman" w:hAnsi="Times New Roman" w:cs="Times New Roman"/>
          <w:sz w:val="24"/>
          <w:szCs w:val="24"/>
          <w:lang w:val="en-GB"/>
        </w:rPr>
        <w:t xml:space="preserve">, I. </w:t>
      </w:r>
      <w:proofErr w:type="spellStart"/>
      <w:r w:rsidRPr="00567F00">
        <w:rPr>
          <w:rFonts w:ascii="Times New Roman" w:hAnsi="Times New Roman" w:cs="Times New Roman"/>
          <w:sz w:val="24"/>
          <w:szCs w:val="24"/>
          <w:lang w:val="en-GB"/>
        </w:rPr>
        <w:t>Olędzka</w:t>
      </w:r>
      <w:proofErr w:type="spellEnd"/>
      <w:r w:rsidRPr="00567F00">
        <w:rPr>
          <w:rFonts w:ascii="Times New Roman" w:hAnsi="Times New Roman" w:cs="Times New Roman"/>
          <w:sz w:val="24"/>
          <w:szCs w:val="24"/>
          <w:lang w:val="en-GB"/>
        </w:rPr>
        <w:t xml:space="preserve">, O. </w:t>
      </w:r>
      <w:proofErr w:type="spellStart"/>
      <w:r w:rsidRPr="00567F00">
        <w:rPr>
          <w:rFonts w:ascii="Times New Roman" w:hAnsi="Times New Roman" w:cs="Times New Roman"/>
          <w:sz w:val="24"/>
          <w:szCs w:val="24"/>
          <w:lang w:val="en-GB"/>
        </w:rPr>
        <w:t>Maliszewska</w:t>
      </w:r>
      <w:proofErr w:type="spellEnd"/>
      <w:r w:rsidRPr="00567F00">
        <w:rPr>
          <w:rFonts w:ascii="Times New Roman" w:hAnsi="Times New Roman" w:cs="Times New Roman"/>
          <w:sz w:val="24"/>
          <w:szCs w:val="24"/>
          <w:lang w:val="en-GB"/>
        </w:rPr>
        <w:t xml:space="preserve">, T. </w:t>
      </w:r>
      <w:proofErr w:type="spellStart"/>
      <w:r w:rsidRPr="00567F00">
        <w:rPr>
          <w:rFonts w:ascii="Times New Roman" w:hAnsi="Times New Roman" w:cs="Times New Roman"/>
          <w:sz w:val="24"/>
          <w:szCs w:val="24"/>
          <w:lang w:val="en-GB"/>
        </w:rPr>
        <w:t>Bączek</w:t>
      </w:r>
      <w:proofErr w:type="spellEnd"/>
      <w:r w:rsidRPr="00567F00">
        <w:rPr>
          <w:rFonts w:ascii="Times New Roman" w:hAnsi="Times New Roman" w:cs="Times New Roman"/>
          <w:sz w:val="24"/>
          <w:szCs w:val="24"/>
          <w:lang w:val="en-GB"/>
        </w:rPr>
        <w:t xml:space="preserve">, </w:t>
      </w:r>
      <w:r w:rsidRPr="00567F00">
        <w:rPr>
          <w:rStyle w:val="f245a"/>
          <w:rFonts w:ascii="Times New Roman" w:hAnsi="Times New Roman" w:cs="Times New Roman"/>
          <w:color w:val="000000"/>
          <w:sz w:val="24"/>
          <w:szCs w:val="24"/>
          <w:shd w:val="clear" w:color="auto" w:fill="FFFFFF"/>
          <w:lang w:val="en-GB"/>
        </w:rPr>
        <w:t xml:space="preserve">Application of 1-ethyl-3-methyl-imidazolium tetrafluoroborate ionic liquid during extraction procedure for determination of biogenic amines by capillary electrophoresis, </w:t>
      </w:r>
      <w:r w:rsidR="00567F00" w:rsidRPr="00567F00">
        <w:rPr>
          <w:rFonts w:ascii="Times New Roman" w:hAnsi="Times New Roman" w:cs="Times New Roman"/>
          <w:sz w:val="24"/>
          <w:szCs w:val="24"/>
          <w:lang w:val="en-US"/>
        </w:rPr>
        <w:t xml:space="preserve">ITP 2017 : 24th International Symposium on Electro- and Liquid Phase-Separation Techniques ; </w:t>
      </w:r>
      <w:proofErr w:type="spellStart"/>
      <w:r w:rsidR="00567F00" w:rsidRPr="00567F00">
        <w:rPr>
          <w:rFonts w:ascii="Times New Roman" w:hAnsi="Times New Roman" w:cs="Times New Roman"/>
          <w:sz w:val="24"/>
          <w:szCs w:val="24"/>
          <w:lang w:val="en-US"/>
        </w:rPr>
        <w:t>PKChrom</w:t>
      </w:r>
      <w:proofErr w:type="spellEnd"/>
      <w:r w:rsidR="00567F00" w:rsidRPr="00567F00">
        <w:rPr>
          <w:rFonts w:ascii="Times New Roman" w:hAnsi="Times New Roman" w:cs="Times New Roman"/>
          <w:sz w:val="24"/>
          <w:szCs w:val="24"/>
          <w:lang w:val="en-US"/>
        </w:rPr>
        <w:t xml:space="preserve"> 2017 : XI Polska </w:t>
      </w:r>
      <w:proofErr w:type="spellStart"/>
      <w:r w:rsidR="00567F00" w:rsidRPr="00567F00">
        <w:rPr>
          <w:rFonts w:ascii="Times New Roman" w:hAnsi="Times New Roman" w:cs="Times New Roman"/>
          <w:sz w:val="24"/>
          <w:szCs w:val="24"/>
          <w:lang w:val="en-US"/>
        </w:rPr>
        <w:t>Konferencja</w:t>
      </w:r>
      <w:proofErr w:type="spellEnd"/>
      <w:r w:rsidR="00567F00" w:rsidRPr="00567F00">
        <w:rPr>
          <w:rFonts w:ascii="Times New Roman" w:hAnsi="Times New Roman" w:cs="Times New Roman"/>
          <w:sz w:val="24"/>
          <w:szCs w:val="24"/>
          <w:lang w:val="en-US"/>
        </w:rPr>
        <w:t xml:space="preserve"> </w:t>
      </w:r>
      <w:proofErr w:type="spellStart"/>
      <w:r w:rsidR="00567F00" w:rsidRPr="00567F00">
        <w:rPr>
          <w:rFonts w:ascii="Times New Roman" w:hAnsi="Times New Roman" w:cs="Times New Roman"/>
          <w:sz w:val="24"/>
          <w:szCs w:val="24"/>
          <w:lang w:val="en-US"/>
        </w:rPr>
        <w:t>Chromatograficzna</w:t>
      </w:r>
      <w:proofErr w:type="spellEnd"/>
      <w:r w:rsidR="00567F00" w:rsidRPr="00567F00">
        <w:rPr>
          <w:rFonts w:ascii="Times New Roman" w:hAnsi="Times New Roman" w:cs="Times New Roman"/>
          <w:sz w:val="24"/>
          <w:szCs w:val="24"/>
          <w:lang w:val="en-US"/>
        </w:rPr>
        <w:t xml:space="preserve"> :"Chromatography in pharmacy and bioanalysis", Sopot/</w:t>
      </w:r>
      <w:proofErr w:type="spellStart"/>
      <w:r w:rsidR="00567F00" w:rsidRPr="00567F00">
        <w:rPr>
          <w:rFonts w:ascii="Times New Roman" w:hAnsi="Times New Roman" w:cs="Times New Roman"/>
          <w:sz w:val="24"/>
          <w:szCs w:val="24"/>
          <w:lang w:val="en-US"/>
        </w:rPr>
        <w:t>Gdańsk</w:t>
      </w:r>
      <w:proofErr w:type="spellEnd"/>
      <w:r w:rsidR="00567F00" w:rsidRPr="00567F00">
        <w:rPr>
          <w:rFonts w:ascii="Times New Roman" w:hAnsi="Times New Roman" w:cs="Times New Roman"/>
          <w:sz w:val="24"/>
          <w:szCs w:val="24"/>
          <w:lang w:val="en-US"/>
        </w:rPr>
        <w:t>, Poland, 10-13 September 2017</w:t>
      </w:r>
      <w:r w:rsidR="00567F00" w:rsidRPr="00567F00">
        <w:rPr>
          <w:rFonts w:ascii="Times New Roman" w:hAnsi="Times New Roman" w:cs="Times New Roman"/>
          <w:sz w:val="24"/>
          <w:szCs w:val="24"/>
          <w:lang w:val="en-GB"/>
        </w:rPr>
        <w:t xml:space="preserve">  (</w:t>
      </w:r>
      <w:proofErr w:type="spellStart"/>
      <w:r w:rsidR="00567F00" w:rsidRPr="00567F00">
        <w:rPr>
          <w:rFonts w:ascii="Times New Roman" w:hAnsi="Times New Roman" w:cs="Times New Roman"/>
          <w:sz w:val="24"/>
          <w:szCs w:val="24"/>
          <w:lang w:val="en-GB"/>
        </w:rPr>
        <w:t>plakat</w:t>
      </w:r>
      <w:proofErr w:type="spellEnd"/>
      <w:r w:rsidR="00567F00" w:rsidRPr="00567F00">
        <w:rPr>
          <w:rFonts w:ascii="Times New Roman" w:hAnsi="Times New Roman" w:cs="Times New Roman"/>
          <w:sz w:val="24"/>
          <w:szCs w:val="24"/>
          <w:lang w:val="en-GB"/>
        </w:rPr>
        <w:t>)</w:t>
      </w:r>
    </w:p>
    <w:p w14:paraId="03FA9553" w14:textId="77777777" w:rsidR="005B0822" w:rsidRPr="00D23B7D" w:rsidRDefault="005B0822" w:rsidP="005B0822">
      <w:pPr>
        <w:rPr>
          <w:lang w:val="en-GB"/>
        </w:rPr>
      </w:pPr>
    </w:p>
    <w:p w14:paraId="27422C43" w14:textId="5DE75B40" w:rsidR="006C6CAA" w:rsidRPr="00DD6A5D" w:rsidRDefault="00EC7792" w:rsidP="006C6CAA">
      <w:pPr>
        <w:pStyle w:val="NAGWEK10"/>
        <w:spacing w:after="240"/>
        <w:ind w:left="357" w:hanging="357"/>
      </w:pPr>
      <w:bookmarkStart w:id="7" w:name="_Toc137702469"/>
      <w:r w:rsidRPr="00DD6A5D">
        <w:t>Wstęp</w:t>
      </w:r>
      <w:bookmarkEnd w:id="7"/>
    </w:p>
    <w:p w14:paraId="59C9D517" w14:textId="266CB96C" w:rsidR="006C6CAA" w:rsidRPr="00E11754" w:rsidRDefault="00EC7792" w:rsidP="006C6CAA">
      <w:pPr>
        <w:pStyle w:val="Nagwek2"/>
        <w:numPr>
          <w:ilvl w:val="1"/>
          <w:numId w:val="13"/>
        </w:numPr>
        <w:spacing w:before="240" w:after="120" w:line="360" w:lineRule="auto"/>
        <w:ind w:left="573" w:hanging="431"/>
        <w:rPr>
          <w:rFonts w:ascii="Times New Roman" w:hAnsi="Times New Roman" w:cs="Times New Roman"/>
          <w:b/>
          <w:bCs/>
          <w:color w:val="auto"/>
          <w:sz w:val="24"/>
          <w:szCs w:val="24"/>
        </w:rPr>
      </w:pPr>
      <w:bookmarkStart w:id="8" w:name="_Toc137702470"/>
      <w:r w:rsidRPr="00E11754">
        <w:rPr>
          <w:rStyle w:val="Pogrubienie"/>
          <w:rFonts w:ascii="Times New Roman" w:hAnsi="Times New Roman" w:cs="Times New Roman"/>
          <w:sz w:val="24"/>
          <w:szCs w:val="24"/>
        </w:rPr>
        <w:t>Epidemiologia nowotworów</w:t>
      </w:r>
      <w:bookmarkEnd w:id="8"/>
      <w:r w:rsidRPr="00E11754">
        <w:rPr>
          <w:rStyle w:val="Pogrubienie"/>
          <w:rFonts w:ascii="Times New Roman" w:hAnsi="Times New Roman" w:cs="Times New Roman"/>
          <w:sz w:val="24"/>
          <w:szCs w:val="24"/>
        </w:rPr>
        <w:t xml:space="preserve"> </w:t>
      </w:r>
    </w:p>
    <w:p w14:paraId="208880DE" w14:textId="2A8DAAE9" w:rsidR="00015148" w:rsidRPr="00E11754" w:rsidRDefault="00DC054A" w:rsidP="13A8E3F4">
      <w:pPr>
        <w:spacing w:line="360" w:lineRule="auto"/>
        <w:ind w:firstLine="284"/>
        <w:jc w:val="both"/>
        <w:rPr>
          <w:rFonts w:ascii="Times New Roman" w:hAnsi="Times New Roman" w:cs="Times New Roman"/>
          <w:sz w:val="24"/>
          <w:szCs w:val="24"/>
        </w:rPr>
        <w:sectPr w:rsidR="00015148" w:rsidRPr="00E11754">
          <w:pgSz w:w="11906" w:h="16838"/>
          <w:pgMar w:top="1418" w:right="1134" w:bottom="1418" w:left="1985" w:header="720" w:footer="720" w:gutter="0"/>
          <w:cols w:space="708"/>
        </w:sectPr>
      </w:pPr>
      <w:r w:rsidRPr="00E11754">
        <w:rPr>
          <w:rFonts w:ascii="Times New Roman" w:hAnsi="Times New Roman" w:cs="Times New Roman"/>
          <w:sz w:val="24"/>
          <w:szCs w:val="24"/>
        </w:rPr>
        <w:t>Od wielu lat c</w:t>
      </w:r>
      <w:r w:rsidR="00C3092A" w:rsidRPr="00E11754">
        <w:rPr>
          <w:rFonts w:ascii="Times New Roman" w:hAnsi="Times New Roman" w:cs="Times New Roman"/>
          <w:sz w:val="24"/>
          <w:szCs w:val="24"/>
        </w:rPr>
        <w:t>horoby nowotworowe to</w:t>
      </w:r>
      <w:r w:rsidR="00E67DDC" w:rsidRPr="00E11754">
        <w:rPr>
          <w:rFonts w:ascii="Times New Roman" w:hAnsi="Times New Roman" w:cs="Times New Roman"/>
          <w:sz w:val="24"/>
          <w:szCs w:val="24"/>
        </w:rPr>
        <w:t xml:space="preserve"> jedn</w:t>
      </w:r>
      <w:r w:rsidR="00900F85" w:rsidRPr="00E11754">
        <w:rPr>
          <w:rFonts w:ascii="Times New Roman" w:hAnsi="Times New Roman" w:cs="Times New Roman"/>
          <w:sz w:val="24"/>
          <w:szCs w:val="24"/>
        </w:rPr>
        <w:t>e</w:t>
      </w:r>
      <w:r w:rsidR="005E4D94" w:rsidRPr="00E11754">
        <w:rPr>
          <w:rFonts w:ascii="Times New Roman" w:hAnsi="Times New Roman" w:cs="Times New Roman"/>
          <w:sz w:val="24"/>
          <w:szCs w:val="24"/>
        </w:rPr>
        <w:t xml:space="preserve"> z najczę</w:t>
      </w:r>
      <w:r w:rsidR="00360D78">
        <w:rPr>
          <w:rFonts w:ascii="Times New Roman" w:hAnsi="Times New Roman" w:cs="Times New Roman"/>
          <w:sz w:val="24"/>
          <w:szCs w:val="24"/>
        </w:rPr>
        <w:t>stszych</w:t>
      </w:r>
      <w:r w:rsidR="0022282F" w:rsidRPr="00E11754">
        <w:rPr>
          <w:rFonts w:ascii="Times New Roman" w:hAnsi="Times New Roman" w:cs="Times New Roman"/>
          <w:sz w:val="24"/>
          <w:szCs w:val="24"/>
        </w:rPr>
        <w:t xml:space="preserve"> </w:t>
      </w:r>
      <w:r w:rsidR="005E4D94" w:rsidRPr="00E11754">
        <w:rPr>
          <w:rFonts w:ascii="Times New Roman" w:hAnsi="Times New Roman" w:cs="Times New Roman"/>
          <w:sz w:val="24"/>
          <w:szCs w:val="24"/>
        </w:rPr>
        <w:t xml:space="preserve">przyczyn zgonów wśród </w:t>
      </w:r>
      <w:r w:rsidR="00E67DDC" w:rsidRPr="00E11754">
        <w:rPr>
          <w:rFonts w:ascii="Times New Roman" w:hAnsi="Times New Roman" w:cs="Times New Roman"/>
          <w:sz w:val="24"/>
          <w:szCs w:val="24"/>
        </w:rPr>
        <w:t xml:space="preserve">ludzi na </w:t>
      </w:r>
      <w:r w:rsidR="00951486" w:rsidRPr="00E11754">
        <w:rPr>
          <w:rFonts w:ascii="Times New Roman" w:hAnsi="Times New Roman" w:cs="Times New Roman"/>
          <w:sz w:val="24"/>
          <w:szCs w:val="24"/>
        </w:rPr>
        <w:t xml:space="preserve">całym </w:t>
      </w:r>
      <w:r w:rsidR="00E67DDC" w:rsidRPr="00E11754">
        <w:rPr>
          <w:rFonts w:ascii="Times New Roman" w:hAnsi="Times New Roman" w:cs="Times New Roman"/>
          <w:sz w:val="24"/>
          <w:szCs w:val="24"/>
        </w:rPr>
        <w:t>świecie</w:t>
      </w:r>
      <w:r w:rsidR="007F121B" w:rsidRPr="00E11754">
        <w:rPr>
          <w:rFonts w:ascii="Times New Roman" w:hAnsi="Times New Roman" w:cs="Times New Roman"/>
          <w:sz w:val="24"/>
          <w:szCs w:val="24"/>
        </w:rPr>
        <w:t xml:space="preserve"> </w:t>
      </w:r>
      <w:r w:rsidR="00D92E6B" w:rsidRPr="00E11754">
        <w:rPr>
          <w:rFonts w:ascii="Times New Roman" w:hAnsi="Times New Roman" w:cs="Times New Roman"/>
          <w:sz w:val="24"/>
          <w:szCs w:val="24"/>
        </w:rPr>
        <w:fldChar w:fldCharType="begin" w:fldLock="1"/>
      </w:r>
      <w:r w:rsidR="00E40827" w:rsidRPr="00E11754">
        <w:rPr>
          <w:rFonts w:ascii="Times New Roman" w:hAnsi="Times New Roman" w:cs="Times New Roman"/>
          <w:sz w:val="24"/>
          <w:szCs w:val="24"/>
        </w:rPr>
        <w:instrText>ADDIN CSL_CITATION {"citationItems":[{"id":"ITEM-1","itemData":{"ISBN":"9789283204237","ISSN":"00457825","PMID":"20032336","abstract":"This paper is devoted to the numerical simulation of the NavierStokesKorteweg equations, a phase-field model for water/water-vapor two-phase flows. We develop a numerical formulation based on isogeometric analysis that permits straightforward treatment of the higher-order partialdifferential operator that represents capillarity. We introduce a new refinement methodology that desensitizes the numerical solution to the computational mesh and achieves mesh invariant solutions. Finally, we present several numerical examples in two and three dimensions that illustrate the effectiveness and robustness of our approach.","author":[{"dropping-particle":"","family":"International Agency for Research on-World Health Organization","given":"","non-dropping-particle":"","parse-names":false,"suffix":""}],"container-title":"Cancer Control","id":"ITEM-1","issued":{"date-parts":[["2020"]]},"number-of-pages":"512","title":"World CanCer report 2008. Cancer research for cancer prevention","type":"book","volume":"199"},"uris":["http://www.mendeley.com/documents/?uuid=5aa918d6-d4f3-4323-8d99-71d2458e6088"]}],"mendeley":{"formattedCitation":"[1]","plainTextFormattedCitation":"[1]","previouslyFormattedCitation":"[1]"},"properties":{"noteIndex":0},"schema":"https://github.com/citation-style-language/schema/raw/master/csl-citation.json"}</w:instrText>
      </w:r>
      <w:r w:rsidR="00D92E6B" w:rsidRPr="00E11754">
        <w:rPr>
          <w:rFonts w:ascii="Times New Roman" w:hAnsi="Times New Roman" w:cs="Times New Roman"/>
          <w:sz w:val="24"/>
          <w:szCs w:val="24"/>
        </w:rPr>
        <w:fldChar w:fldCharType="separate"/>
      </w:r>
      <w:r w:rsidR="0094018A" w:rsidRPr="00E11754">
        <w:rPr>
          <w:rFonts w:ascii="Times New Roman" w:hAnsi="Times New Roman" w:cs="Times New Roman"/>
          <w:noProof/>
          <w:sz w:val="24"/>
          <w:szCs w:val="24"/>
        </w:rPr>
        <w:t>[1]</w:t>
      </w:r>
      <w:r w:rsidR="00D92E6B" w:rsidRPr="00E11754">
        <w:rPr>
          <w:rFonts w:ascii="Times New Roman" w:hAnsi="Times New Roman" w:cs="Times New Roman"/>
          <w:sz w:val="24"/>
          <w:szCs w:val="24"/>
        </w:rPr>
        <w:fldChar w:fldCharType="end"/>
      </w:r>
      <w:r w:rsidR="00951486" w:rsidRPr="00E11754">
        <w:rPr>
          <w:rFonts w:ascii="Times New Roman" w:hAnsi="Times New Roman" w:cs="Times New Roman"/>
          <w:sz w:val="24"/>
          <w:szCs w:val="24"/>
        </w:rPr>
        <w:t>.</w:t>
      </w:r>
      <w:r w:rsidR="00E431F3" w:rsidRPr="00E11754">
        <w:rPr>
          <w:rFonts w:ascii="Times New Roman" w:hAnsi="Times New Roman" w:cs="Times New Roman"/>
          <w:sz w:val="24"/>
          <w:szCs w:val="24"/>
        </w:rPr>
        <w:t xml:space="preserve"> </w:t>
      </w:r>
      <w:r w:rsidR="00711CBA" w:rsidRPr="00E11754">
        <w:rPr>
          <w:rFonts w:ascii="Times New Roman" w:hAnsi="Times New Roman" w:cs="Times New Roman"/>
          <w:sz w:val="24"/>
          <w:szCs w:val="24"/>
        </w:rPr>
        <w:t>Na podstawie światowych d</w:t>
      </w:r>
      <w:r w:rsidR="000D6A5E">
        <w:rPr>
          <w:rFonts w:ascii="Times New Roman" w:hAnsi="Times New Roman" w:cs="Times New Roman"/>
          <w:sz w:val="24"/>
          <w:szCs w:val="24"/>
        </w:rPr>
        <w:t xml:space="preserve">anych </w:t>
      </w:r>
      <w:r w:rsidR="00477EF4" w:rsidRPr="00E11754">
        <w:rPr>
          <w:rFonts w:ascii="Times New Roman" w:hAnsi="Times New Roman" w:cs="Times New Roman"/>
          <w:sz w:val="24"/>
          <w:szCs w:val="24"/>
        </w:rPr>
        <w:t>z</w:t>
      </w:r>
      <w:r w:rsidR="00711CBA" w:rsidRPr="00E11754">
        <w:rPr>
          <w:rFonts w:ascii="Times New Roman" w:hAnsi="Times New Roman" w:cs="Times New Roman"/>
          <w:sz w:val="24"/>
          <w:szCs w:val="24"/>
        </w:rPr>
        <w:t xml:space="preserve"> 2020 r.</w:t>
      </w:r>
      <w:r w:rsidR="000038CA">
        <w:rPr>
          <w:rFonts w:ascii="Times New Roman" w:hAnsi="Times New Roman" w:cs="Times New Roman"/>
          <w:sz w:val="24"/>
          <w:szCs w:val="24"/>
        </w:rPr>
        <w:t xml:space="preserve"> </w:t>
      </w:r>
      <w:r w:rsidR="0003010A" w:rsidRPr="00E11754">
        <w:rPr>
          <w:rFonts w:ascii="Times New Roman" w:hAnsi="Times New Roman" w:cs="Times New Roman"/>
          <w:sz w:val="24"/>
          <w:szCs w:val="24"/>
        </w:rPr>
        <w:t>odnotowano</w:t>
      </w:r>
      <w:r w:rsidR="006229C0" w:rsidRPr="00E11754">
        <w:rPr>
          <w:rFonts w:ascii="Times New Roman" w:hAnsi="Times New Roman" w:cs="Times New Roman"/>
          <w:sz w:val="24"/>
          <w:szCs w:val="24"/>
        </w:rPr>
        <w:t xml:space="preserve">, </w:t>
      </w:r>
      <w:r w:rsidR="00667E00">
        <w:rPr>
          <w:rFonts w:ascii="Times New Roman" w:hAnsi="Times New Roman" w:cs="Times New Roman"/>
          <w:sz w:val="24"/>
          <w:szCs w:val="24"/>
        </w:rPr>
        <w:t xml:space="preserve">że </w:t>
      </w:r>
      <w:r w:rsidR="006942C4" w:rsidRPr="00E11754">
        <w:rPr>
          <w:rFonts w:ascii="Times New Roman" w:hAnsi="Times New Roman" w:cs="Times New Roman"/>
          <w:sz w:val="24"/>
          <w:szCs w:val="24"/>
        </w:rPr>
        <w:t xml:space="preserve">u </w:t>
      </w:r>
      <w:r w:rsidR="00711CBA" w:rsidRPr="00E11754">
        <w:rPr>
          <w:rFonts w:ascii="Times New Roman" w:hAnsi="Times New Roman" w:cs="Times New Roman"/>
          <w:spacing w:val="-2"/>
          <w:sz w:val="24"/>
          <w:szCs w:val="24"/>
          <w:shd w:val="clear" w:color="auto" w:fill="FFFFFF"/>
        </w:rPr>
        <w:t>1</w:t>
      </w:r>
      <w:r w:rsidR="00862357" w:rsidRPr="00E11754">
        <w:rPr>
          <w:rFonts w:ascii="Times New Roman" w:hAnsi="Times New Roman" w:cs="Times New Roman"/>
          <w:spacing w:val="-2"/>
          <w:sz w:val="24"/>
          <w:szCs w:val="24"/>
          <w:shd w:val="clear" w:color="auto" w:fill="FFFFFF"/>
        </w:rPr>
        <w:t>9</w:t>
      </w:r>
      <w:r w:rsidR="00711CBA" w:rsidRPr="00E11754">
        <w:rPr>
          <w:rFonts w:ascii="Times New Roman" w:hAnsi="Times New Roman" w:cs="Times New Roman"/>
          <w:spacing w:val="-2"/>
          <w:sz w:val="24"/>
          <w:szCs w:val="24"/>
          <w:shd w:val="clear" w:color="auto" w:fill="FFFFFF"/>
        </w:rPr>
        <w:t>,</w:t>
      </w:r>
      <w:r w:rsidR="00862357" w:rsidRPr="00E11754">
        <w:rPr>
          <w:rFonts w:ascii="Times New Roman" w:hAnsi="Times New Roman" w:cs="Times New Roman"/>
          <w:spacing w:val="-2"/>
          <w:sz w:val="24"/>
          <w:szCs w:val="24"/>
          <w:shd w:val="clear" w:color="auto" w:fill="FFFFFF"/>
        </w:rPr>
        <w:t>3</w:t>
      </w:r>
      <w:r w:rsidR="0012749F" w:rsidRPr="00E11754">
        <w:rPr>
          <w:rFonts w:ascii="Times New Roman" w:hAnsi="Times New Roman" w:cs="Times New Roman"/>
          <w:spacing w:val="-2"/>
          <w:sz w:val="24"/>
          <w:szCs w:val="24"/>
          <w:shd w:val="clear" w:color="auto" w:fill="FFFFFF"/>
        </w:rPr>
        <w:t xml:space="preserve"> mln</w:t>
      </w:r>
      <w:r w:rsidR="006229C0" w:rsidRPr="00E11754">
        <w:rPr>
          <w:rFonts w:ascii="Times New Roman" w:hAnsi="Times New Roman" w:cs="Times New Roman"/>
          <w:spacing w:val="-2"/>
          <w:sz w:val="24"/>
          <w:szCs w:val="24"/>
          <w:shd w:val="clear" w:color="auto" w:fill="FFFFFF"/>
        </w:rPr>
        <w:t xml:space="preserve"> osób</w:t>
      </w:r>
      <w:r w:rsidR="00711CBA" w:rsidRPr="00E11754">
        <w:rPr>
          <w:rFonts w:ascii="Times New Roman" w:hAnsi="Times New Roman" w:cs="Times New Roman"/>
          <w:spacing w:val="-2"/>
          <w:sz w:val="24"/>
          <w:szCs w:val="24"/>
          <w:shd w:val="clear" w:color="auto" w:fill="FFFFFF"/>
        </w:rPr>
        <w:t xml:space="preserve"> </w:t>
      </w:r>
      <w:r w:rsidR="006942C4" w:rsidRPr="00E11754">
        <w:rPr>
          <w:rFonts w:ascii="Times New Roman" w:hAnsi="Times New Roman" w:cs="Times New Roman"/>
          <w:spacing w:val="-2"/>
          <w:sz w:val="24"/>
          <w:szCs w:val="24"/>
          <w:shd w:val="clear" w:color="auto" w:fill="FFFFFF"/>
        </w:rPr>
        <w:t>z</w:t>
      </w:r>
      <w:r w:rsidR="006229C0" w:rsidRPr="00E11754">
        <w:rPr>
          <w:rFonts w:ascii="Times New Roman" w:hAnsi="Times New Roman" w:cs="Times New Roman"/>
          <w:spacing w:val="-2"/>
          <w:sz w:val="24"/>
          <w:szCs w:val="24"/>
          <w:shd w:val="clear" w:color="auto" w:fill="FFFFFF"/>
        </w:rPr>
        <w:t>diagnoz</w:t>
      </w:r>
      <w:r w:rsidR="006942C4" w:rsidRPr="00E11754">
        <w:rPr>
          <w:rFonts w:ascii="Times New Roman" w:hAnsi="Times New Roman" w:cs="Times New Roman"/>
          <w:spacing w:val="-2"/>
          <w:sz w:val="24"/>
          <w:szCs w:val="24"/>
          <w:shd w:val="clear" w:color="auto" w:fill="FFFFFF"/>
        </w:rPr>
        <w:t>owano</w:t>
      </w:r>
      <w:r w:rsidR="006229C0" w:rsidRPr="00E11754">
        <w:rPr>
          <w:rFonts w:ascii="Times New Roman" w:hAnsi="Times New Roman" w:cs="Times New Roman"/>
          <w:spacing w:val="-2"/>
          <w:sz w:val="24"/>
          <w:szCs w:val="24"/>
          <w:shd w:val="clear" w:color="auto" w:fill="FFFFFF"/>
        </w:rPr>
        <w:t xml:space="preserve"> nowotw</w:t>
      </w:r>
      <w:r w:rsidR="006942C4" w:rsidRPr="00E11754">
        <w:rPr>
          <w:rFonts w:ascii="Times New Roman" w:hAnsi="Times New Roman" w:cs="Times New Roman"/>
          <w:spacing w:val="-2"/>
          <w:sz w:val="24"/>
          <w:szCs w:val="24"/>
          <w:shd w:val="clear" w:color="auto" w:fill="FFFFFF"/>
        </w:rPr>
        <w:t>ór</w:t>
      </w:r>
      <w:r w:rsidR="006229C0" w:rsidRPr="00E11754">
        <w:rPr>
          <w:rFonts w:ascii="Times New Roman" w:hAnsi="Times New Roman" w:cs="Times New Roman"/>
          <w:spacing w:val="-2"/>
          <w:sz w:val="24"/>
          <w:szCs w:val="24"/>
          <w:shd w:val="clear" w:color="auto" w:fill="FFFFFF"/>
        </w:rPr>
        <w:t>, z czego zmarło</w:t>
      </w:r>
      <w:r w:rsidR="00F937A1" w:rsidRPr="00E11754">
        <w:rPr>
          <w:rFonts w:ascii="Times New Roman" w:hAnsi="Times New Roman" w:cs="Times New Roman"/>
          <w:spacing w:val="-2"/>
          <w:sz w:val="24"/>
          <w:szCs w:val="24"/>
          <w:shd w:val="clear" w:color="auto" w:fill="FFFFFF"/>
        </w:rPr>
        <w:t xml:space="preserve"> </w:t>
      </w:r>
      <w:r w:rsidR="00711CBA" w:rsidRPr="00E11754">
        <w:rPr>
          <w:rFonts w:ascii="Times New Roman" w:hAnsi="Times New Roman" w:cs="Times New Roman"/>
          <w:sz w:val="24"/>
          <w:szCs w:val="24"/>
        </w:rPr>
        <w:t>10 mln</w:t>
      </w:r>
      <w:r w:rsidR="006229C0" w:rsidRPr="00E11754">
        <w:rPr>
          <w:rFonts w:ascii="Times New Roman" w:hAnsi="Times New Roman" w:cs="Times New Roman"/>
          <w:sz w:val="24"/>
          <w:szCs w:val="24"/>
        </w:rPr>
        <w:t xml:space="preserve"> </w:t>
      </w:r>
      <w:r w:rsidR="00543BA2" w:rsidRPr="00E11754">
        <w:rPr>
          <w:rFonts w:ascii="Times New Roman" w:hAnsi="Times New Roman" w:cs="Times New Roman"/>
          <w:sz w:val="24"/>
          <w:szCs w:val="24"/>
        </w:rPr>
        <w:t xml:space="preserve"> </w:t>
      </w:r>
      <w:r w:rsidR="00783C17" w:rsidRPr="00E11754">
        <w:rPr>
          <w:rFonts w:ascii="Times New Roman" w:hAnsi="Times New Roman" w:cs="Times New Roman"/>
          <w:sz w:val="24"/>
          <w:szCs w:val="24"/>
        </w:rPr>
        <w:fldChar w:fldCharType="begin" w:fldLock="1"/>
      </w:r>
      <w:r w:rsidR="00E40827" w:rsidRPr="00E11754">
        <w:rPr>
          <w:rFonts w:ascii="Times New Roman" w:hAnsi="Times New Roman" w:cs="Times New Roman"/>
          <w:sz w:val="24"/>
          <w:szCs w:val="24"/>
        </w:rPr>
        <w:instrText>ADDIN CSL_CITATION {"citationItems":[{"id":"ITEM-1","itemData":{"DOI":"10.3322/caac.21660","ISSN":"0007-9235","PMID":"33538338","abstract":"This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author":[{"dropping-particle":"","family":"Sung","given":"Hyuna","non-dropping-particle":"","parse-names":false,"suffix":""},{"dropping-particle":"","family":"Ferlay","given":"Jacques","non-dropping-particle":"","parse-names":false,"suffix":""},{"dropping-particle":"","family":"Siegel","given":"Rebecca L.","non-dropping-particle":"","parse-names":false,"suffix":""},{"dropping-particle":"","family":"Laversanne","given":"Mathieu","non-dropping-particle":"","parse-names":false,"suffix":""},{"dropping-particle":"","family":"Soerjomataram","given":"Isabelle","non-dropping-particle":"","parse-names":false,"suffix":""},{"dropping-particle":"","family":"Jemal","given":"Ahmedin","non-dropping-particle":"","parse-names":false,"suffix":""},{"dropping-particle":"","family":"Bray","given":"Freddie","non-dropping-particle":"","parse-names":false,"suffix":""}],"container-title":"CA: A Cancer Journal for Clinicians","id":"ITEM-1","issue":"3","issued":{"date-parts":[["2021"]]},"page":"209-249","title":"Global Cancer Statistics 2020: GLOBOCAN Estimates of Incidence and Mortality Worldwide for 36 Cancers in 185 Countries","type":"article-journal","volume":"71"},"uris":["http://www.mendeley.com/documents/?uuid=028c0bc1-5243-4eb2-8ac2-87a6e2bcef69"]}],"mendeley":{"formattedCitation":"[2]","plainTextFormattedCitation":"[2]","previouslyFormattedCitation":"[2]"},"properties":{"noteIndex":0},"schema":"https://github.com/citation-style-language/schema/raw/master/csl-citation.json"}</w:instrText>
      </w:r>
      <w:r w:rsidR="00783C17" w:rsidRPr="00E11754">
        <w:rPr>
          <w:rFonts w:ascii="Times New Roman" w:hAnsi="Times New Roman" w:cs="Times New Roman"/>
          <w:sz w:val="24"/>
          <w:szCs w:val="24"/>
        </w:rPr>
        <w:fldChar w:fldCharType="separate"/>
      </w:r>
      <w:r w:rsidR="0094018A" w:rsidRPr="00E11754">
        <w:rPr>
          <w:rFonts w:ascii="Times New Roman" w:hAnsi="Times New Roman" w:cs="Times New Roman"/>
          <w:noProof/>
          <w:sz w:val="24"/>
          <w:szCs w:val="24"/>
        </w:rPr>
        <w:t>[2]</w:t>
      </w:r>
      <w:r w:rsidR="00783C17" w:rsidRPr="00E11754">
        <w:rPr>
          <w:rFonts w:ascii="Times New Roman" w:hAnsi="Times New Roman" w:cs="Times New Roman"/>
          <w:sz w:val="24"/>
          <w:szCs w:val="24"/>
        </w:rPr>
        <w:fldChar w:fldCharType="end"/>
      </w:r>
      <w:r w:rsidR="008C5CF2" w:rsidRPr="00E11754">
        <w:rPr>
          <w:rFonts w:ascii="Times New Roman" w:hAnsi="Times New Roman" w:cs="Times New Roman"/>
          <w:sz w:val="24"/>
          <w:szCs w:val="24"/>
        </w:rPr>
        <w:t xml:space="preserve">. </w:t>
      </w:r>
      <w:r w:rsidR="00D10E03" w:rsidRPr="00E11754">
        <w:rPr>
          <w:rFonts w:ascii="Times New Roman" w:hAnsi="Times New Roman" w:cs="Times New Roman"/>
          <w:sz w:val="24"/>
          <w:szCs w:val="24"/>
        </w:rPr>
        <w:t>W</w:t>
      </w:r>
      <w:r w:rsidR="00711CBA" w:rsidRPr="00E11754">
        <w:rPr>
          <w:rFonts w:ascii="Times New Roman" w:hAnsi="Times New Roman" w:cs="Times New Roman"/>
          <w:sz w:val="24"/>
          <w:szCs w:val="24"/>
        </w:rPr>
        <w:t xml:space="preserve"> Polsce,</w:t>
      </w:r>
      <w:r w:rsidR="00A37C54" w:rsidRPr="00E11754">
        <w:rPr>
          <w:rFonts w:ascii="Times New Roman" w:hAnsi="Times New Roman" w:cs="Times New Roman"/>
          <w:sz w:val="24"/>
          <w:szCs w:val="24"/>
        </w:rPr>
        <w:t xml:space="preserve"> w 2020 r.</w:t>
      </w:r>
      <w:r w:rsidR="00067BEB" w:rsidRPr="00E11754">
        <w:rPr>
          <w:rFonts w:ascii="Times New Roman" w:hAnsi="Times New Roman" w:cs="Times New Roman"/>
          <w:sz w:val="24"/>
          <w:szCs w:val="24"/>
        </w:rPr>
        <w:t xml:space="preserve"> </w:t>
      </w:r>
      <w:r w:rsidR="00D10E03" w:rsidRPr="00E11754">
        <w:rPr>
          <w:rFonts w:ascii="Times New Roman" w:hAnsi="Times New Roman" w:cs="Times New Roman"/>
          <w:sz w:val="24"/>
          <w:szCs w:val="24"/>
        </w:rPr>
        <w:t>na chorob</w:t>
      </w:r>
      <w:r w:rsidR="00A37C54" w:rsidRPr="00E11754">
        <w:rPr>
          <w:rFonts w:ascii="Times New Roman" w:hAnsi="Times New Roman" w:cs="Times New Roman"/>
          <w:sz w:val="24"/>
          <w:szCs w:val="24"/>
        </w:rPr>
        <w:t>y</w:t>
      </w:r>
      <w:r w:rsidR="00D10E03" w:rsidRPr="00E11754">
        <w:rPr>
          <w:rFonts w:ascii="Times New Roman" w:hAnsi="Times New Roman" w:cs="Times New Roman"/>
          <w:sz w:val="24"/>
          <w:szCs w:val="24"/>
        </w:rPr>
        <w:t xml:space="preserve"> nowotworow</w:t>
      </w:r>
      <w:r w:rsidR="00A37C54" w:rsidRPr="00E11754">
        <w:rPr>
          <w:rFonts w:ascii="Times New Roman" w:hAnsi="Times New Roman" w:cs="Times New Roman"/>
          <w:sz w:val="24"/>
          <w:szCs w:val="24"/>
        </w:rPr>
        <w:t>e</w:t>
      </w:r>
      <w:r w:rsidR="00067BEB" w:rsidRPr="00E11754">
        <w:rPr>
          <w:rFonts w:ascii="Times New Roman" w:hAnsi="Times New Roman" w:cs="Times New Roman"/>
          <w:sz w:val="24"/>
          <w:szCs w:val="24"/>
        </w:rPr>
        <w:t xml:space="preserve"> </w:t>
      </w:r>
      <w:r w:rsidR="000E5A03" w:rsidRPr="00E11754">
        <w:rPr>
          <w:rFonts w:ascii="Times New Roman" w:hAnsi="Times New Roman" w:cs="Times New Roman"/>
          <w:sz w:val="24"/>
          <w:szCs w:val="24"/>
        </w:rPr>
        <w:t>za</w:t>
      </w:r>
      <w:r w:rsidR="00067BEB" w:rsidRPr="00E11754">
        <w:rPr>
          <w:rFonts w:ascii="Times New Roman" w:hAnsi="Times New Roman" w:cs="Times New Roman"/>
          <w:sz w:val="24"/>
          <w:szCs w:val="24"/>
        </w:rPr>
        <w:t xml:space="preserve">chorowało </w:t>
      </w:r>
      <w:r w:rsidR="007200B8" w:rsidRPr="00E11754">
        <w:rPr>
          <w:rFonts w:ascii="Times New Roman" w:hAnsi="Times New Roman" w:cs="Times New Roman"/>
          <w:sz w:val="24"/>
          <w:szCs w:val="24"/>
        </w:rPr>
        <w:t xml:space="preserve">146 </w:t>
      </w:r>
      <w:r w:rsidR="00D10E03" w:rsidRPr="00E11754">
        <w:rPr>
          <w:rFonts w:ascii="Times New Roman" w:hAnsi="Times New Roman" w:cs="Times New Roman"/>
          <w:sz w:val="24"/>
          <w:szCs w:val="24"/>
        </w:rPr>
        <w:t>tys.</w:t>
      </w:r>
      <w:r w:rsidR="00067BEB" w:rsidRPr="00E11754">
        <w:rPr>
          <w:rFonts w:ascii="Times New Roman" w:hAnsi="Times New Roman" w:cs="Times New Roman"/>
          <w:sz w:val="24"/>
          <w:szCs w:val="24"/>
        </w:rPr>
        <w:t xml:space="preserve"> </w:t>
      </w:r>
      <w:r w:rsidR="001B273A" w:rsidRPr="00E11754">
        <w:rPr>
          <w:rFonts w:ascii="Times New Roman" w:hAnsi="Times New Roman" w:cs="Times New Roman"/>
          <w:sz w:val="24"/>
          <w:szCs w:val="24"/>
        </w:rPr>
        <w:t>o</w:t>
      </w:r>
      <w:r w:rsidR="00D10E03" w:rsidRPr="00E11754">
        <w:rPr>
          <w:rFonts w:ascii="Times New Roman" w:hAnsi="Times New Roman" w:cs="Times New Roman"/>
          <w:sz w:val="24"/>
          <w:szCs w:val="24"/>
        </w:rPr>
        <w:t>sób</w:t>
      </w:r>
      <w:r w:rsidR="001B273A" w:rsidRPr="00E11754">
        <w:rPr>
          <w:rFonts w:ascii="Times New Roman" w:hAnsi="Times New Roman" w:cs="Times New Roman"/>
          <w:sz w:val="24"/>
          <w:szCs w:val="24"/>
        </w:rPr>
        <w:t xml:space="preserve">, </w:t>
      </w:r>
      <w:r w:rsidR="00A728E8" w:rsidRPr="00E11754">
        <w:rPr>
          <w:rFonts w:ascii="Times New Roman" w:hAnsi="Times New Roman" w:cs="Times New Roman"/>
          <w:sz w:val="24"/>
          <w:szCs w:val="24"/>
        </w:rPr>
        <w:t>a</w:t>
      </w:r>
      <w:r w:rsidR="00067BEB" w:rsidRPr="00E11754">
        <w:rPr>
          <w:rFonts w:ascii="Times New Roman" w:hAnsi="Times New Roman" w:cs="Times New Roman"/>
          <w:sz w:val="24"/>
          <w:szCs w:val="24"/>
        </w:rPr>
        <w:t xml:space="preserve"> umarło </w:t>
      </w:r>
      <w:r w:rsidR="00D10E03" w:rsidRPr="00E11754">
        <w:rPr>
          <w:rFonts w:ascii="Times New Roman" w:hAnsi="Times New Roman" w:cs="Times New Roman"/>
          <w:sz w:val="24"/>
          <w:szCs w:val="24"/>
        </w:rPr>
        <w:t>około 100</w:t>
      </w:r>
      <w:r w:rsidR="00711CBA" w:rsidRPr="00E11754">
        <w:rPr>
          <w:rFonts w:ascii="Times New Roman" w:hAnsi="Times New Roman" w:cs="Times New Roman"/>
          <w:sz w:val="24"/>
          <w:szCs w:val="24"/>
        </w:rPr>
        <w:t xml:space="preserve"> tys. osób </w:t>
      </w:r>
      <w:r w:rsidR="00711CBA" w:rsidRPr="00E11754">
        <w:rPr>
          <w:rFonts w:ascii="Times New Roman" w:hAnsi="Times New Roman" w:cs="Times New Roman"/>
          <w:sz w:val="24"/>
          <w:szCs w:val="24"/>
        </w:rPr>
        <w:fldChar w:fldCharType="begin" w:fldLock="1"/>
      </w:r>
      <w:r w:rsidR="003621E2">
        <w:rPr>
          <w:rFonts w:ascii="Times New Roman" w:hAnsi="Times New Roman" w:cs="Times New Roman"/>
          <w:sz w:val="24"/>
          <w:szCs w:val="24"/>
        </w:rPr>
        <w:instrText>ADDIN CSL_CITATION {"citationItems":[{"id":"ITEM-1","itemData":{"author":[{"dropping-particle":"","family":"Wojciechowska U., Barańska K., Michałek I.","given":"Olasek P.","non-dropping-particle":"","parse-names":false,"suffix":""},{"dropping-particle":"","family":"M.","given":"Miklewska","non-dropping-particle":"","parse-names":false,"suffix":""}],"container-title":"Narodowy Instytut Onkologii im. Marii Skłodowskiej-Curie Państwowy Instytut Badawczy, Krajowy rejestr nowotworów","id":"ITEM-1","issued":{"date-parts":[["2022"]]},"page":"5-90","title":", Didkowska J. A.: Nowotwory złośliwe w Polsce w 2020 roku, Narodowy Instytut Onkologii im. Marii Skłodowskiej-Curie Państwowy Instytut Badawczy, Krajowy rejestr nowotworów, 2022, 5-90","type":"article-journal"},"uris":["http://www.mendeley.com/documents/?uuid=26047aad-8b50-47f2-8288-62820418eb13"]}],"mendeley":{"formattedCitation":"[3]","plainTextFormattedCitation":"[3]","previouslyFormattedCitation":"[3]"},"properties":{"noteIndex":0},"schema":"https://github.com/citation-style-language/schema/raw/master/csl-citation.json"}</w:instrText>
      </w:r>
      <w:r w:rsidR="00711CBA" w:rsidRPr="00E11754">
        <w:rPr>
          <w:rFonts w:ascii="Times New Roman" w:hAnsi="Times New Roman" w:cs="Times New Roman"/>
          <w:sz w:val="24"/>
          <w:szCs w:val="24"/>
        </w:rPr>
        <w:fldChar w:fldCharType="separate"/>
      </w:r>
      <w:r w:rsidR="0094018A" w:rsidRPr="00E11754">
        <w:rPr>
          <w:rFonts w:ascii="Times New Roman" w:hAnsi="Times New Roman" w:cs="Times New Roman"/>
          <w:noProof/>
          <w:sz w:val="24"/>
          <w:szCs w:val="24"/>
        </w:rPr>
        <w:t>[3]</w:t>
      </w:r>
      <w:r w:rsidR="00711CBA" w:rsidRPr="00E11754">
        <w:rPr>
          <w:rFonts w:ascii="Times New Roman" w:hAnsi="Times New Roman" w:cs="Times New Roman"/>
          <w:sz w:val="24"/>
          <w:szCs w:val="24"/>
        </w:rPr>
        <w:fldChar w:fldCharType="end"/>
      </w:r>
      <w:r w:rsidR="000E5A03" w:rsidRPr="00E11754">
        <w:rPr>
          <w:rFonts w:ascii="Times New Roman" w:hAnsi="Times New Roman" w:cs="Times New Roman"/>
          <w:sz w:val="24"/>
          <w:szCs w:val="24"/>
        </w:rPr>
        <w:t xml:space="preserve">. </w:t>
      </w:r>
      <w:r w:rsidR="00E125EB" w:rsidRPr="00E11754">
        <w:rPr>
          <w:rFonts w:ascii="Times New Roman" w:hAnsi="Times New Roman" w:cs="Times New Roman"/>
          <w:sz w:val="24"/>
          <w:szCs w:val="24"/>
        </w:rPr>
        <w:t>Licz</w:t>
      </w:r>
      <w:r w:rsidR="00477EF4" w:rsidRPr="00E11754">
        <w:rPr>
          <w:rFonts w:ascii="Times New Roman" w:hAnsi="Times New Roman" w:cs="Times New Roman"/>
          <w:sz w:val="24"/>
          <w:szCs w:val="24"/>
        </w:rPr>
        <w:t>b</w:t>
      </w:r>
      <w:r w:rsidR="00E125EB" w:rsidRPr="00E11754">
        <w:rPr>
          <w:rFonts w:ascii="Times New Roman" w:hAnsi="Times New Roman" w:cs="Times New Roman"/>
          <w:sz w:val="24"/>
          <w:szCs w:val="24"/>
        </w:rPr>
        <w:t>y te w</w:t>
      </w:r>
      <w:r w:rsidR="00D54B2E" w:rsidRPr="00E11754">
        <w:rPr>
          <w:rFonts w:ascii="Times New Roman" w:hAnsi="Times New Roman" w:cs="Times New Roman"/>
          <w:sz w:val="24"/>
          <w:szCs w:val="24"/>
        </w:rPr>
        <w:t xml:space="preserve"> porównaniu do </w:t>
      </w:r>
      <w:r w:rsidR="00E125EB" w:rsidRPr="00E11754">
        <w:rPr>
          <w:rFonts w:ascii="Times New Roman" w:hAnsi="Times New Roman" w:cs="Times New Roman"/>
          <w:sz w:val="24"/>
          <w:szCs w:val="24"/>
        </w:rPr>
        <w:t xml:space="preserve">danych sprzed </w:t>
      </w:r>
      <w:r w:rsidR="008669A6" w:rsidRPr="00E11754">
        <w:rPr>
          <w:rFonts w:ascii="Times New Roman" w:hAnsi="Times New Roman" w:cs="Times New Roman"/>
          <w:sz w:val="24"/>
          <w:szCs w:val="24"/>
        </w:rPr>
        <w:t>40</w:t>
      </w:r>
      <w:r w:rsidR="00E125EB" w:rsidRPr="00E11754">
        <w:rPr>
          <w:rFonts w:ascii="Times New Roman" w:hAnsi="Times New Roman" w:cs="Times New Roman"/>
          <w:sz w:val="24"/>
          <w:szCs w:val="24"/>
        </w:rPr>
        <w:t xml:space="preserve"> lat </w:t>
      </w:r>
      <w:r w:rsidR="00477EF4" w:rsidRPr="00E11754">
        <w:rPr>
          <w:rFonts w:ascii="Times New Roman" w:hAnsi="Times New Roman" w:cs="Times New Roman"/>
          <w:sz w:val="24"/>
          <w:szCs w:val="24"/>
        </w:rPr>
        <w:t>systematycznie wzrastają</w:t>
      </w:r>
      <w:r w:rsidR="00F937A1" w:rsidRPr="00E11754">
        <w:rPr>
          <w:rFonts w:ascii="Times New Roman" w:hAnsi="Times New Roman" w:cs="Times New Roman"/>
          <w:sz w:val="24"/>
          <w:szCs w:val="24"/>
        </w:rPr>
        <w:t>,</w:t>
      </w:r>
      <w:r w:rsidR="004872DE" w:rsidRPr="00E11754">
        <w:rPr>
          <w:rFonts w:ascii="Times New Roman" w:hAnsi="Times New Roman" w:cs="Times New Roman"/>
          <w:sz w:val="24"/>
          <w:szCs w:val="24"/>
        </w:rPr>
        <w:t xml:space="preserve"> co </w:t>
      </w:r>
      <w:r w:rsidR="00E3643C" w:rsidRPr="00E11754">
        <w:rPr>
          <w:rFonts w:ascii="Times New Roman" w:hAnsi="Times New Roman" w:cs="Times New Roman"/>
          <w:sz w:val="24"/>
          <w:szCs w:val="24"/>
        </w:rPr>
        <w:t>wskazuj</w:t>
      </w:r>
      <w:r w:rsidR="004872DE" w:rsidRPr="00E11754">
        <w:rPr>
          <w:rFonts w:ascii="Times New Roman" w:hAnsi="Times New Roman" w:cs="Times New Roman"/>
          <w:sz w:val="24"/>
          <w:szCs w:val="24"/>
        </w:rPr>
        <w:t>e</w:t>
      </w:r>
      <w:r w:rsidR="00E3643C" w:rsidRPr="00E11754">
        <w:rPr>
          <w:rFonts w:ascii="Times New Roman" w:hAnsi="Times New Roman" w:cs="Times New Roman"/>
          <w:sz w:val="24"/>
          <w:szCs w:val="24"/>
        </w:rPr>
        <w:t xml:space="preserve"> na wyraźny skok </w:t>
      </w:r>
      <w:r w:rsidR="00493C32" w:rsidRPr="00E11754">
        <w:rPr>
          <w:rFonts w:ascii="Times New Roman" w:hAnsi="Times New Roman" w:cs="Times New Roman"/>
          <w:sz w:val="24"/>
          <w:szCs w:val="24"/>
        </w:rPr>
        <w:t>zachorowalności</w:t>
      </w:r>
      <w:r w:rsidR="00BB78A5" w:rsidRPr="00E11754">
        <w:rPr>
          <w:rFonts w:ascii="Times New Roman" w:hAnsi="Times New Roman" w:cs="Times New Roman"/>
          <w:sz w:val="24"/>
          <w:szCs w:val="24"/>
        </w:rPr>
        <w:t xml:space="preserve"> i umieralności</w:t>
      </w:r>
      <w:r w:rsidR="00493C32" w:rsidRPr="00E11754">
        <w:rPr>
          <w:rFonts w:ascii="Times New Roman" w:hAnsi="Times New Roman" w:cs="Times New Roman"/>
          <w:sz w:val="24"/>
          <w:szCs w:val="24"/>
        </w:rPr>
        <w:t xml:space="preserve">. </w:t>
      </w:r>
      <w:r w:rsidR="00477EF4" w:rsidRPr="00E11754">
        <w:rPr>
          <w:rFonts w:ascii="Times New Roman" w:hAnsi="Times New Roman" w:cs="Times New Roman"/>
          <w:sz w:val="24"/>
          <w:szCs w:val="24"/>
        </w:rPr>
        <w:t xml:space="preserve">Najczęściej raportowane przypadki nowotworów wśród dorosłych to rak płuca, jelita grubego, prostaty oraz piersi [2]. </w:t>
      </w:r>
      <w:r w:rsidR="00F937A1" w:rsidRPr="00E11754">
        <w:rPr>
          <w:rFonts w:ascii="Times New Roman" w:hAnsi="Times New Roman" w:cs="Times New Roman"/>
          <w:sz w:val="24"/>
          <w:szCs w:val="24"/>
        </w:rPr>
        <w:t xml:space="preserve">Według najnowszych prognoz </w:t>
      </w:r>
      <w:r w:rsidR="00456558" w:rsidRPr="00E11754">
        <w:rPr>
          <w:rStyle w:val="caps"/>
          <w:rFonts w:ascii="Times New Roman" w:hAnsi="Times New Roman" w:cs="Times New Roman"/>
          <w:sz w:val="24"/>
          <w:szCs w:val="24"/>
          <w:shd w:val="clear" w:color="auto" w:fill="FFFFFF"/>
        </w:rPr>
        <w:t>GLOBOCAN2020</w:t>
      </w:r>
      <w:r w:rsidR="00456558" w:rsidRPr="00E11754">
        <w:rPr>
          <w:rFonts w:ascii="Times New Roman" w:hAnsi="Times New Roman" w:cs="Times New Roman"/>
          <w:sz w:val="24"/>
          <w:szCs w:val="24"/>
          <w:shd w:val="clear" w:color="auto" w:fill="FFFFFF"/>
        </w:rPr>
        <w:t xml:space="preserve"> </w:t>
      </w:r>
      <w:r w:rsidR="0042248B" w:rsidRPr="00E11754">
        <w:rPr>
          <w:rFonts w:ascii="Times New Roman" w:hAnsi="Times New Roman" w:cs="Times New Roman"/>
          <w:sz w:val="24"/>
          <w:szCs w:val="24"/>
          <w:shd w:val="clear" w:color="auto" w:fill="FFFFFF"/>
        </w:rPr>
        <w:t xml:space="preserve">do 2040 roku </w:t>
      </w:r>
      <w:r w:rsidR="003F3E1A" w:rsidRPr="00E11754">
        <w:rPr>
          <w:rFonts w:ascii="Times New Roman" w:hAnsi="Times New Roman" w:cs="Times New Roman"/>
          <w:sz w:val="24"/>
          <w:szCs w:val="24"/>
          <w:shd w:val="clear" w:color="auto" w:fill="FFFFFF"/>
        </w:rPr>
        <w:t>przewiduje się</w:t>
      </w:r>
      <w:r w:rsidR="006767A1" w:rsidRPr="00E11754">
        <w:rPr>
          <w:rFonts w:ascii="Times New Roman" w:hAnsi="Times New Roman" w:cs="Times New Roman"/>
          <w:sz w:val="24"/>
          <w:szCs w:val="24"/>
          <w:shd w:val="clear" w:color="auto" w:fill="FFFFFF"/>
        </w:rPr>
        <w:t xml:space="preserve">, że liczba nowych </w:t>
      </w:r>
      <w:proofErr w:type="spellStart"/>
      <w:r w:rsidR="00C91499" w:rsidRPr="00E11754">
        <w:rPr>
          <w:rFonts w:ascii="Times New Roman" w:hAnsi="Times New Roman" w:cs="Times New Roman"/>
          <w:sz w:val="24"/>
          <w:szCs w:val="24"/>
          <w:shd w:val="clear" w:color="auto" w:fill="FFFFFF"/>
        </w:rPr>
        <w:t>zachorowań</w:t>
      </w:r>
      <w:proofErr w:type="spellEnd"/>
      <w:r w:rsidR="006767A1" w:rsidRPr="00E11754">
        <w:rPr>
          <w:rFonts w:ascii="Times New Roman" w:hAnsi="Times New Roman" w:cs="Times New Roman"/>
          <w:sz w:val="24"/>
          <w:szCs w:val="24"/>
          <w:shd w:val="clear" w:color="auto" w:fill="FFFFFF"/>
        </w:rPr>
        <w:t xml:space="preserve"> wzro</w:t>
      </w:r>
      <w:r w:rsidR="00477EF4" w:rsidRPr="00E11754">
        <w:rPr>
          <w:rFonts w:ascii="Times New Roman" w:hAnsi="Times New Roman" w:cs="Times New Roman"/>
          <w:sz w:val="24"/>
          <w:szCs w:val="24"/>
          <w:shd w:val="clear" w:color="auto" w:fill="FFFFFF"/>
        </w:rPr>
        <w:t>śnie</w:t>
      </w:r>
      <w:r w:rsidR="006767A1" w:rsidRPr="00E11754">
        <w:rPr>
          <w:rFonts w:ascii="Times New Roman" w:hAnsi="Times New Roman" w:cs="Times New Roman"/>
          <w:sz w:val="24"/>
          <w:szCs w:val="24"/>
          <w:shd w:val="clear" w:color="auto" w:fill="FFFFFF"/>
        </w:rPr>
        <w:t xml:space="preserve"> </w:t>
      </w:r>
      <w:r w:rsidR="000F1C64" w:rsidRPr="00E11754">
        <w:rPr>
          <w:rFonts w:ascii="Times New Roman" w:hAnsi="Times New Roman" w:cs="Times New Roman"/>
          <w:sz w:val="24"/>
          <w:szCs w:val="24"/>
          <w:shd w:val="clear" w:color="auto" w:fill="FFFFFF"/>
        </w:rPr>
        <w:t xml:space="preserve">o </w:t>
      </w:r>
      <w:r w:rsidR="00477EF4" w:rsidRPr="00E11754">
        <w:rPr>
          <w:rFonts w:ascii="Times New Roman" w:hAnsi="Times New Roman" w:cs="Times New Roman"/>
          <w:sz w:val="24"/>
          <w:szCs w:val="24"/>
          <w:shd w:val="clear" w:color="auto" w:fill="FFFFFF"/>
        </w:rPr>
        <w:t xml:space="preserve">ok. </w:t>
      </w:r>
      <w:r w:rsidR="000F1C64" w:rsidRPr="00E11754">
        <w:rPr>
          <w:rFonts w:ascii="Times New Roman" w:hAnsi="Times New Roman" w:cs="Times New Roman"/>
          <w:sz w:val="24"/>
          <w:szCs w:val="24"/>
          <w:shd w:val="clear" w:color="auto" w:fill="FFFFFF"/>
        </w:rPr>
        <w:t xml:space="preserve">47 % tzn. </w:t>
      </w:r>
      <w:r w:rsidR="006767A1" w:rsidRPr="00E11754">
        <w:rPr>
          <w:rFonts w:ascii="Times New Roman" w:hAnsi="Times New Roman" w:cs="Times New Roman"/>
          <w:sz w:val="24"/>
          <w:szCs w:val="24"/>
          <w:shd w:val="clear" w:color="auto" w:fill="FFFFFF"/>
        </w:rPr>
        <w:t>do 28,4 mln</w:t>
      </w:r>
      <w:r w:rsidR="000F1C64" w:rsidRPr="00E11754">
        <w:rPr>
          <w:rFonts w:ascii="Times New Roman" w:hAnsi="Times New Roman" w:cs="Times New Roman"/>
          <w:sz w:val="24"/>
          <w:szCs w:val="24"/>
          <w:shd w:val="clear" w:color="auto" w:fill="FFFFFF"/>
        </w:rPr>
        <w:t xml:space="preserve"> w porównaniu do danych z 2020 roku</w:t>
      </w:r>
      <w:r w:rsidR="000F1C64" w:rsidRPr="00E11754">
        <w:rPr>
          <w:rFonts w:ascii="Times New Roman" w:hAnsi="Times New Roman" w:cs="Times New Roman"/>
          <w:color w:val="FF0000"/>
          <w:sz w:val="24"/>
          <w:szCs w:val="24"/>
          <w:shd w:val="clear" w:color="auto" w:fill="FFFFFF"/>
        </w:rPr>
        <w:t xml:space="preserve"> </w:t>
      </w:r>
      <w:r w:rsidR="00FA2186" w:rsidRPr="00E11754">
        <w:rPr>
          <w:rFonts w:ascii="Times New Roman" w:hAnsi="Times New Roman" w:cs="Times New Roman"/>
          <w:sz w:val="24"/>
          <w:szCs w:val="24"/>
        </w:rPr>
        <w:fldChar w:fldCharType="begin" w:fldLock="1"/>
      </w:r>
      <w:r w:rsidR="00E40827" w:rsidRPr="00E11754">
        <w:rPr>
          <w:rFonts w:ascii="Times New Roman" w:hAnsi="Times New Roman" w:cs="Times New Roman"/>
          <w:sz w:val="24"/>
          <w:szCs w:val="24"/>
        </w:rPr>
        <w:instrText>ADDIN CSL_CITATION {"citationItems":[{"id":"ITEM-1","itemData":{"DOI":"10.3322/caac.21660","ISSN":"0007-9235","PMID":"33538338","abstract":"This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author":[{"dropping-particle":"","family":"Sung","given":"Hyuna","non-dropping-particle":"","parse-names":false,"suffix":""},{"dropping-particle":"","family":"Ferlay","given":"Jacques","non-dropping-particle":"","parse-names":false,"suffix":""},{"dropping-particle":"","family":"Siegel","given":"Rebecca L.","non-dropping-particle":"","parse-names":false,"suffix":""},{"dropping-particle":"","family":"Laversanne","given":"Mathieu","non-dropping-particle":"","parse-names":false,"suffix":""},{"dropping-particle":"","family":"Soerjomataram","given":"Isabelle","non-dropping-particle":"","parse-names":false,"suffix":""},{"dropping-particle":"","family":"Jemal","given":"Ahmedin","non-dropping-particle":"","parse-names":false,"suffix":""},{"dropping-particle":"","family":"Bray","given":"Freddie","non-dropping-particle":"","parse-names":false,"suffix":""}],"container-title":"CA: A Cancer Journal for Clinicians","id":"ITEM-1","issue":"3","issued":{"date-parts":[["2021"]]},"page":"209-249","title":"Global Cancer Statistics 2020: GLOBOCAN Estimates of Incidence and Mortality Worldwide for 36 Cancers in 185 Countries","type":"article-journal","volume":"71"},"uris":["http://www.mendeley.com/documents/?uuid=028c0bc1-5243-4eb2-8ac2-87a6e2bcef69"]}],"mendeley":{"formattedCitation":"[2]","plainTextFormattedCitation":"[2]","previouslyFormattedCitation":"[2]"},"properties":{"noteIndex":0},"schema":"https://github.com/citation-style-language/schema/raw/master/csl-citation.json"}</w:instrText>
      </w:r>
      <w:r w:rsidR="00FA2186" w:rsidRPr="00E11754">
        <w:rPr>
          <w:rFonts w:ascii="Times New Roman" w:hAnsi="Times New Roman" w:cs="Times New Roman"/>
          <w:sz w:val="24"/>
          <w:szCs w:val="24"/>
        </w:rPr>
        <w:fldChar w:fldCharType="separate"/>
      </w:r>
      <w:r w:rsidR="0094018A" w:rsidRPr="00E11754">
        <w:rPr>
          <w:rFonts w:ascii="Times New Roman" w:hAnsi="Times New Roman" w:cs="Times New Roman"/>
          <w:noProof/>
          <w:sz w:val="24"/>
          <w:szCs w:val="24"/>
        </w:rPr>
        <w:t>[2]</w:t>
      </w:r>
      <w:r w:rsidR="00FA2186" w:rsidRPr="00E11754">
        <w:rPr>
          <w:rFonts w:ascii="Times New Roman" w:hAnsi="Times New Roman" w:cs="Times New Roman"/>
          <w:sz w:val="24"/>
          <w:szCs w:val="24"/>
        </w:rPr>
        <w:fldChar w:fldCharType="end"/>
      </w:r>
      <w:r w:rsidR="000F1C64" w:rsidRPr="00E11754">
        <w:rPr>
          <w:rFonts w:ascii="Times New Roman" w:hAnsi="Times New Roman" w:cs="Times New Roman"/>
          <w:sz w:val="24"/>
          <w:szCs w:val="24"/>
        </w:rPr>
        <w:t xml:space="preserve">. </w:t>
      </w:r>
      <w:r w:rsidR="004872DE" w:rsidRPr="00E11754">
        <w:rPr>
          <w:rFonts w:ascii="Times New Roman" w:hAnsi="Times New Roman" w:cs="Times New Roman"/>
          <w:sz w:val="24"/>
          <w:szCs w:val="24"/>
        </w:rPr>
        <w:t>Warto</w:t>
      </w:r>
      <w:r w:rsidR="00067BEB" w:rsidRPr="00E11754">
        <w:rPr>
          <w:rFonts w:ascii="Times New Roman" w:hAnsi="Times New Roman" w:cs="Times New Roman"/>
          <w:sz w:val="24"/>
          <w:szCs w:val="24"/>
        </w:rPr>
        <w:t xml:space="preserve"> </w:t>
      </w:r>
      <w:r w:rsidR="00DC71FB" w:rsidRPr="00E11754">
        <w:rPr>
          <w:rFonts w:ascii="Times New Roman" w:hAnsi="Times New Roman" w:cs="Times New Roman"/>
          <w:sz w:val="24"/>
          <w:szCs w:val="24"/>
        </w:rPr>
        <w:t xml:space="preserve">także </w:t>
      </w:r>
      <w:r w:rsidR="00067BEB" w:rsidRPr="00E11754">
        <w:rPr>
          <w:rFonts w:ascii="Times New Roman" w:hAnsi="Times New Roman" w:cs="Times New Roman"/>
          <w:sz w:val="24"/>
          <w:szCs w:val="24"/>
        </w:rPr>
        <w:t xml:space="preserve">zwrócić </w:t>
      </w:r>
      <w:r w:rsidR="00D938BF" w:rsidRPr="00E11754">
        <w:rPr>
          <w:rFonts w:ascii="Times New Roman" w:hAnsi="Times New Roman" w:cs="Times New Roman"/>
          <w:sz w:val="24"/>
          <w:szCs w:val="24"/>
        </w:rPr>
        <w:t>uwagę</w:t>
      </w:r>
      <w:r w:rsidR="00067BEB" w:rsidRPr="00E11754">
        <w:rPr>
          <w:rFonts w:ascii="Times New Roman" w:hAnsi="Times New Roman" w:cs="Times New Roman"/>
          <w:sz w:val="24"/>
          <w:szCs w:val="24"/>
        </w:rPr>
        <w:t xml:space="preserve"> na</w:t>
      </w:r>
      <w:r w:rsidR="00D027D9" w:rsidRPr="00E11754">
        <w:rPr>
          <w:rFonts w:ascii="Times New Roman" w:hAnsi="Times New Roman" w:cs="Times New Roman"/>
          <w:sz w:val="24"/>
          <w:szCs w:val="24"/>
        </w:rPr>
        <w:t xml:space="preserve"> to, że coraz częściej chorują dzieci w wieku 0-19 lat</w:t>
      </w:r>
      <w:r w:rsidR="003969B1" w:rsidRPr="00E11754">
        <w:rPr>
          <w:rFonts w:ascii="Times New Roman" w:hAnsi="Times New Roman" w:cs="Times New Roman"/>
          <w:sz w:val="24"/>
          <w:szCs w:val="24"/>
        </w:rPr>
        <w:t>,</w:t>
      </w:r>
      <w:r w:rsidR="004C6B08" w:rsidRPr="00E11754">
        <w:rPr>
          <w:rFonts w:ascii="Times New Roman" w:hAnsi="Times New Roman" w:cs="Times New Roman"/>
          <w:sz w:val="24"/>
          <w:szCs w:val="24"/>
        </w:rPr>
        <w:t xml:space="preserve"> przy czym ś</w:t>
      </w:r>
      <w:r w:rsidR="00642CC9" w:rsidRPr="00E11754">
        <w:rPr>
          <w:rFonts w:ascii="Times New Roman" w:hAnsi="Times New Roman" w:cs="Times New Roman"/>
          <w:sz w:val="24"/>
          <w:szCs w:val="24"/>
        </w:rPr>
        <w:t xml:space="preserve">miertelność w </w:t>
      </w:r>
      <w:r w:rsidR="007B528C" w:rsidRPr="00E11754">
        <w:rPr>
          <w:rFonts w:ascii="Times New Roman" w:hAnsi="Times New Roman" w:cs="Times New Roman"/>
          <w:sz w:val="24"/>
          <w:szCs w:val="24"/>
        </w:rPr>
        <w:t>tej grupie wiekowej maleje</w:t>
      </w:r>
      <w:r w:rsidR="00477EF4" w:rsidRPr="00E11754">
        <w:rPr>
          <w:rFonts w:ascii="Times New Roman" w:hAnsi="Times New Roman" w:cs="Times New Roman"/>
          <w:sz w:val="24"/>
          <w:szCs w:val="24"/>
        </w:rPr>
        <w:t>, chociaż nadal pozostaje na relatywnie wysokim poziomie</w:t>
      </w:r>
      <w:r w:rsidR="00B1161D" w:rsidRPr="00E11754">
        <w:rPr>
          <w:rFonts w:ascii="Times New Roman" w:hAnsi="Times New Roman" w:cs="Times New Roman"/>
          <w:sz w:val="24"/>
          <w:szCs w:val="24"/>
        </w:rPr>
        <w:t xml:space="preserve">. </w:t>
      </w:r>
      <w:r w:rsidR="006942C4" w:rsidRPr="00E11754">
        <w:rPr>
          <w:rFonts w:ascii="Times New Roman" w:hAnsi="Times New Roman" w:cs="Times New Roman"/>
          <w:sz w:val="24"/>
          <w:szCs w:val="24"/>
        </w:rPr>
        <w:t>W Polsce, w</w:t>
      </w:r>
      <w:r w:rsidR="00B1161D" w:rsidRPr="00E11754">
        <w:rPr>
          <w:rFonts w:ascii="Times New Roman" w:hAnsi="Times New Roman" w:cs="Times New Roman"/>
          <w:sz w:val="24"/>
          <w:szCs w:val="24"/>
        </w:rPr>
        <w:t xml:space="preserve"> 2020 r.</w:t>
      </w:r>
      <w:r w:rsidR="00194FA4" w:rsidRPr="00E11754">
        <w:rPr>
          <w:rFonts w:ascii="Times New Roman" w:hAnsi="Times New Roman" w:cs="Times New Roman"/>
          <w:sz w:val="24"/>
          <w:szCs w:val="24"/>
        </w:rPr>
        <w:t xml:space="preserve"> </w:t>
      </w:r>
      <w:r w:rsidR="007D2DA5" w:rsidRPr="00E11754">
        <w:rPr>
          <w:rFonts w:ascii="Times New Roman" w:hAnsi="Times New Roman" w:cs="Times New Roman"/>
          <w:sz w:val="24"/>
          <w:szCs w:val="24"/>
        </w:rPr>
        <w:t xml:space="preserve">chorobę nowotworową </w:t>
      </w:r>
      <w:r w:rsidR="00940FE8" w:rsidRPr="00E11754">
        <w:rPr>
          <w:rFonts w:ascii="Times New Roman" w:hAnsi="Times New Roman" w:cs="Times New Roman"/>
          <w:sz w:val="24"/>
          <w:szCs w:val="24"/>
        </w:rPr>
        <w:t>zdiagnozowano</w:t>
      </w:r>
      <w:r w:rsidR="005030A7" w:rsidRPr="00E11754">
        <w:rPr>
          <w:rFonts w:ascii="Times New Roman" w:hAnsi="Times New Roman" w:cs="Times New Roman"/>
          <w:sz w:val="24"/>
          <w:szCs w:val="24"/>
        </w:rPr>
        <w:t xml:space="preserve"> u</w:t>
      </w:r>
      <w:r w:rsidR="003969B1" w:rsidRPr="00E11754">
        <w:rPr>
          <w:rFonts w:ascii="Times New Roman" w:hAnsi="Times New Roman" w:cs="Times New Roman"/>
          <w:sz w:val="24"/>
          <w:szCs w:val="24"/>
        </w:rPr>
        <w:t xml:space="preserve"> 1082 </w:t>
      </w:r>
      <w:r w:rsidR="005030A7" w:rsidRPr="00E11754">
        <w:rPr>
          <w:rFonts w:ascii="Times New Roman" w:hAnsi="Times New Roman" w:cs="Times New Roman"/>
          <w:sz w:val="24"/>
          <w:szCs w:val="24"/>
        </w:rPr>
        <w:t xml:space="preserve">dzieci a </w:t>
      </w:r>
      <w:r w:rsidR="004C6B08" w:rsidRPr="00E11754">
        <w:rPr>
          <w:rFonts w:ascii="Times New Roman" w:hAnsi="Times New Roman" w:cs="Times New Roman"/>
          <w:sz w:val="24"/>
          <w:szCs w:val="24"/>
        </w:rPr>
        <w:t>191</w:t>
      </w:r>
      <w:r w:rsidR="005030A7" w:rsidRPr="00E11754">
        <w:rPr>
          <w:rFonts w:ascii="Times New Roman" w:hAnsi="Times New Roman" w:cs="Times New Roman"/>
          <w:sz w:val="24"/>
          <w:szCs w:val="24"/>
        </w:rPr>
        <w:t xml:space="preserve"> z nich zmarło</w:t>
      </w:r>
      <w:r w:rsidR="004C6B08" w:rsidRPr="00E11754">
        <w:rPr>
          <w:rFonts w:ascii="Times New Roman" w:hAnsi="Times New Roman" w:cs="Times New Roman"/>
          <w:sz w:val="24"/>
          <w:szCs w:val="24"/>
        </w:rPr>
        <w:t xml:space="preserve"> </w:t>
      </w:r>
      <w:r w:rsidR="000D7ADC" w:rsidRPr="00E11754">
        <w:rPr>
          <w:rFonts w:ascii="Times New Roman" w:hAnsi="Times New Roman" w:cs="Times New Roman"/>
          <w:sz w:val="24"/>
          <w:szCs w:val="24"/>
        </w:rPr>
        <w:fldChar w:fldCharType="begin" w:fldLock="1"/>
      </w:r>
      <w:r w:rsidR="003621E2">
        <w:rPr>
          <w:rFonts w:ascii="Times New Roman" w:hAnsi="Times New Roman" w:cs="Times New Roman"/>
          <w:sz w:val="24"/>
          <w:szCs w:val="24"/>
        </w:rPr>
        <w:instrText>ADDIN CSL_CITATION {"citationItems":[{"id":"ITEM-1","itemData":{"author":[{"dropping-particle":"","family":"Wojciechowska U., Barańska K., Michałek I.","given":"Olasek P.","non-dropping-particle":"","parse-names":false,"suffix":""},{"dropping-particle":"","family":"M.","given":"Miklewska","non-dropping-particle":"","parse-names":false,"suffix":""}],"container-title":"Narodowy Instytut Onkologii im. Marii Skłodowskiej-Curie Państwowy Instytut Badawczy, Krajowy rejestr nowotworów","id":"ITEM-1","issued":{"date-parts":[["2022"]]},"page":"5-90","title":", Didkowska J. A.: Nowotwory złośliwe w Polsce w 2020 roku, Narodowy Instytut Onkologii im. Marii Skłodowskiej-Curie Państwowy Instytut Badawczy, Krajowy rejestr nowotworów, 2022, 5-90","type":"article-journal"},"uris":["http://www.mendeley.com/documents/?uuid=26047aad-8b50-47f2-8288-62820418eb13"]}],"mendeley":{"formattedCitation":"[3]","plainTextFormattedCitation":"[3]","previouslyFormattedCitation":"[3]"},"properties":{"noteIndex":0},"schema":"https://github.com/citation-style-language/schema/raw/master/csl-citation.json"}</w:instrText>
      </w:r>
      <w:r w:rsidR="000D7ADC" w:rsidRPr="00E11754">
        <w:rPr>
          <w:rFonts w:ascii="Times New Roman" w:hAnsi="Times New Roman" w:cs="Times New Roman"/>
          <w:sz w:val="24"/>
          <w:szCs w:val="24"/>
        </w:rPr>
        <w:fldChar w:fldCharType="separate"/>
      </w:r>
      <w:r w:rsidR="0094018A" w:rsidRPr="00E11754">
        <w:rPr>
          <w:rFonts w:ascii="Times New Roman" w:hAnsi="Times New Roman" w:cs="Times New Roman"/>
          <w:noProof/>
          <w:sz w:val="24"/>
          <w:szCs w:val="24"/>
        </w:rPr>
        <w:t>[3]</w:t>
      </w:r>
      <w:r w:rsidR="000D7ADC" w:rsidRPr="00E11754">
        <w:rPr>
          <w:rFonts w:ascii="Times New Roman" w:hAnsi="Times New Roman" w:cs="Times New Roman"/>
          <w:sz w:val="24"/>
          <w:szCs w:val="24"/>
        </w:rPr>
        <w:fldChar w:fldCharType="end"/>
      </w:r>
      <w:r w:rsidR="00426BC9" w:rsidRPr="00E11754">
        <w:rPr>
          <w:rFonts w:ascii="Times New Roman" w:hAnsi="Times New Roman" w:cs="Times New Roman"/>
          <w:sz w:val="24"/>
          <w:szCs w:val="24"/>
        </w:rPr>
        <w:t>.</w:t>
      </w:r>
      <w:r w:rsidR="001D1B8E" w:rsidRPr="00E11754">
        <w:rPr>
          <w:rFonts w:ascii="Times New Roman" w:hAnsi="Times New Roman" w:cs="Times New Roman"/>
          <w:sz w:val="24"/>
          <w:szCs w:val="24"/>
        </w:rPr>
        <w:t xml:space="preserve"> </w:t>
      </w:r>
      <w:r w:rsidR="00422ACF" w:rsidRPr="00E11754">
        <w:rPr>
          <w:rFonts w:ascii="Times New Roman" w:hAnsi="Times New Roman" w:cs="Times New Roman"/>
          <w:sz w:val="24"/>
          <w:szCs w:val="24"/>
        </w:rPr>
        <w:t>W</w:t>
      </w:r>
      <w:r w:rsidR="00723DAA" w:rsidRPr="00E11754">
        <w:rPr>
          <w:rFonts w:ascii="Times New Roman" w:hAnsi="Times New Roman" w:cs="Times New Roman"/>
          <w:sz w:val="24"/>
          <w:szCs w:val="24"/>
        </w:rPr>
        <w:t xml:space="preserve"> tej grupie wiekowej,</w:t>
      </w:r>
      <w:r w:rsidR="00422ACF" w:rsidRPr="00E11754">
        <w:rPr>
          <w:rFonts w:ascii="Times New Roman" w:hAnsi="Times New Roman" w:cs="Times New Roman"/>
          <w:sz w:val="24"/>
          <w:szCs w:val="24"/>
        </w:rPr>
        <w:t xml:space="preserve"> najczęściej raportowanymi przypadk</w:t>
      </w:r>
      <w:r w:rsidR="00E82FD3" w:rsidRPr="00E11754">
        <w:rPr>
          <w:rFonts w:ascii="Times New Roman" w:hAnsi="Times New Roman" w:cs="Times New Roman"/>
          <w:sz w:val="24"/>
          <w:szCs w:val="24"/>
        </w:rPr>
        <w:t>ami</w:t>
      </w:r>
      <w:r w:rsidR="00422ACF" w:rsidRPr="00E11754">
        <w:rPr>
          <w:rFonts w:ascii="Times New Roman" w:hAnsi="Times New Roman" w:cs="Times New Roman"/>
          <w:color w:val="FF0000"/>
          <w:sz w:val="24"/>
          <w:szCs w:val="24"/>
        </w:rPr>
        <w:t xml:space="preserve"> </w:t>
      </w:r>
      <w:r w:rsidR="00422ACF" w:rsidRPr="00E11754">
        <w:rPr>
          <w:rFonts w:ascii="Times New Roman" w:hAnsi="Times New Roman" w:cs="Times New Roman"/>
          <w:sz w:val="24"/>
          <w:szCs w:val="24"/>
        </w:rPr>
        <w:t xml:space="preserve">nowotworów są: białaczka, </w:t>
      </w:r>
      <w:proofErr w:type="spellStart"/>
      <w:r w:rsidR="00422ACF" w:rsidRPr="00E11754">
        <w:rPr>
          <w:rFonts w:ascii="Times New Roman" w:hAnsi="Times New Roman" w:cs="Times New Roman"/>
          <w:sz w:val="24"/>
          <w:szCs w:val="24"/>
        </w:rPr>
        <w:t>chłoniaki</w:t>
      </w:r>
      <w:proofErr w:type="spellEnd"/>
      <w:r w:rsidR="00422ACF" w:rsidRPr="00E11754">
        <w:rPr>
          <w:rFonts w:ascii="Times New Roman" w:hAnsi="Times New Roman" w:cs="Times New Roman"/>
          <w:sz w:val="24"/>
          <w:szCs w:val="24"/>
        </w:rPr>
        <w:t xml:space="preserve"> oraz guzy mózgu [2], </w:t>
      </w:r>
      <w:r w:rsidR="00417E50" w:rsidRPr="00E11754">
        <w:rPr>
          <w:rFonts w:ascii="Times New Roman" w:hAnsi="Times New Roman" w:cs="Times New Roman"/>
          <w:sz w:val="24"/>
          <w:szCs w:val="24"/>
        </w:rPr>
        <w:fldChar w:fldCharType="begin" w:fldLock="1"/>
      </w:r>
      <w:r w:rsidR="00010CE9" w:rsidRPr="00E11754">
        <w:rPr>
          <w:rFonts w:ascii="Times New Roman" w:hAnsi="Times New Roman" w:cs="Times New Roman"/>
          <w:sz w:val="24"/>
          <w:szCs w:val="24"/>
        </w:rPr>
        <w:instrText>ADDIN CSL_CITATION {"citationItems":[{"id":"ITEM-1","itemData":{"ISBN":"9789240051140","author":[{"dropping-particle":"","family":"WHO","given":"","non-dropping-particle":"","parse-names":false,"suffix":""}],"id":"ITEM-1","issued":{"date-parts":[["2022"]]},"number-of-pages":"125","title":"World Health Statistics 2022. Monitoring health for the SDGs Sustainable Development Goals","type":"book"},"uris":["http://www.mendeley.com/documents/?uuid=9610e20c-93e7-403a-aaed-a6743684ce97"]}],"mendeley":{"formattedCitation":"[4]","plainTextFormattedCitation":"[4]","previouslyFormattedCitation":"[4]"},"properties":{"noteIndex":0},"schema":"https://github.com/citation-style-language/schema/raw/master/csl-citation.json"}</w:instrText>
      </w:r>
      <w:r w:rsidR="00417E50" w:rsidRPr="00E11754">
        <w:rPr>
          <w:rFonts w:ascii="Times New Roman" w:hAnsi="Times New Roman" w:cs="Times New Roman"/>
          <w:sz w:val="24"/>
          <w:szCs w:val="24"/>
        </w:rPr>
        <w:fldChar w:fldCharType="separate"/>
      </w:r>
      <w:r w:rsidR="00417E50" w:rsidRPr="00E11754">
        <w:rPr>
          <w:rFonts w:ascii="Times New Roman" w:hAnsi="Times New Roman" w:cs="Times New Roman"/>
          <w:noProof/>
          <w:sz w:val="24"/>
          <w:szCs w:val="24"/>
        </w:rPr>
        <w:t>[4]</w:t>
      </w:r>
      <w:r w:rsidR="00417E50" w:rsidRPr="00E11754">
        <w:rPr>
          <w:rFonts w:ascii="Times New Roman" w:hAnsi="Times New Roman" w:cs="Times New Roman"/>
          <w:sz w:val="24"/>
          <w:szCs w:val="24"/>
        </w:rPr>
        <w:fldChar w:fldCharType="end"/>
      </w:r>
      <w:r w:rsidR="00422ACF" w:rsidRPr="00E11754">
        <w:rPr>
          <w:rFonts w:ascii="Times New Roman" w:hAnsi="Times New Roman" w:cs="Times New Roman"/>
          <w:sz w:val="24"/>
          <w:szCs w:val="24"/>
        </w:rPr>
        <w:t>.</w:t>
      </w:r>
      <w:r w:rsidR="0071429C" w:rsidRPr="00E11754">
        <w:rPr>
          <w:rFonts w:ascii="Times New Roman" w:hAnsi="Times New Roman" w:cs="Times New Roman"/>
          <w:sz w:val="24"/>
          <w:szCs w:val="24"/>
        </w:rPr>
        <w:t xml:space="preserve"> </w:t>
      </w:r>
      <w:r w:rsidR="00867834" w:rsidRPr="00E11754">
        <w:rPr>
          <w:rFonts w:ascii="Times New Roman" w:hAnsi="Times New Roman" w:cs="Times New Roman"/>
          <w:sz w:val="24"/>
          <w:szCs w:val="24"/>
        </w:rPr>
        <w:t>W wyniku tak znacznego wzrostu liczby</w:t>
      </w:r>
      <w:r w:rsidR="00867834" w:rsidRPr="00E11754">
        <w:rPr>
          <w:rFonts w:ascii="Times New Roman" w:hAnsi="Times New Roman" w:cs="Times New Roman"/>
          <w:sz w:val="24"/>
          <w:szCs w:val="24"/>
          <w:shd w:val="clear" w:color="auto" w:fill="FFFFFF"/>
        </w:rPr>
        <w:t xml:space="preserve"> </w:t>
      </w:r>
      <w:proofErr w:type="spellStart"/>
      <w:r w:rsidR="00867834" w:rsidRPr="00E11754">
        <w:rPr>
          <w:rFonts w:ascii="Times New Roman" w:hAnsi="Times New Roman" w:cs="Times New Roman"/>
          <w:sz w:val="24"/>
          <w:szCs w:val="24"/>
          <w:shd w:val="clear" w:color="auto" w:fill="FFFFFF"/>
        </w:rPr>
        <w:t>zachorowań</w:t>
      </w:r>
      <w:proofErr w:type="spellEnd"/>
      <w:r w:rsidR="00867834" w:rsidRPr="00E11754">
        <w:rPr>
          <w:rFonts w:ascii="Times New Roman" w:hAnsi="Times New Roman" w:cs="Times New Roman"/>
          <w:sz w:val="24"/>
          <w:szCs w:val="24"/>
          <w:shd w:val="clear" w:color="auto" w:fill="FFFFFF"/>
        </w:rPr>
        <w:t xml:space="preserve">, </w:t>
      </w:r>
      <w:r w:rsidR="00477EF4" w:rsidRPr="00E11754">
        <w:rPr>
          <w:rFonts w:ascii="Times New Roman" w:hAnsi="Times New Roman" w:cs="Times New Roman"/>
          <w:sz w:val="24"/>
          <w:szCs w:val="24"/>
          <w:shd w:val="clear" w:color="auto" w:fill="FFFFFF"/>
        </w:rPr>
        <w:t>zarówno wśród dorosłych jak i dzieci, konieczne jest podjęcie wszelkich</w:t>
      </w:r>
      <w:r w:rsidR="00867834" w:rsidRPr="00E11754">
        <w:rPr>
          <w:rFonts w:ascii="Times New Roman" w:hAnsi="Times New Roman" w:cs="Times New Roman"/>
          <w:sz w:val="24"/>
          <w:szCs w:val="24"/>
          <w:shd w:val="clear" w:color="auto" w:fill="FFFFFF"/>
        </w:rPr>
        <w:t xml:space="preserve"> działań, </w:t>
      </w:r>
      <w:r w:rsidR="13A8E3F4" w:rsidRPr="00E11754">
        <w:rPr>
          <w:rFonts w:ascii="Times New Roman" w:hAnsi="Times New Roman" w:cs="Times New Roman"/>
          <w:sz w:val="24"/>
          <w:szCs w:val="24"/>
        </w:rPr>
        <w:t>aby rozprzestrzenianie</w:t>
      </w:r>
      <w:r w:rsidR="00723DAA" w:rsidRPr="00E11754">
        <w:rPr>
          <w:rFonts w:ascii="Times New Roman" w:hAnsi="Times New Roman" w:cs="Times New Roman"/>
          <w:sz w:val="24"/>
          <w:szCs w:val="24"/>
          <w:shd w:val="clear" w:color="auto" w:fill="FFFFFF"/>
        </w:rPr>
        <w:t xml:space="preserve"> się</w:t>
      </w:r>
      <w:r w:rsidR="006942C4" w:rsidRPr="00E11754">
        <w:rPr>
          <w:rFonts w:ascii="Times New Roman" w:hAnsi="Times New Roman" w:cs="Times New Roman"/>
          <w:sz w:val="24"/>
          <w:szCs w:val="24"/>
          <w:shd w:val="clear" w:color="auto" w:fill="FFFFFF"/>
        </w:rPr>
        <w:t xml:space="preserve"> </w:t>
      </w:r>
      <w:r w:rsidR="00867834" w:rsidRPr="00E11754">
        <w:rPr>
          <w:rFonts w:ascii="Times New Roman" w:hAnsi="Times New Roman" w:cs="Times New Roman"/>
          <w:sz w:val="24"/>
          <w:szCs w:val="24"/>
          <w:shd w:val="clear" w:color="auto" w:fill="FFFFFF"/>
        </w:rPr>
        <w:t>nowotworów zostało zatrzymane</w:t>
      </w:r>
      <w:r w:rsidR="006229C0" w:rsidRPr="00E11754">
        <w:rPr>
          <w:rFonts w:ascii="Times New Roman" w:hAnsi="Times New Roman" w:cs="Times New Roman"/>
          <w:sz w:val="24"/>
          <w:szCs w:val="24"/>
        </w:rPr>
        <w:t xml:space="preserve">, ponieważ stanowią </w:t>
      </w:r>
      <w:r w:rsidR="00015148" w:rsidRPr="00E11754">
        <w:rPr>
          <w:rFonts w:ascii="Times New Roman" w:hAnsi="Times New Roman" w:cs="Times New Roman"/>
          <w:sz w:val="24"/>
          <w:szCs w:val="24"/>
        </w:rPr>
        <w:t xml:space="preserve">nie tylko problem zdrowotny, ale również społeczno-ekonomiczny. Według najnowszych szacunków w ciągu najbliższych 30 lat globalny koszt leczenia nowotworów będzie wynosił około 25 bilionów dolarów </w:t>
      </w:r>
      <w:r w:rsidR="00015148" w:rsidRPr="00E11754">
        <w:rPr>
          <w:rFonts w:ascii="Times New Roman" w:hAnsi="Times New Roman" w:cs="Times New Roman"/>
          <w:sz w:val="24"/>
          <w:szCs w:val="24"/>
        </w:rPr>
        <w:fldChar w:fldCharType="begin" w:fldLock="1"/>
      </w:r>
      <w:r w:rsidR="00010CE9" w:rsidRPr="00E11754">
        <w:rPr>
          <w:rFonts w:ascii="Times New Roman" w:hAnsi="Times New Roman" w:cs="Times New Roman"/>
          <w:sz w:val="24"/>
          <w:szCs w:val="24"/>
        </w:rPr>
        <w:instrText>ADDIN CSL_CITATION {"citationItems":[{"id":"ITEM-1","itemData":{"DOI":"10.1001/jamaoncol.2022.7826","ISSN":"2374-2437","PMID":"36821107","abstract":"IMPORTANCE Cancers are a leading cause of mortality, accounting for nearly 10 million annual deaths worldwide, or 1 in 6 deaths. Cancers also negatively affect countries' economic growth. However, the global economic cost of cancers and its worldwide distribution have yet to be studied. OBJECTIVE To estimate and project the economic cost of 29 cancers in 204 countries and territories. DESIGN, SETTING, AND PARTICIPANTS A decision analytical model that incorporates economic feedback in assessing health outcomes associated with the labor force and investment. A macroeconomic model was used to account for (1) the association of cancer-related mortality and morbidity with labor supply; (2) age-sex-specific differences in education, experience, and labor market participation of those who are affected by cancers; and (3) the diversion of cancer treatment expenses from savings and investments. Data were collected on April 25, 2022. MAIN OUTCOMES AND MEASURES Economic cost of 29 cancers across countries and territories. Costs are presented in international dollars at constant 2017 prices. RESULTS The estimated global economic cost of cancers from 2020 to 2050 is $25.2 trillion in international dollars (at constant 2017 prices), equivalent to an annual tax of 0.55% on global gross domestic product. The 5 cancers with the highest economic costs are tracheal, bronchus, and lung cancer (15.4%); colon and rectum cancer (10.9%); breast cancer (7.7%); liver cancer (6.5%); and leukemia (6.3%). China and the US face the largest economic costs of cancers in absolute terms, accounting for 24.1% and 20.8% of the total global burden, respectively. Although 75.1% of cancer deaths occur in low- and middle-income countries, their share of the economic cost of cancers is lower at 49.5%. The relative contribution of treatment costs to the total economic cost of cancers is greater in high-income countries than in low-income countries. CONCLUSIONS AND RELEVANCE In this decision analytical modeling study, the macroeconomic cost of cancers was found to be substantial and distributed heterogeneously across cancer types, countries, and world regions. The findings suggest that global efforts to curb the ongoing burden of cancers are warranted.","author":[{"dropping-particle":"","family":"Chen","given":"Simiao","non-dropping-particle":"","parse-names":false,"suffix":""},{"dropping-particle":"","family":"Cao","given":"Zhong","non-dropping-particle":"","parse-names":false,"suffix":""},{"dropping-particle":"","family":"Prettner","given":"Klaus","non-dropping-particle":"","parse-names":false,"suffix":""},{"dropping-particle":"","family":"Kuhn","given":"Michael","non-dropping-particle":"","parse-names":false,"suffix":""},{"dropping-particle":"","family":"Yang","given":"Juntao","non-dropping-particle":"","parse-names":false,"suffix":""},{"dropping-particle":"","family":"Jiao","given":"Lirui","non-dropping-particle":"","parse-names":false,"suffix":""},{"dropping-particle":"","family":"Wang","given":"Zhuoran","non-dropping-particle":"","parse-names":false,"suffix":""},{"dropping-particle":"","family":"Li","given":"Weimin","non-dropping-particle":"","parse-names":false,"suffix":""},{"dropping-particle":"","family":"Geldsetzer","given":"Pascal","non-dropping-particle":"","parse-names":false,"suffix":""},{"dropping-particle":"","family":"Bärnighausen","given":"Till","non-dropping-particle":"","parse-names":false,"suffix":""},{"dropping-particle":"","family":"Bloom","given":"David E.","non-dropping-particle":"","parse-names":false,"suffix":""},{"dropping-particle":"","family":"Wang","given":"Chen","non-dropping-particle":"","parse-names":false,"suffix":""}],"container-title":"JAMA Oncology","id":"ITEM-1","issued":{"date-parts":[["2023"]]},"page":"1-9","title":"Estimates and Projections of the Global Economic Cost of 29 Cancers in 204 Countries and Territories From 2020 to 2050","type":"article-journal"},"uris":["http://www.mendeley.com/documents/?uuid=9a15888a-faf3-4ade-af21-d963d2bfeb3d"]}],"mendeley":{"formattedCitation":"[5]","plainTextFormattedCitation":"[5]","previouslyFormattedCitation":"[5]"},"properties":{"noteIndex":0},"schema":"https://github.com/citation-style-language/schema/raw/master/csl-citation.json"}</w:instrText>
      </w:r>
      <w:r w:rsidR="00015148" w:rsidRPr="00E11754">
        <w:rPr>
          <w:rFonts w:ascii="Times New Roman" w:hAnsi="Times New Roman" w:cs="Times New Roman"/>
          <w:sz w:val="24"/>
          <w:szCs w:val="24"/>
        </w:rPr>
        <w:fldChar w:fldCharType="separate"/>
      </w:r>
      <w:r w:rsidR="00417E50" w:rsidRPr="00E11754">
        <w:rPr>
          <w:rFonts w:ascii="Times New Roman" w:hAnsi="Times New Roman" w:cs="Times New Roman"/>
          <w:noProof/>
          <w:sz w:val="24"/>
          <w:szCs w:val="24"/>
        </w:rPr>
        <w:t>[5]</w:t>
      </w:r>
      <w:r w:rsidR="00015148" w:rsidRPr="00E11754">
        <w:rPr>
          <w:rFonts w:ascii="Times New Roman" w:hAnsi="Times New Roman" w:cs="Times New Roman"/>
          <w:sz w:val="24"/>
          <w:szCs w:val="24"/>
        </w:rPr>
        <w:fldChar w:fldCharType="end"/>
      </w:r>
      <w:r w:rsidR="00015148" w:rsidRPr="00E11754">
        <w:rPr>
          <w:rFonts w:ascii="Times New Roman" w:hAnsi="Times New Roman" w:cs="Times New Roman"/>
          <w:sz w:val="24"/>
          <w:szCs w:val="24"/>
        </w:rPr>
        <w:t>. Do głównych czynników takiego stanu rzeczy należy wzrost populacji oraz starzejące się społeczeństwo, jak również inne czynniki ryzyka tj. nadużywanie alkoholu, nieprawidłowe żywienie, palenie tytoniu, ekspozycja na słońce, brak aktywności fizycznej</w:t>
      </w:r>
      <w:r w:rsidR="005B445D" w:rsidRPr="00E11754">
        <w:rPr>
          <w:rFonts w:ascii="Times New Roman" w:hAnsi="Times New Roman" w:cs="Times New Roman"/>
          <w:sz w:val="24"/>
          <w:szCs w:val="24"/>
        </w:rPr>
        <w:t xml:space="preserve"> </w:t>
      </w:r>
      <w:r w:rsidR="005B445D" w:rsidRPr="00E11754">
        <w:rPr>
          <w:rFonts w:ascii="Times New Roman" w:hAnsi="Times New Roman" w:cs="Times New Roman"/>
          <w:sz w:val="24"/>
          <w:szCs w:val="24"/>
        </w:rPr>
        <w:fldChar w:fldCharType="begin" w:fldLock="1"/>
      </w:r>
      <w:r w:rsidR="005949C8" w:rsidRPr="00E11754">
        <w:rPr>
          <w:rFonts w:ascii="Times New Roman" w:hAnsi="Times New Roman" w:cs="Times New Roman"/>
          <w:sz w:val="24"/>
          <w:szCs w:val="24"/>
        </w:rPr>
        <w:instrText>ADDIN CSL_CITATION {"citationItems":[{"id":"ITEM-1","itemData":{"DOI":"10.1007/s11095-008-9661-9","ISSN":"1573904X","PMID":"18626751","abstract":"This year, more than 1 million Americans and more than 10 million people worldwide are expected to be diagnosed with cancer, a disease commonly believed to be preventable. Only 5-10% of all cancer cases can be attributed to genetic defects, whereas the remaining 90-95% have their roots in the environment and lifestyle. The lifestyle factors include cigarette smoking, diet (fried foods, red meat), alcohol, sun exposure, environmental pollutants, infections, stress, obesity, and physical inactivity. The evidence indicates that of all cancer-related deaths, almost 25-30% are due to tobacco, as many as 30-35% are linked to diet, about 15-20% are due to infections, and the remaining percentage are due to other factors like radiation, stress, physical activity, environmental pollutants etc. Therefore, cancer prevention requires smoking cessation, increased ingestion of fruits and vegetables, moderate use of alcohol, caloric restriction, exercise, avoidance of direct exposure to sunlight, minimal meat consumption, use of whole grains, use of vaccinations, and regular check-ups. In this review, we present evidence that inflammation is the link between the agents/factors that cause cancer and the agents that prevent it. In addition, we provide evidence that cancer is a preventable disease that requires major lifestyle changes. © 2008 Springer Science + Business Media, LLC.","author":[{"dropping-particle":"","family":"Anand","given":"Preetha","non-dropping-particle":"","parse-names":false,"suffix":""},{"dropping-particle":"","family":"Kunnumakara","given":"Ajaikumar B.","non-dropping-particle":"","parse-names":false,"suffix":""},{"dropping-particle":"","family":"Sundaram","given":"Chitra","non-dropping-particle":"","parse-names":false,"suffix":""},{"dropping-particle":"","family":"Harikumar","given":"Kuzhuvelil B.","non-dropping-particle":"","parse-names":false,"suffix":""},{"dropping-particle":"","family":"Tharakan","given":"Sheeja T.","non-dropping-particle":"","parse-names":false,"suffix":""},{"dropping-particle":"","family":"Lai","given":"Oiki S.","non-dropping-particle":"","parse-names":false,"suffix":""},{"dropping-particle":"","family":"Sung","given":"Bokyung","non-dropping-particle":"","parse-names":false,"suffix":""},{"dropping-particle":"","family":"Aggarwal","given":"Bharat B.","non-dropping-particle":"","parse-names":false,"suffix":""}],"container-title":"Pharmaceutical Research","id":"ITEM-1","issue":"9","issued":{"date-parts":[["2008"]]},"page":"2097-2116","title":"Cancer is a preventable disease that requires major lifestyle changes","type":"article-journal","volume":"25"},"uris":["http://www.mendeley.com/documents/?uuid=125f48aa-3897-4e18-a04b-2357f6530740"]}],"mendeley":{"formattedCitation":"[6]","plainTextFormattedCitation":"[6]","previouslyFormattedCitation":"[6]"},"properties":{"noteIndex":0},"schema":"https://github.com/citation-style-language/schema/raw/master/csl-citation.json"}</w:instrText>
      </w:r>
      <w:r w:rsidR="005B445D" w:rsidRPr="00E11754">
        <w:rPr>
          <w:rFonts w:ascii="Times New Roman" w:hAnsi="Times New Roman" w:cs="Times New Roman"/>
          <w:sz w:val="24"/>
          <w:szCs w:val="24"/>
        </w:rPr>
        <w:fldChar w:fldCharType="separate"/>
      </w:r>
      <w:r w:rsidR="005B445D" w:rsidRPr="00E11754">
        <w:rPr>
          <w:rFonts w:ascii="Times New Roman" w:hAnsi="Times New Roman" w:cs="Times New Roman"/>
          <w:noProof/>
          <w:sz w:val="24"/>
          <w:szCs w:val="24"/>
        </w:rPr>
        <w:t>[6]</w:t>
      </w:r>
      <w:r w:rsidR="005B445D" w:rsidRPr="00E11754">
        <w:rPr>
          <w:rFonts w:ascii="Times New Roman" w:hAnsi="Times New Roman" w:cs="Times New Roman"/>
          <w:sz w:val="24"/>
          <w:szCs w:val="24"/>
        </w:rPr>
        <w:fldChar w:fldCharType="end"/>
      </w:r>
      <w:r w:rsidR="00015148" w:rsidRPr="00E11754">
        <w:rPr>
          <w:rFonts w:ascii="Times New Roman" w:hAnsi="Times New Roman" w:cs="Times New Roman"/>
          <w:sz w:val="24"/>
          <w:szCs w:val="24"/>
        </w:rPr>
        <w:t xml:space="preserve">. Warto przypomnieć tutaj znane słowa Hipokratesa – „lepiej zapobiegać niż leczyć”. W przypadku nowotworów </w:t>
      </w:r>
      <w:r w:rsidR="00422ACF" w:rsidRPr="00E11754">
        <w:rPr>
          <w:rFonts w:ascii="Times New Roman" w:hAnsi="Times New Roman" w:cs="Times New Roman"/>
          <w:sz w:val="24"/>
          <w:szCs w:val="24"/>
        </w:rPr>
        <w:t>jest to</w:t>
      </w:r>
      <w:r w:rsidR="00015148" w:rsidRPr="00E11754">
        <w:rPr>
          <w:rFonts w:ascii="Times New Roman" w:hAnsi="Times New Roman" w:cs="Times New Roman"/>
          <w:sz w:val="24"/>
          <w:szCs w:val="24"/>
        </w:rPr>
        <w:t xml:space="preserve"> szczególnie istotne,</w:t>
      </w:r>
      <w:r w:rsidR="009B5B32" w:rsidRPr="00E11754">
        <w:rPr>
          <w:rFonts w:ascii="Times New Roman" w:hAnsi="Times New Roman" w:cs="Times New Roman"/>
          <w:sz w:val="24"/>
          <w:szCs w:val="24"/>
        </w:rPr>
        <w:t xml:space="preserve"> gdyż</w:t>
      </w:r>
      <w:r w:rsidR="00A86185" w:rsidRPr="00E11754">
        <w:rPr>
          <w:rFonts w:ascii="Times New Roman" w:hAnsi="Times New Roman" w:cs="Times New Roman"/>
          <w:sz w:val="24"/>
          <w:szCs w:val="24"/>
        </w:rPr>
        <w:t xml:space="preserve"> </w:t>
      </w:r>
      <w:r w:rsidR="00015148" w:rsidRPr="00E11754">
        <w:rPr>
          <w:rFonts w:ascii="Times New Roman" w:hAnsi="Times New Roman" w:cs="Times New Roman"/>
          <w:sz w:val="24"/>
          <w:szCs w:val="24"/>
        </w:rPr>
        <w:t>część</w:t>
      </w:r>
      <w:r w:rsidR="00475FFB" w:rsidRPr="00E11754">
        <w:rPr>
          <w:rFonts w:ascii="Times New Roman" w:hAnsi="Times New Roman" w:cs="Times New Roman"/>
          <w:sz w:val="24"/>
          <w:szCs w:val="24"/>
        </w:rPr>
        <w:t xml:space="preserve"> </w:t>
      </w:r>
      <w:r w:rsidR="00427A82" w:rsidRPr="00E11754">
        <w:rPr>
          <w:rFonts w:ascii="Times New Roman" w:hAnsi="Times New Roman" w:cs="Times New Roman"/>
          <w:sz w:val="24"/>
          <w:szCs w:val="24"/>
        </w:rPr>
        <w:t>z nich</w:t>
      </w:r>
      <w:r w:rsidR="003351BA" w:rsidRPr="00E11754">
        <w:rPr>
          <w:rFonts w:ascii="Times New Roman" w:hAnsi="Times New Roman" w:cs="Times New Roman"/>
          <w:sz w:val="24"/>
          <w:szCs w:val="24"/>
        </w:rPr>
        <w:t xml:space="preserve"> ma związek z czynnikami zewnętrznymi</w:t>
      </w:r>
      <w:r w:rsidR="008D3887" w:rsidRPr="00E11754">
        <w:rPr>
          <w:rFonts w:ascii="Times New Roman" w:hAnsi="Times New Roman" w:cs="Times New Roman"/>
          <w:sz w:val="24"/>
          <w:szCs w:val="24"/>
        </w:rPr>
        <w:t>, np. zanieczyszczeniem powietrza</w:t>
      </w:r>
      <w:r w:rsidR="003351BA" w:rsidRPr="00E11754">
        <w:rPr>
          <w:rFonts w:ascii="Times New Roman" w:hAnsi="Times New Roman" w:cs="Times New Roman"/>
          <w:sz w:val="24"/>
          <w:szCs w:val="24"/>
        </w:rPr>
        <w:t xml:space="preserve">, </w:t>
      </w:r>
      <w:r w:rsidR="009E4FCE" w:rsidRPr="00E11754">
        <w:rPr>
          <w:rFonts w:ascii="Times New Roman" w:hAnsi="Times New Roman" w:cs="Times New Roman"/>
          <w:sz w:val="24"/>
          <w:szCs w:val="24"/>
        </w:rPr>
        <w:t>które</w:t>
      </w:r>
      <w:r w:rsidR="00EE1369" w:rsidRPr="00E11754">
        <w:rPr>
          <w:rFonts w:ascii="Times New Roman" w:hAnsi="Times New Roman" w:cs="Times New Roman"/>
          <w:sz w:val="24"/>
          <w:szCs w:val="24"/>
        </w:rPr>
        <w:t xml:space="preserve"> można ograniczać</w:t>
      </w:r>
      <w:r w:rsidR="005949C8" w:rsidRPr="00E11754">
        <w:rPr>
          <w:rFonts w:ascii="Times New Roman" w:hAnsi="Times New Roman" w:cs="Times New Roman"/>
          <w:sz w:val="24"/>
          <w:szCs w:val="24"/>
        </w:rPr>
        <w:t xml:space="preserve"> </w:t>
      </w:r>
      <w:r w:rsidR="005949C8" w:rsidRPr="00E11754">
        <w:rPr>
          <w:rFonts w:ascii="Times New Roman" w:hAnsi="Times New Roman" w:cs="Times New Roman"/>
          <w:sz w:val="24"/>
          <w:szCs w:val="24"/>
        </w:rPr>
        <w:fldChar w:fldCharType="begin" w:fldLock="1"/>
      </w:r>
      <w:r w:rsidR="00C96480" w:rsidRPr="00E11754">
        <w:rPr>
          <w:rFonts w:ascii="Times New Roman" w:hAnsi="Times New Roman" w:cs="Times New Roman"/>
          <w:sz w:val="24"/>
          <w:szCs w:val="24"/>
        </w:rPr>
        <w:instrText>ADDIN CSL_CITATION {"citationItems":[{"id":"ITEM-1","itemData":{"DOI":"10.1016/S1470-2045(20)30448-4","ISSN":"14745488","PMID":"33152311","abstract":"The acute impact of climate change on human health is receiving increased attention, but little is known or appreciated about the effect of climate change on chronic diseases, particularly cancer. This Review provides a synopsis of what is known about climate change and the exposures it generates relevant to cancer. In the context of the world's cancer burden and the probable direction we could expect to follow in the absence of climate change, this scoping review of the literature summarises the effects that climate change is having on major cancers, from environmental exposures to ultraviolet radiation, air pollution, disruptions in the food and water supply, environmental toxicants, and infectious agents. Finally, we explore the effect of climate change on the possible disruption of health systems that have been essential to cancer control practice. We conclude with potential responses and opportunities for intervention.","author":[{"dropping-particle":"","family":"Hiatt","given":"Robert A.","non-dropping-particle":"","parse-names":false,"suffix":""},{"dropping-particle":"","family":"Beyeler","given":"Naomi","non-dropping-particle":"","parse-names":false,"suffix":""}],"container-title":"The Lancet Oncology","id":"ITEM-1","issue":"11","issued":{"date-parts":[["2020"]]},"page":"e519-e527","publisher":"Elsevier Ltd","title":"Cancer and climate change","type":"article-journal","volume":"21"},"uris":["http://www.mendeley.com/documents/?uuid=de82c2a5-6622-46c7-9628-0bbcbb4b7592"]}],"mendeley":{"formattedCitation":"[7]","plainTextFormattedCitation":"[7]","previouslyFormattedCitation":"[7]"},"properties":{"noteIndex":0},"schema":"https://github.com/citation-style-language/schema/raw/master/csl-citation.json"}</w:instrText>
      </w:r>
      <w:r w:rsidR="005949C8" w:rsidRPr="00E11754">
        <w:rPr>
          <w:rFonts w:ascii="Times New Roman" w:hAnsi="Times New Roman" w:cs="Times New Roman"/>
          <w:sz w:val="24"/>
          <w:szCs w:val="24"/>
        </w:rPr>
        <w:fldChar w:fldCharType="separate"/>
      </w:r>
      <w:r w:rsidR="005949C8" w:rsidRPr="00E11754">
        <w:rPr>
          <w:rFonts w:ascii="Times New Roman" w:hAnsi="Times New Roman" w:cs="Times New Roman"/>
          <w:noProof/>
          <w:sz w:val="24"/>
          <w:szCs w:val="24"/>
        </w:rPr>
        <w:t>[7]</w:t>
      </w:r>
      <w:r w:rsidR="005949C8" w:rsidRPr="00E11754">
        <w:rPr>
          <w:rFonts w:ascii="Times New Roman" w:hAnsi="Times New Roman" w:cs="Times New Roman"/>
          <w:sz w:val="24"/>
          <w:szCs w:val="24"/>
        </w:rPr>
        <w:fldChar w:fldCharType="end"/>
      </w:r>
      <w:r w:rsidR="00EE1369" w:rsidRPr="00E11754">
        <w:rPr>
          <w:rFonts w:ascii="Times New Roman" w:hAnsi="Times New Roman" w:cs="Times New Roman"/>
          <w:sz w:val="24"/>
          <w:szCs w:val="24"/>
        </w:rPr>
        <w:t>.</w:t>
      </w:r>
      <w:r w:rsidR="00384D47" w:rsidRPr="00E11754">
        <w:rPr>
          <w:rFonts w:ascii="Times New Roman" w:hAnsi="Times New Roman" w:cs="Times New Roman"/>
          <w:sz w:val="24"/>
          <w:szCs w:val="24"/>
        </w:rPr>
        <w:t xml:space="preserve"> </w:t>
      </w:r>
      <w:r w:rsidR="00EE1369" w:rsidRPr="00E11754">
        <w:rPr>
          <w:rFonts w:ascii="Times New Roman" w:hAnsi="Times New Roman" w:cs="Times New Roman"/>
          <w:sz w:val="24"/>
          <w:szCs w:val="24"/>
        </w:rPr>
        <w:t xml:space="preserve">W </w:t>
      </w:r>
      <w:r w:rsidR="004636AF" w:rsidRPr="00E11754">
        <w:rPr>
          <w:rFonts w:ascii="Times New Roman" w:hAnsi="Times New Roman" w:cs="Times New Roman"/>
          <w:sz w:val="24"/>
          <w:szCs w:val="24"/>
        </w:rPr>
        <w:t>związku z tym opublikowano Europejski Kodeks Walki z Rakiem</w:t>
      </w:r>
      <w:r w:rsidR="00427A82" w:rsidRPr="00E11754">
        <w:rPr>
          <w:rFonts w:ascii="Times New Roman" w:hAnsi="Times New Roman" w:cs="Times New Roman"/>
          <w:sz w:val="24"/>
          <w:szCs w:val="24"/>
        </w:rPr>
        <w:t>,</w:t>
      </w:r>
      <w:r w:rsidR="00FC0D05" w:rsidRPr="00E11754">
        <w:rPr>
          <w:rFonts w:ascii="Times New Roman" w:hAnsi="Times New Roman" w:cs="Times New Roman"/>
          <w:sz w:val="24"/>
          <w:szCs w:val="24"/>
        </w:rPr>
        <w:t xml:space="preserve"> znany także pod polską nazwą </w:t>
      </w:r>
      <w:r w:rsidR="00DD6B42">
        <w:rPr>
          <w:rFonts w:ascii="Times New Roman" w:hAnsi="Times New Roman" w:cs="Times New Roman"/>
          <w:sz w:val="24"/>
          <w:szCs w:val="24"/>
        </w:rPr>
        <w:t>„</w:t>
      </w:r>
      <w:r w:rsidR="00FC0D05" w:rsidRPr="00E11754">
        <w:rPr>
          <w:rFonts w:ascii="Times New Roman" w:hAnsi="Times New Roman" w:cs="Times New Roman"/>
          <w:sz w:val="24"/>
          <w:szCs w:val="24"/>
          <w:shd w:val="clear" w:color="auto" w:fill="FFFFFF"/>
        </w:rPr>
        <w:t>12 sposobów na zdrowie</w:t>
      </w:r>
      <w:r w:rsidR="00DD6B42">
        <w:rPr>
          <w:rFonts w:ascii="Times New Roman" w:hAnsi="Times New Roman" w:cs="Times New Roman"/>
          <w:sz w:val="24"/>
          <w:szCs w:val="24"/>
          <w:shd w:val="clear" w:color="auto" w:fill="FFFFFF"/>
        </w:rPr>
        <w:t>”</w:t>
      </w:r>
      <w:r w:rsidR="005441F6" w:rsidRPr="00E11754">
        <w:rPr>
          <w:rFonts w:ascii="Times New Roman" w:hAnsi="Times New Roman" w:cs="Times New Roman"/>
          <w:sz w:val="24"/>
          <w:szCs w:val="24"/>
          <w:shd w:val="clear" w:color="auto" w:fill="FFFFFF"/>
        </w:rPr>
        <w:t xml:space="preserve"> </w:t>
      </w:r>
      <w:r w:rsidR="00E40827" w:rsidRPr="00E11754">
        <w:rPr>
          <w:rFonts w:ascii="Times New Roman" w:hAnsi="Times New Roman" w:cs="Times New Roman"/>
          <w:sz w:val="24"/>
          <w:szCs w:val="24"/>
          <w:shd w:val="clear" w:color="auto" w:fill="FFFFFF"/>
        </w:rPr>
        <w:fldChar w:fldCharType="begin" w:fldLock="1"/>
      </w:r>
      <w:r w:rsidR="005B0E9A">
        <w:rPr>
          <w:rFonts w:ascii="Times New Roman" w:hAnsi="Times New Roman" w:cs="Times New Roman"/>
          <w:sz w:val="24"/>
          <w:szCs w:val="24"/>
          <w:shd w:val="clear" w:color="auto" w:fill="FFFFFF"/>
        </w:rPr>
        <w:instrText>ADDIN CSL_CITATION {"citationItems":[{"id":"ITEM-1","itemData":{"DOI":"10.1016/j.canep.2015.05.009","ISSN":"1877783X","PMID":"26164654","abstract":"This overview describes the principles of the 4th edition of the European Code against Cancer and provides an introduction to the 12 recommendations to reduce cancer risk. Among the 504.6 million inhabitants of the member states of the European Union (EU28), there are annually 2.64 million new cancer cases and 1.28 million deaths from cancer. It is estimated that this cancer burden could be reduced by up to one half if scientific knowledge on causes of cancer could be translated into successful prevention. The Code is a preventive tool aimed to reduce the cancer burden by informing people how to avoid or reduce carcinogenic exposures, adopt behaviours to reduce the cancer risk, or to participate in organised intervention programmes. The Code should also form a base to guide national health policies in cancer prevention. The 12 recommendations are: not smoking or using other tobacco products; avoiding second-hand smoke; being a healthy body weight; encouraging physical activity; having a healthy diet; limiting alcohol consumption, with not drinking alcohol being better for cancer prevention; avoiding too much exposure to ultraviolet radiation; avoiding cancer-causing agents at the workplace; reducing exposure to high levels of radon; encouraging breastfeeding; limiting the use of hormone replacement therapy; participating in organised vaccination programmes against hepatitis B for newborns and human papillomavirus for girls; and participating in organised screening programmes for bowel cancer, breast cancer, and cervical cancer.","author":[{"dropping-particle":"","family":"Schüz","given":"Joachim","non-dropping-particle":"","parse-names":false,"suffix":""},{"dropping-particle":"","family":"Espina","given":"Carolina","non-dropping-particle":"","parse-names":false,"suffix":""},{"dropping-particle":"","family":"Villain","given":"Patricia","non-dropping-particle":"","parse-names":false,"suffix":""},{"dropping-particle":"","family":"Herrero","given":"Rolando","non-dropping-particle":"","parse-names":false,"suffix":""},{"dropping-particle":"","family":"Leon","given":"Maria E.","non-dropping-particle":"","parse-names":false,"suffix":""},{"dropping-particle":"","family":"Minozzi","given":"Silvia","non-dropping-particle":"","parse-names":false,"suffix":""},{"dropping-particle":"","family":"Romieu","given":"Isabelle","non-dropping-particle":"","parse-names":false,"suffix":""},{"dropping-particle":"","family":"Segnan","given":"Nereo","non-dropping-particle":"","parse-names":false,"suffix":""},{"dropping-particle":"","family":"Wardle","given":"Jane","non-dropping-particle":"","parse-names":false,"suffix":""},{"dropping-particle":"","family":"Wiseman","given":"Martin","non-dropping-particle":"","parse-names":false,"suffix":""},{"dropping-particle":"","family":"Belardelli","given":"Filippo","non-dropping-particle":"","parse-names":false,"suffix":""},{"dropping-particle":"","family":"Bettcher","given":"Douglas","non-dropping-particle":"","parse-names":false,"suffix":""},{"dropping-particle":"","family":"Cavalli","given":"Franco","non-dropping-particle":"","parse-names":false,"suffix":""},{"dropping-particle":"","family":"Galea","given":"Gauden","non-dropping-particle":"","parse-names":false,"suffix":""},{"dropping-particle":"","family":"Lenoir","given":"Gilbert","non-dropping-particle":"","parse-names":false,"suffix":""},{"dropping-particle":"","family":"Martin-Moreno","given":"Jose M.","non-dropping-particle":"","parse-names":false,"suffix":""},{"dropping-particle":"","family":"Nicula","given":"Florian Alexandru","non-dropping-particle":"","parse-names":false,"suffix":""},{"dropping-particle":"","family":"Olsen","given":"Jørgen H.","non-dropping-particle":"","parse-names":false,"suffix":""},{"dropping-particle":"","family":"Patnick","given":"Julietta","non-dropping-particle":"","parse-names":false,"suffix":""},{"dropping-particle":"","family":"Primic-Zakelj","given":"Maja","non-dropping-particle":"","parse-names":false,"suffix":""},{"dropping-particle":"","family":"Puska","given":"Pekka","non-dropping-particle":"","parse-names":false,"suffix":""},{"dropping-particle":"","family":"Leeuwen","given":"Flora E.","non-dropping-particle":"Van","parse-names":false,"suffix":""},{"dropping-particle":"","family":"Wiestler","given":"Otmar","non-dropping-particle":"","parse-names":false,"suffix":""},{"dropping-particle":"","family":"Zatonski","given":"Witold","non-dropping-particle":"","parse-names":false,"suffix":""},{"dropping-particle":"","family":"Guha","given":"Neela","non-dropping-particle":"","parse-names":false,"suffix":""},{"dropping-particle":"","family":"Kralikova","given":"Eva","non-dropping-particle":"","parse-names":false,"suffix":""},{"dropping-particle":"","family":"McNeill","given":"Anne","non-dropping-particle":"","parse-names":false,"suffix":""},{"dropping-particle":"","family":"Peruga","given":"Armando","non-dropping-particle":"","parse-names":false,"suffix":""},{"dropping-particle":"","family":"Anderson","given":"Annie","non-dropping-particle":"","parse-names":false,"suffix":""},{"dropping-particle":"","family":"Berrino","given":"Franco","non-dropping-particle":"","parse-names":false,"suffix":""},{"dropping-particle":"","family":"Boutron-Ruault","given":"Marie Christine","non-dropping-particle":"","parse-names":false,"suffix":""},{"dropping-particle":"","family":"Cecchini","given":"Michele","non-dropping-particle":"","parse-names":false,"suffix":""},{"dropping-particle":"","family":"Key","given":"Tim J.","non-dropping-particle":"","parse-names":false,"suffix":""},{"dropping-particle":"","family":"Leitzmann","given":"Michael","non-dropping-particle":"","parse-names":false,"suffix":""},{"dropping-particle":"","family":"Norat","given":"Teresa","non-dropping-particle":"","parse-names":false,"suffix":""},{"dropping-particle":"","family":"Powers","given":"Hilary J.","non-dropping-particle":"","parse-names":false,"suffix":""},{"dropping-particle":"","family":"Scoccianti","given":"Chiara","non-dropping-particle":"","parse-names":false,"suffix":""},{"dropping-particle":"","family":"Auvinen","given":"Anssi","non-dropping-particle":"","parse-names":false,"suffix":""},{"dropping-particle":"","family":"Vries","given":"Esther","non-dropping-particle":"de","parse-names":false,"suffix":""},{"dropping-particle":"","family":"Erdmann","given":"Friederike","non-dropping-particle":"","parse-names":false,"suffix":""},{"dropping-particle":"","family":"Greinert","given":"Rüdiger","non-dropping-particle":"","parse-names":false,"suffix":""},{"dropping-particle":"","family":"Harrison","given":"John","non-dropping-particle":"","parse-names":false,"suffix":""},{"dropping-particle":"","family":"Kesminiene","given":"Ausrele","non-dropping-particle":"","parse-names":false,"suffix":""},{"dropping-particle":"","family":"McColl","given":"Neil","non-dropping-particle":"","parse-names":false,"suffix":""},{"dropping-particle":"","family":"Friis","given":"Søen","non-dropping-particle":"","parse-names":false,"suffix":""},{"dropping-particle":"","family":"Kogevinas","given":"Manolis","non-dropping-particle":"","parse-names":false,"suffix":""},{"dropping-particle":"","family":"Saracci","given":"Rodolfo","non-dropping-particle":"","parse-names":false,"suffix":""},{"dropping-particle":"","family":"Straif","given":"Kurt","non-dropping-particle":"","parse-names":false,"suffix":""},{"dropping-particle":"","family":"Vainio","given":"Harri","non-dropping-particle":"","parse-names":false,"suffix":""},{"dropping-particle":"","family":"Almonte","given":"Maribel","non-dropping-particle":"","parse-names":false,"suffix":""},{"dropping-particle":"","family":"Anttila","given":"Ahti","non-dropping-particle":"","parse-names":false,"suffix":""},{"dropping-particle":"","family":"Vuyst","given":"Hugo","non-dropping-particle":"De","parse-names":false,"suffix":""},{"dropping-particle":"","family":"Dillner","given":"Joakim","non-dropping-particle":"","parse-names":false,"suffix":""},{"dropping-particle":"","family":"Franceschi","given":"Silvia","non-dropping-particle":"","parse-names":false,"suffix":""},{"dropping-particle":"","family":"Gonzalez","given":"Paula","non-dropping-particle":"","parse-names":false,"suffix":""},{"dropping-particle":"","family":"Hall","given":"Andrew","non-dropping-particle":"","parse-names":false,"suffix":""},{"dropping-particle":"","family":"Park","given":"Jin Young","non-dropping-particle":"","parse-names":false,"suffix":""},{"dropping-particle":"","family":"Armaroli","given":"Paola","non-dropping-particle":"","parse-names":false,"suffix":""},{"dropping-particle":"","family":"Atkin","given":"Wendy","non-dropping-particle":"","parse-names":false,"suffix":""},{"dropping-particle":"","family":"Dean","given":"Peter B.","non-dropping-particle":"","parse-names":false,"suffix":""},{"dropping-particle":"","family":"Koning","given":"Harry","non-dropping-particle":"de","parse-names":false,"suffix":""},{"dropping-particle":"","family":"Dillner","given":"Lena","non-dropping-particle":"","parse-names":false,"suffix":""},{"dropping-particle":"","family":"Kuipers","given":"Ernst","non-dropping-particle":"","parse-names":false,"suffix":""},{"dropping-particle":"","family":"Lansdorp-Vogelaar","given":"Iris","non-dropping-particle":"","parse-names":false,"suffix":""},{"dropping-particle":"","family":"Paci","given":"Eugenio","non-dropping-particle":"","parse-names":false,"suffix":""},{"dropping-particle":"","family":"Regula","given":"Jaroslaw","non-dropping-particle":"","parse-names":false,"suffix":""},{"dropping-particle":"","family":"Suonio","given":"Eero","non-dropping-particle":"","parse-names":false,"suffix":""},{"dropping-particle":"","family":"Törnberg","given":"Sven","non-dropping-particle":"","parse-names":false,"suffix":""},{"dropping-particle":"","family":"Wood","given":"Lynn Faulds","non-dropping-particle":"","parse-names":false,"suffix":""},{"dropping-particle":"","family":"Gaudin","given":"Nicolas","non-dropping-particle":"","parse-names":false,"suffix":""},{"dropping-particle":"","family":"Frie","given":"Kirstin Grosse","non-dropping-particle":"","parse-names":false,"suffix":""},{"dropping-particle":"","family":"Terrasse","given":"Veronique","non-dropping-particle":"","parse-names":false,"suffix":""},{"dropping-particle":"","family":"Winstanley","given":"Kelly","non-dropping-particle":"","parse-names":false,"suffix":""},{"dropping-particle":"","family":"Bellisario","given":"Cristina","non-dropping-particle":"","parse-names":false,"suffix":""},{"dropping-particle":"","family":"Biagioli","given":"Elena","non-dropping-particle":"","parse-names":false,"suffix":""},{"dropping-particle":"","family":"Cinquini","given":"Michela","non-dropping-particle":"","parse-names":false,"suffix":""},{"dropping-particle":"","family":"Gianola","given":"Silvia","non-dropping-particle":"","parse-names":false,"suffix":""},{"dropping-particle":"","family":"Lorenzo","given":"Marien Gonzalez","non-dropping-particle":"","parse-names":false,"suffix":""},{"dropping-particle":"","family":"Karsa","given":"Lawrence","non-dropping-particle":"von","parse-names":false,"suffix":""},{"dropping-particle":"","family":"Lignini","given":"Tracy","non-dropping-particle":"","parse-names":false,"suffix":""}],"container-title":"Cancer Epidemiology","id":"ITEM-1","issued":{"date-parts":[["2015"]]},"page":"S1-S10","title":"European code against cancer 4th edition: 12 ways to reduce your cancer risk","type":"article-journal","volume":"39"},"uris":["http://www.mendeley.com/documents/?uuid=b35ed856-47f7-449e-add5-95e1fd1e68cd"]},{"id":"ITEM-2","itemData":{"ISBN":"9788388681134","author":[{"dropping-particle":"","family":"Walki","given":"Europejski Kodeks","non-dropping-particle":"","parse-names":false,"suffix":""}],"id":"ITEM-2","issued":{"date-parts":[["0"]]},"title":"12 Sposobów Na Zdrowie","type":"book"},"uris":["http://www.mendeley.com/documents/?uuid=a7c6a73e-2009-4d21-83d1-a23d745ee5fe"]}],"mendeley":{"formattedCitation":"[8], [9]","plainTextFormattedCitation":"[8], [9]","previouslyFormattedCitation":"[8], [9]"},"properties":{"noteIndex":0},"schema":"https://github.com/citation-style-language/schema/raw/master/csl-citation.json"}</w:instrText>
      </w:r>
      <w:r w:rsidR="00E40827" w:rsidRPr="00E11754">
        <w:rPr>
          <w:rFonts w:ascii="Times New Roman" w:hAnsi="Times New Roman" w:cs="Times New Roman"/>
          <w:sz w:val="24"/>
          <w:szCs w:val="24"/>
          <w:shd w:val="clear" w:color="auto" w:fill="FFFFFF"/>
        </w:rPr>
        <w:fldChar w:fldCharType="separate"/>
      </w:r>
      <w:r w:rsidR="003F3548" w:rsidRPr="003F3548">
        <w:rPr>
          <w:rFonts w:ascii="Times New Roman" w:hAnsi="Times New Roman" w:cs="Times New Roman"/>
          <w:noProof/>
          <w:sz w:val="24"/>
          <w:szCs w:val="24"/>
          <w:shd w:val="clear" w:color="auto" w:fill="FFFFFF"/>
        </w:rPr>
        <w:t>[8], [9]</w:t>
      </w:r>
      <w:r w:rsidR="00E40827" w:rsidRPr="00E11754">
        <w:rPr>
          <w:rFonts w:ascii="Times New Roman" w:hAnsi="Times New Roman" w:cs="Times New Roman"/>
          <w:sz w:val="24"/>
          <w:szCs w:val="24"/>
          <w:shd w:val="clear" w:color="auto" w:fill="FFFFFF"/>
        </w:rPr>
        <w:fldChar w:fldCharType="end"/>
      </w:r>
      <w:r w:rsidR="00DF2135" w:rsidRPr="00E11754">
        <w:rPr>
          <w:rFonts w:ascii="Times New Roman" w:hAnsi="Times New Roman" w:cs="Times New Roman"/>
          <w:sz w:val="24"/>
          <w:szCs w:val="24"/>
        </w:rPr>
        <w:t xml:space="preserve">. </w:t>
      </w:r>
      <w:r w:rsidR="00427A82" w:rsidRPr="00E11754">
        <w:rPr>
          <w:rFonts w:ascii="Times New Roman" w:hAnsi="Times New Roman" w:cs="Times New Roman"/>
          <w:sz w:val="24"/>
          <w:szCs w:val="24"/>
        </w:rPr>
        <w:t xml:space="preserve">Opisuje on </w:t>
      </w:r>
      <w:r w:rsidR="004636AF" w:rsidRPr="00E11754">
        <w:rPr>
          <w:rFonts w:ascii="Times New Roman" w:hAnsi="Times New Roman" w:cs="Times New Roman"/>
          <w:sz w:val="24"/>
          <w:szCs w:val="24"/>
        </w:rPr>
        <w:t>profilaktyk</w:t>
      </w:r>
      <w:r w:rsidR="00CD4BC5" w:rsidRPr="00E11754">
        <w:rPr>
          <w:rFonts w:ascii="Times New Roman" w:hAnsi="Times New Roman" w:cs="Times New Roman"/>
          <w:sz w:val="24"/>
          <w:szCs w:val="24"/>
        </w:rPr>
        <w:t>ę</w:t>
      </w:r>
      <w:r w:rsidR="004636AF" w:rsidRPr="00E11754">
        <w:rPr>
          <w:rFonts w:ascii="Times New Roman" w:hAnsi="Times New Roman" w:cs="Times New Roman"/>
          <w:sz w:val="24"/>
          <w:szCs w:val="24"/>
        </w:rPr>
        <w:t xml:space="preserve"> nowotworów </w:t>
      </w:r>
      <w:r w:rsidR="00FC0D05" w:rsidRPr="00E11754">
        <w:rPr>
          <w:rFonts w:ascii="Times New Roman" w:hAnsi="Times New Roman" w:cs="Times New Roman"/>
          <w:sz w:val="24"/>
          <w:szCs w:val="24"/>
        </w:rPr>
        <w:t>jako zbiór przepisów</w:t>
      </w:r>
      <w:r w:rsidR="006C6FEF" w:rsidRPr="00E11754">
        <w:rPr>
          <w:rFonts w:ascii="Times New Roman" w:hAnsi="Times New Roman" w:cs="Times New Roman"/>
          <w:sz w:val="24"/>
          <w:szCs w:val="24"/>
        </w:rPr>
        <w:t xml:space="preserve"> ograniczając</w:t>
      </w:r>
      <w:r w:rsidR="00233D54" w:rsidRPr="00E11754">
        <w:rPr>
          <w:rFonts w:ascii="Times New Roman" w:hAnsi="Times New Roman" w:cs="Times New Roman"/>
          <w:sz w:val="24"/>
          <w:szCs w:val="24"/>
        </w:rPr>
        <w:t>ych</w:t>
      </w:r>
      <w:r w:rsidR="006C6FEF" w:rsidRPr="00E11754">
        <w:rPr>
          <w:rFonts w:ascii="Times New Roman" w:hAnsi="Times New Roman" w:cs="Times New Roman"/>
          <w:sz w:val="24"/>
          <w:szCs w:val="24"/>
        </w:rPr>
        <w:t xml:space="preserve"> czynniki ryzyka </w:t>
      </w:r>
      <w:r w:rsidR="00E74FCA" w:rsidRPr="00E11754">
        <w:rPr>
          <w:rFonts w:ascii="Times New Roman" w:hAnsi="Times New Roman" w:cs="Times New Roman"/>
          <w:sz w:val="24"/>
          <w:szCs w:val="24"/>
        </w:rPr>
        <w:t>(</w:t>
      </w:r>
      <w:r w:rsidR="006C6FEF" w:rsidRPr="00E11754">
        <w:rPr>
          <w:rFonts w:ascii="Times New Roman" w:hAnsi="Times New Roman" w:cs="Times New Roman"/>
          <w:sz w:val="24"/>
          <w:szCs w:val="24"/>
        </w:rPr>
        <w:t xml:space="preserve">tzw. </w:t>
      </w:r>
      <w:r w:rsidR="00233D54" w:rsidRPr="00E11754">
        <w:rPr>
          <w:rFonts w:ascii="Times New Roman" w:hAnsi="Times New Roman" w:cs="Times New Roman"/>
          <w:sz w:val="24"/>
          <w:szCs w:val="24"/>
        </w:rPr>
        <w:t>k</w:t>
      </w:r>
      <w:r w:rsidR="006C6FEF" w:rsidRPr="00E11754">
        <w:rPr>
          <w:rFonts w:ascii="Times New Roman" w:hAnsi="Times New Roman" w:cs="Times New Roman"/>
          <w:sz w:val="24"/>
          <w:szCs w:val="24"/>
        </w:rPr>
        <w:t>ancerogenów</w:t>
      </w:r>
      <w:r w:rsidR="00233D54" w:rsidRPr="00E11754">
        <w:rPr>
          <w:rFonts w:ascii="Times New Roman" w:hAnsi="Times New Roman" w:cs="Times New Roman"/>
          <w:sz w:val="24"/>
          <w:szCs w:val="24"/>
        </w:rPr>
        <w:t xml:space="preserve"> na organizm ludzki</w:t>
      </w:r>
      <w:r w:rsidR="00E74FCA" w:rsidRPr="00E11754">
        <w:rPr>
          <w:rFonts w:ascii="Times New Roman" w:hAnsi="Times New Roman" w:cs="Times New Roman"/>
          <w:sz w:val="24"/>
          <w:szCs w:val="24"/>
        </w:rPr>
        <w:t>)</w:t>
      </w:r>
      <w:r w:rsidR="00233D54" w:rsidRPr="00E11754">
        <w:rPr>
          <w:rFonts w:ascii="Times New Roman" w:hAnsi="Times New Roman" w:cs="Times New Roman"/>
          <w:sz w:val="24"/>
          <w:szCs w:val="24"/>
        </w:rPr>
        <w:t xml:space="preserve"> oraz </w:t>
      </w:r>
      <w:r w:rsidR="00E74FCA" w:rsidRPr="00E11754">
        <w:rPr>
          <w:rFonts w:ascii="Times New Roman" w:hAnsi="Times New Roman" w:cs="Times New Roman"/>
          <w:sz w:val="24"/>
          <w:szCs w:val="24"/>
        </w:rPr>
        <w:t xml:space="preserve">promuje badania </w:t>
      </w:r>
      <w:r w:rsidR="00481A00" w:rsidRPr="00E11754">
        <w:rPr>
          <w:rFonts w:ascii="Times New Roman" w:hAnsi="Times New Roman" w:cs="Times New Roman"/>
          <w:sz w:val="24"/>
          <w:szCs w:val="24"/>
        </w:rPr>
        <w:t>przesiewowe</w:t>
      </w:r>
      <w:r w:rsidR="009B5B32" w:rsidRPr="00E11754">
        <w:rPr>
          <w:rFonts w:ascii="Times New Roman" w:hAnsi="Times New Roman" w:cs="Times New Roman"/>
          <w:sz w:val="24"/>
          <w:szCs w:val="24"/>
        </w:rPr>
        <w:t>, których wprowadzenie w życie może znacząco obniżyć zachorowalność na nowotwory</w:t>
      </w:r>
      <w:r w:rsidR="00481A00" w:rsidRPr="00E11754">
        <w:rPr>
          <w:rFonts w:ascii="Times New Roman" w:hAnsi="Times New Roman" w:cs="Times New Roman"/>
          <w:sz w:val="24"/>
          <w:szCs w:val="24"/>
        </w:rPr>
        <w:t xml:space="preserve">. </w:t>
      </w:r>
    </w:p>
    <w:p w14:paraId="799B93E0" w14:textId="7BEB79C9" w:rsidR="00651EFE" w:rsidRPr="00E11754" w:rsidRDefault="00651EFE" w:rsidP="00443BB3">
      <w:pPr>
        <w:pStyle w:val="Nagwek2"/>
        <w:numPr>
          <w:ilvl w:val="1"/>
          <w:numId w:val="13"/>
        </w:numPr>
        <w:spacing w:before="120" w:after="120" w:line="360" w:lineRule="auto"/>
        <w:ind w:left="573" w:hanging="431"/>
        <w:jc w:val="both"/>
        <w:rPr>
          <w:rStyle w:val="Tytuksiki"/>
          <w:rFonts w:ascii="Times New Roman" w:hAnsi="Times New Roman" w:cs="Times New Roman"/>
          <w:i w:val="0"/>
          <w:iCs w:val="0"/>
          <w:spacing w:val="0"/>
          <w:sz w:val="24"/>
          <w:szCs w:val="24"/>
        </w:rPr>
      </w:pPr>
      <w:bookmarkStart w:id="9" w:name="_Toc137702471"/>
      <w:r w:rsidRPr="00E11754">
        <w:rPr>
          <w:rStyle w:val="Tytuksiki"/>
          <w:rFonts w:ascii="Times New Roman" w:hAnsi="Times New Roman" w:cs="Times New Roman"/>
          <w:i w:val="0"/>
          <w:iCs w:val="0"/>
          <w:spacing w:val="0"/>
          <w:sz w:val="24"/>
          <w:szCs w:val="24"/>
        </w:rPr>
        <w:lastRenderedPageBreak/>
        <w:t>Charakterystyka n</w:t>
      </w:r>
      <w:r w:rsidR="00BC7E8F" w:rsidRPr="00E11754">
        <w:rPr>
          <w:rStyle w:val="Tytuksiki"/>
          <w:rFonts w:ascii="Times New Roman" w:hAnsi="Times New Roman" w:cs="Times New Roman"/>
          <w:i w:val="0"/>
          <w:iCs w:val="0"/>
          <w:spacing w:val="0"/>
          <w:sz w:val="24"/>
          <w:szCs w:val="24"/>
        </w:rPr>
        <w:t>owotw</w:t>
      </w:r>
      <w:r w:rsidRPr="00E11754">
        <w:rPr>
          <w:rStyle w:val="Tytuksiki"/>
          <w:rFonts w:ascii="Times New Roman" w:hAnsi="Times New Roman" w:cs="Times New Roman"/>
          <w:i w:val="0"/>
          <w:iCs w:val="0"/>
          <w:spacing w:val="0"/>
          <w:sz w:val="24"/>
          <w:szCs w:val="24"/>
        </w:rPr>
        <w:t>orów</w:t>
      </w:r>
      <w:bookmarkEnd w:id="9"/>
    </w:p>
    <w:p w14:paraId="196EFDE5" w14:textId="46BF34CF" w:rsidR="00481A00" w:rsidRPr="00E11754" w:rsidRDefault="52C15979" w:rsidP="008B0F68">
      <w:pPr>
        <w:spacing w:line="360" w:lineRule="auto"/>
        <w:ind w:firstLine="283"/>
        <w:jc w:val="both"/>
        <w:rPr>
          <w:rFonts w:ascii="Times New Roman" w:hAnsi="Times New Roman" w:cs="Times New Roman"/>
          <w:sz w:val="24"/>
          <w:szCs w:val="24"/>
        </w:rPr>
      </w:pPr>
      <w:r w:rsidRPr="52C15979">
        <w:rPr>
          <w:rFonts w:ascii="Times New Roman" w:hAnsi="Times New Roman" w:cs="Times New Roman"/>
          <w:sz w:val="24"/>
          <w:szCs w:val="24"/>
        </w:rPr>
        <w:t xml:space="preserve">Nowotwór definiuje się jako niekontrolowany podział, wzrost oraz namnażanie zmienionych form komórek powstałych na skutek mutacji, zmiany w DNA komórki, co prowadzi do zaburzenia homeostazy ustroju. W związku z tym, nowotwór jest charakteryzowany jako nabyta choroba genetyczna. W wyniku dynamicznych zmian, jakie zachodzą w organizmie ludzkim, zmienione komórki zaczynają się gromadzić, co prowadzi do utworzenia zmiany nowotworowej i dalej, do przerzutów </w:t>
      </w:r>
      <w:r w:rsidR="00D54AE6" w:rsidRPr="52C15979">
        <w:rPr>
          <w:rFonts w:ascii="Times New Roman" w:hAnsi="Times New Roman" w:cs="Times New Roman"/>
          <w:sz w:val="24"/>
          <w:szCs w:val="24"/>
        </w:rPr>
        <w:fldChar w:fldCharType="begin" w:fldLock="1"/>
      </w:r>
      <w:r w:rsidR="00D54AE6" w:rsidRPr="52C15979">
        <w:rPr>
          <w:rFonts w:ascii="Times New Roman" w:hAnsi="Times New Roman" w:cs="Times New Roman"/>
          <w:sz w:val="24"/>
          <w:szCs w:val="24"/>
        </w:rPr>
        <w:instrText>ADDIN CSL_CITATION {"citationItems":[{"id":"ITEM-1","itemData":{"DOI":"10.1016/S0140-6736(02)16666-9","ISSN":"01406736","container-title":"data dostępu 07.06.2023","id":"ITEM-1","issued":{"date-parts":[["0"]]},"title":"https://www.cancer.gov/about-cancer/understanding/what-is-cancer#definition ,","type":"article-journal"},"uris":["http://www.mendeley.com/documents/?uuid=5fb18b24-b533-43a7-976b-b9c0af9a39f0"]}],"mendeley":{"formattedCitation":"[10]","plainTextFormattedCitation":"[10]","previouslyFormattedCitation":"[10]"},"properties":{"noteIndex":0},"schema":"https://github.com/citation-style-language/schema/raw/master/csl-citation.json"}</w:instrText>
      </w:r>
      <w:r w:rsidR="00D54AE6" w:rsidRPr="52C15979">
        <w:rPr>
          <w:rFonts w:ascii="Times New Roman" w:hAnsi="Times New Roman" w:cs="Times New Roman"/>
          <w:sz w:val="24"/>
          <w:szCs w:val="24"/>
        </w:rPr>
        <w:fldChar w:fldCharType="separate"/>
      </w:r>
      <w:r w:rsidRPr="52C15979">
        <w:rPr>
          <w:rFonts w:ascii="Times New Roman" w:hAnsi="Times New Roman" w:cs="Times New Roman"/>
          <w:noProof/>
          <w:sz w:val="24"/>
          <w:szCs w:val="24"/>
        </w:rPr>
        <w:t>[10]</w:t>
      </w:r>
      <w:r w:rsidR="00D54AE6" w:rsidRPr="52C15979">
        <w:rPr>
          <w:rFonts w:ascii="Times New Roman" w:hAnsi="Times New Roman" w:cs="Times New Roman"/>
          <w:sz w:val="24"/>
          <w:szCs w:val="24"/>
        </w:rPr>
        <w:fldChar w:fldCharType="end"/>
      </w:r>
      <w:r w:rsidRPr="52C15979">
        <w:rPr>
          <w:rFonts w:ascii="Times New Roman" w:hAnsi="Times New Roman" w:cs="Times New Roman"/>
          <w:sz w:val="24"/>
          <w:szCs w:val="24"/>
        </w:rPr>
        <w:t xml:space="preserve">, </w:t>
      </w:r>
      <w:r w:rsidR="00D54AE6" w:rsidRPr="52C15979">
        <w:rPr>
          <w:rFonts w:ascii="Times New Roman" w:hAnsi="Times New Roman" w:cs="Times New Roman"/>
          <w:sz w:val="24"/>
          <w:szCs w:val="24"/>
        </w:rPr>
        <w:fldChar w:fldCharType="begin" w:fldLock="1"/>
      </w:r>
      <w:r w:rsidR="00D54AE6" w:rsidRPr="52C15979">
        <w:rPr>
          <w:rFonts w:ascii="Times New Roman" w:hAnsi="Times New Roman" w:cs="Times New Roman"/>
          <w:sz w:val="24"/>
          <w:szCs w:val="24"/>
        </w:rPr>
        <w:instrText>ADDIN CSL_CITATION {"citationItems":[{"id":"ITEM-1","itemData":{"author":[{"dropping-particle":"","family":"WHO","given":"","non-dropping-particle":"","parse-names":false,"suffix":""}],"container-title":"World Health Organization","id":"ITEM-1","issued":{"date-parts":[["0"]]},"page":"https://www.who.int/health-topics/cancer#tab=tab_1","title":"https://www.who.int/health-topics/cancer#tab=tab_1","type":"article-journal"},"uris":["http://www.mendeley.com/documents/?uuid=5787325b-76d5-4d6a-9297-0adec908c6e0"]}],"mendeley":{"formattedCitation":"[11]","plainTextFormattedCitation":"[11]","previouslyFormattedCitation":"[11]"},"properties":{"noteIndex":0},"schema":"https://github.com/citation-style-language/schema/raw/master/csl-citation.json"}</w:instrText>
      </w:r>
      <w:r w:rsidR="00D54AE6" w:rsidRPr="52C15979">
        <w:rPr>
          <w:rFonts w:ascii="Times New Roman" w:hAnsi="Times New Roman" w:cs="Times New Roman"/>
          <w:sz w:val="24"/>
          <w:szCs w:val="24"/>
        </w:rPr>
        <w:fldChar w:fldCharType="separate"/>
      </w:r>
      <w:r w:rsidRPr="52C15979">
        <w:rPr>
          <w:rFonts w:ascii="Times New Roman" w:hAnsi="Times New Roman" w:cs="Times New Roman"/>
          <w:noProof/>
          <w:sz w:val="24"/>
          <w:szCs w:val="24"/>
        </w:rPr>
        <w:t>[11]</w:t>
      </w:r>
      <w:r w:rsidR="00D54AE6" w:rsidRPr="52C15979">
        <w:rPr>
          <w:rFonts w:ascii="Times New Roman" w:hAnsi="Times New Roman" w:cs="Times New Roman"/>
          <w:sz w:val="24"/>
          <w:szCs w:val="24"/>
        </w:rPr>
        <w:fldChar w:fldCharType="end"/>
      </w:r>
      <w:r w:rsidRPr="52C15979">
        <w:rPr>
          <w:rFonts w:ascii="Times New Roman" w:hAnsi="Times New Roman" w:cs="Times New Roman"/>
          <w:sz w:val="24"/>
          <w:szCs w:val="24"/>
        </w:rPr>
        <w:t xml:space="preserve">. </w:t>
      </w:r>
    </w:p>
    <w:p w14:paraId="350D1C1A" w14:textId="72462143" w:rsidR="00177BD5" w:rsidRPr="00E11754" w:rsidRDefault="0086251D" w:rsidP="008B0F68">
      <w:p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ab/>
        <w:t xml:space="preserve">Spośród wielu </w:t>
      </w:r>
      <w:r w:rsidR="008B0F68" w:rsidRPr="00E11754">
        <w:rPr>
          <w:rFonts w:ascii="Times New Roman" w:hAnsi="Times New Roman" w:cs="Times New Roman"/>
          <w:sz w:val="24"/>
          <w:szCs w:val="24"/>
        </w:rPr>
        <w:t>rodzajów nowotworów możemy w</w:t>
      </w:r>
      <w:r w:rsidR="00177BD5" w:rsidRPr="00E11754">
        <w:rPr>
          <w:rFonts w:ascii="Times New Roman" w:hAnsi="Times New Roman" w:cs="Times New Roman"/>
          <w:sz w:val="24"/>
          <w:szCs w:val="24"/>
        </w:rPr>
        <w:t>yróżni</w:t>
      </w:r>
      <w:r w:rsidR="008B0F68" w:rsidRPr="00E11754">
        <w:rPr>
          <w:rFonts w:ascii="Times New Roman" w:hAnsi="Times New Roman" w:cs="Times New Roman"/>
          <w:sz w:val="24"/>
          <w:szCs w:val="24"/>
        </w:rPr>
        <w:t>ć</w:t>
      </w:r>
      <w:r w:rsidR="00177BD5" w:rsidRPr="00E11754">
        <w:rPr>
          <w:rFonts w:ascii="Times New Roman" w:hAnsi="Times New Roman" w:cs="Times New Roman"/>
          <w:sz w:val="24"/>
          <w:szCs w:val="24"/>
        </w:rPr>
        <w:t xml:space="preserve"> dwa podstawowe </w:t>
      </w:r>
      <w:r w:rsidR="008B0F68" w:rsidRPr="00E11754">
        <w:rPr>
          <w:rFonts w:ascii="Times New Roman" w:hAnsi="Times New Roman" w:cs="Times New Roman"/>
          <w:sz w:val="24"/>
          <w:szCs w:val="24"/>
        </w:rPr>
        <w:t>typy</w:t>
      </w:r>
      <w:r w:rsidR="00177BD5" w:rsidRPr="00E11754">
        <w:rPr>
          <w:rFonts w:ascii="Times New Roman" w:hAnsi="Times New Roman" w:cs="Times New Roman"/>
          <w:sz w:val="24"/>
          <w:szCs w:val="24"/>
        </w:rPr>
        <w:t xml:space="preserve">: łagodne oraz złośliwe. </w:t>
      </w:r>
      <w:r w:rsidRPr="00E11754">
        <w:rPr>
          <w:rStyle w:val="Pogrubienie"/>
          <w:rFonts w:ascii="Times New Roman" w:hAnsi="Times New Roman" w:cs="Times New Roman"/>
          <w:b w:val="0"/>
          <w:bCs w:val="0"/>
          <w:sz w:val="24"/>
          <w:szCs w:val="24"/>
        </w:rPr>
        <w:t xml:space="preserve">Pierwszy </w:t>
      </w:r>
      <w:r w:rsidR="007A7981" w:rsidRPr="00E11754">
        <w:rPr>
          <w:rStyle w:val="Pogrubienie"/>
          <w:rFonts w:ascii="Times New Roman" w:hAnsi="Times New Roman" w:cs="Times New Roman"/>
          <w:b w:val="0"/>
          <w:bCs w:val="0"/>
          <w:sz w:val="24"/>
          <w:szCs w:val="24"/>
        </w:rPr>
        <w:t xml:space="preserve">– </w:t>
      </w:r>
      <w:r w:rsidRPr="00E11754">
        <w:rPr>
          <w:rStyle w:val="Pogrubienie"/>
          <w:rFonts w:ascii="Times New Roman" w:hAnsi="Times New Roman" w:cs="Times New Roman"/>
          <w:b w:val="0"/>
          <w:bCs w:val="0"/>
          <w:sz w:val="24"/>
          <w:szCs w:val="24"/>
        </w:rPr>
        <w:t>to zmiany, które powstają powoli</w:t>
      </w:r>
      <w:r w:rsidR="008B0F68" w:rsidRPr="00E11754">
        <w:rPr>
          <w:rStyle w:val="Pogrubienie"/>
          <w:rFonts w:ascii="Times New Roman" w:hAnsi="Times New Roman" w:cs="Times New Roman"/>
          <w:b w:val="0"/>
          <w:bCs w:val="0"/>
          <w:sz w:val="24"/>
          <w:szCs w:val="24"/>
        </w:rPr>
        <w:t>,</w:t>
      </w:r>
      <w:r w:rsidRPr="00E11754">
        <w:rPr>
          <w:rStyle w:val="Pogrubienie"/>
          <w:rFonts w:ascii="Times New Roman" w:hAnsi="Times New Roman" w:cs="Times New Roman"/>
          <w:b w:val="0"/>
          <w:bCs w:val="0"/>
          <w:sz w:val="24"/>
          <w:szCs w:val="24"/>
        </w:rPr>
        <w:t xml:space="preserve"> bez nacieków do sąsiednich tkanek</w:t>
      </w:r>
      <w:r w:rsidR="008D3887" w:rsidRPr="00E11754">
        <w:rPr>
          <w:rStyle w:val="Pogrubienie"/>
          <w:rFonts w:ascii="Times New Roman" w:hAnsi="Times New Roman" w:cs="Times New Roman"/>
          <w:b w:val="0"/>
          <w:bCs w:val="0"/>
          <w:sz w:val="24"/>
          <w:szCs w:val="24"/>
        </w:rPr>
        <w:t xml:space="preserve">, przy czym </w:t>
      </w:r>
      <w:r w:rsidR="006942C4" w:rsidRPr="00E11754">
        <w:rPr>
          <w:rStyle w:val="Pogrubienie"/>
          <w:rFonts w:ascii="Times New Roman" w:hAnsi="Times New Roman" w:cs="Times New Roman"/>
          <w:b w:val="0"/>
          <w:bCs w:val="0"/>
          <w:sz w:val="24"/>
          <w:szCs w:val="24"/>
        </w:rPr>
        <w:t>powstające</w:t>
      </w:r>
      <w:r w:rsidR="004B6C8C" w:rsidRPr="00E11754">
        <w:rPr>
          <w:rStyle w:val="Pogrubienie"/>
          <w:rFonts w:ascii="Times New Roman" w:hAnsi="Times New Roman" w:cs="Times New Roman"/>
          <w:b w:val="0"/>
          <w:bCs w:val="0"/>
          <w:sz w:val="24"/>
          <w:szCs w:val="24"/>
        </w:rPr>
        <w:t xml:space="preserve"> </w:t>
      </w:r>
      <w:r w:rsidR="008D3887" w:rsidRPr="00E11754">
        <w:rPr>
          <w:rStyle w:val="Pogrubienie"/>
          <w:rFonts w:ascii="Times New Roman" w:hAnsi="Times New Roman" w:cs="Times New Roman"/>
          <w:b w:val="0"/>
          <w:bCs w:val="0"/>
          <w:sz w:val="24"/>
          <w:szCs w:val="24"/>
        </w:rPr>
        <w:t>k</w:t>
      </w:r>
      <w:r w:rsidRPr="00E11754">
        <w:rPr>
          <w:rStyle w:val="Pogrubienie"/>
          <w:rFonts w:ascii="Times New Roman" w:hAnsi="Times New Roman" w:cs="Times New Roman"/>
          <w:b w:val="0"/>
          <w:bCs w:val="0"/>
          <w:sz w:val="24"/>
          <w:szCs w:val="24"/>
        </w:rPr>
        <w:t>omórki są bardzo podobne do tkanki zdrowej. Istotne jest</w:t>
      </w:r>
      <w:r w:rsidR="001D453E" w:rsidRPr="00E11754">
        <w:rPr>
          <w:rStyle w:val="Pogrubienie"/>
          <w:rFonts w:ascii="Times New Roman" w:hAnsi="Times New Roman" w:cs="Times New Roman"/>
          <w:b w:val="0"/>
          <w:bCs w:val="0"/>
          <w:sz w:val="24"/>
          <w:szCs w:val="24"/>
        </w:rPr>
        <w:t xml:space="preserve"> to</w:t>
      </w:r>
      <w:r w:rsidRPr="00E11754">
        <w:rPr>
          <w:rStyle w:val="Pogrubienie"/>
          <w:rFonts w:ascii="Times New Roman" w:hAnsi="Times New Roman" w:cs="Times New Roman"/>
          <w:b w:val="0"/>
          <w:bCs w:val="0"/>
          <w:sz w:val="24"/>
          <w:szCs w:val="24"/>
        </w:rPr>
        <w:t xml:space="preserve">, że w przypadku leczenia </w:t>
      </w:r>
      <w:r w:rsidR="001075DB" w:rsidRPr="00E11754">
        <w:rPr>
          <w:rStyle w:val="Pogrubienie"/>
          <w:rFonts w:ascii="Times New Roman" w:hAnsi="Times New Roman" w:cs="Times New Roman"/>
          <w:b w:val="0"/>
          <w:bCs w:val="0"/>
          <w:sz w:val="24"/>
          <w:szCs w:val="24"/>
        </w:rPr>
        <w:t xml:space="preserve">u pacjentów </w:t>
      </w:r>
      <w:r w:rsidRPr="00E11754">
        <w:rPr>
          <w:rStyle w:val="Pogrubienie"/>
          <w:rFonts w:ascii="Times New Roman" w:hAnsi="Times New Roman" w:cs="Times New Roman"/>
          <w:b w:val="0"/>
          <w:bCs w:val="0"/>
          <w:sz w:val="24"/>
          <w:szCs w:val="24"/>
        </w:rPr>
        <w:t xml:space="preserve">takiej zmiany nie </w:t>
      </w:r>
      <w:r w:rsidR="001D453E" w:rsidRPr="00E11754">
        <w:rPr>
          <w:rStyle w:val="Pogrubienie"/>
          <w:rFonts w:ascii="Times New Roman" w:hAnsi="Times New Roman" w:cs="Times New Roman"/>
          <w:b w:val="0"/>
          <w:bCs w:val="0"/>
          <w:sz w:val="24"/>
          <w:szCs w:val="24"/>
        </w:rPr>
        <w:t>ma</w:t>
      </w:r>
      <w:r w:rsidRPr="00E11754">
        <w:rPr>
          <w:rStyle w:val="Pogrubienie"/>
          <w:rFonts w:ascii="Times New Roman" w:hAnsi="Times New Roman" w:cs="Times New Roman"/>
          <w:b w:val="0"/>
          <w:bCs w:val="0"/>
          <w:sz w:val="24"/>
          <w:szCs w:val="24"/>
        </w:rPr>
        <w:t xml:space="preserve"> </w:t>
      </w:r>
      <w:r w:rsidR="008B0F68" w:rsidRPr="00E11754">
        <w:rPr>
          <w:rStyle w:val="Pogrubienie"/>
          <w:rFonts w:ascii="Times New Roman" w:hAnsi="Times New Roman" w:cs="Times New Roman"/>
          <w:b w:val="0"/>
          <w:bCs w:val="0"/>
          <w:sz w:val="24"/>
          <w:szCs w:val="24"/>
        </w:rPr>
        <w:t xml:space="preserve">nawrotów oraz przerzutów. Drugim typem są nowotwory złośliwe, które charakteryzują się znacznie szybszym tempem wzrostu. Ponadto, </w:t>
      </w:r>
      <w:r w:rsidR="001D453E" w:rsidRPr="00E11754">
        <w:rPr>
          <w:rStyle w:val="Pogrubienie"/>
          <w:rFonts w:ascii="Times New Roman" w:hAnsi="Times New Roman" w:cs="Times New Roman"/>
          <w:b w:val="0"/>
          <w:bCs w:val="0"/>
          <w:sz w:val="24"/>
          <w:szCs w:val="24"/>
        </w:rPr>
        <w:t>m</w:t>
      </w:r>
      <w:r w:rsidR="008B0F68" w:rsidRPr="00E11754">
        <w:rPr>
          <w:rStyle w:val="Pogrubienie"/>
          <w:rFonts w:ascii="Times New Roman" w:hAnsi="Times New Roman" w:cs="Times New Roman"/>
          <w:b w:val="0"/>
          <w:bCs w:val="0"/>
          <w:sz w:val="24"/>
          <w:szCs w:val="24"/>
        </w:rPr>
        <w:t>o</w:t>
      </w:r>
      <w:r w:rsidR="001D453E" w:rsidRPr="00E11754">
        <w:rPr>
          <w:rStyle w:val="Pogrubienie"/>
          <w:rFonts w:ascii="Times New Roman" w:hAnsi="Times New Roman" w:cs="Times New Roman"/>
          <w:b w:val="0"/>
          <w:bCs w:val="0"/>
          <w:sz w:val="24"/>
          <w:szCs w:val="24"/>
        </w:rPr>
        <w:t xml:space="preserve">gą </w:t>
      </w:r>
      <w:r w:rsidR="008B0F68" w:rsidRPr="00E11754">
        <w:rPr>
          <w:rStyle w:val="Pogrubienie"/>
          <w:rFonts w:ascii="Times New Roman" w:hAnsi="Times New Roman" w:cs="Times New Roman"/>
          <w:b w:val="0"/>
          <w:bCs w:val="0"/>
          <w:sz w:val="24"/>
          <w:szCs w:val="24"/>
        </w:rPr>
        <w:t>powodować liczne nacieki do okolicznych tkanek</w:t>
      </w:r>
      <w:r w:rsidR="001D453E" w:rsidRPr="00E11754">
        <w:rPr>
          <w:rStyle w:val="Pogrubienie"/>
          <w:rFonts w:ascii="Times New Roman" w:hAnsi="Times New Roman" w:cs="Times New Roman"/>
          <w:b w:val="0"/>
          <w:bCs w:val="0"/>
          <w:sz w:val="24"/>
          <w:szCs w:val="24"/>
        </w:rPr>
        <w:t>,</w:t>
      </w:r>
      <w:r w:rsidR="008B0F68" w:rsidRPr="00E11754">
        <w:rPr>
          <w:rStyle w:val="Pogrubienie"/>
          <w:rFonts w:ascii="Times New Roman" w:hAnsi="Times New Roman" w:cs="Times New Roman"/>
          <w:b w:val="0"/>
          <w:bCs w:val="0"/>
          <w:sz w:val="24"/>
          <w:szCs w:val="24"/>
        </w:rPr>
        <w:t xml:space="preserve"> jak również dawać odległe przerzuty</w:t>
      </w:r>
      <w:r w:rsidR="00BF6795" w:rsidRPr="00E11754">
        <w:rPr>
          <w:rStyle w:val="Pogrubienie"/>
          <w:rFonts w:ascii="Times New Roman" w:hAnsi="Times New Roman" w:cs="Times New Roman"/>
          <w:b w:val="0"/>
          <w:bCs w:val="0"/>
          <w:sz w:val="24"/>
          <w:szCs w:val="24"/>
        </w:rPr>
        <w:t xml:space="preserve">, nawet </w:t>
      </w:r>
      <w:r w:rsidR="008D3887" w:rsidRPr="00E11754">
        <w:rPr>
          <w:rStyle w:val="Pogrubienie"/>
          <w:rFonts w:ascii="Times New Roman" w:hAnsi="Times New Roman" w:cs="Times New Roman"/>
          <w:b w:val="0"/>
          <w:bCs w:val="0"/>
          <w:sz w:val="24"/>
          <w:szCs w:val="24"/>
        </w:rPr>
        <w:t xml:space="preserve">przy </w:t>
      </w:r>
      <w:r w:rsidR="001D453E" w:rsidRPr="00E11754">
        <w:rPr>
          <w:rStyle w:val="Pogrubienie"/>
          <w:rFonts w:ascii="Times New Roman" w:hAnsi="Times New Roman" w:cs="Times New Roman"/>
          <w:b w:val="0"/>
          <w:bCs w:val="0"/>
          <w:sz w:val="24"/>
          <w:szCs w:val="24"/>
        </w:rPr>
        <w:t>zastosowan</w:t>
      </w:r>
      <w:r w:rsidR="008D3887" w:rsidRPr="00E11754">
        <w:rPr>
          <w:rStyle w:val="Pogrubienie"/>
          <w:rFonts w:ascii="Times New Roman" w:hAnsi="Times New Roman" w:cs="Times New Roman"/>
          <w:b w:val="0"/>
          <w:bCs w:val="0"/>
          <w:sz w:val="24"/>
          <w:szCs w:val="24"/>
        </w:rPr>
        <w:t>iu</w:t>
      </w:r>
      <w:r w:rsidR="00BF6795" w:rsidRPr="00E11754">
        <w:rPr>
          <w:rStyle w:val="Pogrubienie"/>
          <w:rFonts w:ascii="Times New Roman" w:hAnsi="Times New Roman" w:cs="Times New Roman"/>
          <w:b w:val="0"/>
          <w:bCs w:val="0"/>
          <w:sz w:val="24"/>
          <w:szCs w:val="24"/>
        </w:rPr>
        <w:t xml:space="preserve"> leczenia</w:t>
      </w:r>
      <w:r w:rsidR="008B0F68" w:rsidRPr="00E11754">
        <w:rPr>
          <w:rStyle w:val="Pogrubienie"/>
          <w:rFonts w:ascii="Times New Roman" w:hAnsi="Times New Roman" w:cs="Times New Roman"/>
          <w:b w:val="0"/>
          <w:bCs w:val="0"/>
          <w:sz w:val="24"/>
          <w:szCs w:val="24"/>
        </w:rPr>
        <w:t>. W tym przypadku komórki</w:t>
      </w:r>
      <w:r w:rsidR="007A7981" w:rsidRPr="00E11754">
        <w:rPr>
          <w:rStyle w:val="Pogrubienie"/>
          <w:rFonts w:ascii="Times New Roman" w:hAnsi="Times New Roman" w:cs="Times New Roman"/>
          <w:b w:val="0"/>
          <w:bCs w:val="0"/>
          <w:sz w:val="24"/>
          <w:szCs w:val="24"/>
        </w:rPr>
        <w:t xml:space="preserve"> </w:t>
      </w:r>
      <w:r w:rsidR="008D3887" w:rsidRPr="00E11754">
        <w:rPr>
          <w:rStyle w:val="Pogrubienie"/>
          <w:rFonts w:ascii="Times New Roman" w:hAnsi="Times New Roman" w:cs="Times New Roman"/>
          <w:b w:val="0"/>
          <w:bCs w:val="0"/>
          <w:sz w:val="24"/>
          <w:szCs w:val="24"/>
        </w:rPr>
        <w:t>nowotworowe</w:t>
      </w:r>
      <w:r w:rsidR="008B0F68" w:rsidRPr="00E11754">
        <w:rPr>
          <w:rStyle w:val="Pogrubienie"/>
          <w:rFonts w:ascii="Times New Roman" w:hAnsi="Times New Roman" w:cs="Times New Roman"/>
          <w:b w:val="0"/>
          <w:bCs w:val="0"/>
          <w:sz w:val="24"/>
          <w:szCs w:val="24"/>
        </w:rPr>
        <w:t xml:space="preserve"> mają wyraźnie odmienną budowę niż tkanki zdrowe</w:t>
      </w:r>
      <w:r w:rsidR="006F000E" w:rsidRPr="00E11754">
        <w:rPr>
          <w:rStyle w:val="Pogrubienie"/>
          <w:rFonts w:ascii="Times New Roman" w:hAnsi="Times New Roman" w:cs="Times New Roman"/>
          <w:b w:val="0"/>
          <w:bCs w:val="0"/>
          <w:sz w:val="24"/>
          <w:szCs w:val="24"/>
        </w:rPr>
        <w:t xml:space="preserve"> </w:t>
      </w:r>
      <w:r w:rsidR="00D66154" w:rsidRPr="00E11754">
        <w:rPr>
          <w:rStyle w:val="Pogrubienie"/>
          <w:rFonts w:ascii="Times New Roman" w:hAnsi="Times New Roman" w:cs="Times New Roman"/>
          <w:b w:val="0"/>
          <w:bCs w:val="0"/>
          <w:sz w:val="24"/>
          <w:szCs w:val="24"/>
        </w:rPr>
        <w:fldChar w:fldCharType="begin" w:fldLock="1"/>
      </w:r>
      <w:r w:rsidR="00172CA2" w:rsidRPr="00E11754">
        <w:rPr>
          <w:rStyle w:val="Pogrubienie"/>
          <w:rFonts w:ascii="Times New Roman" w:hAnsi="Times New Roman" w:cs="Times New Roman"/>
          <w:b w:val="0"/>
          <w:bCs w:val="0"/>
          <w:sz w:val="24"/>
          <w:szCs w:val="24"/>
        </w:rPr>
        <w:instrText>ADDIN CSL_CITATION {"citationItems":[{"id":"ITEM-1","itemData":{"DOI":"10.1001/jamaoncol.2020.2592","ISSN":"23742445","PMID":"32729930","author":[{"dropping-particle":"","family":"Patel","given":"Aisha","non-dropping-particle":"","parse-names":false,"suffix":""}],"container-title":"JAMA Oncology","id":"ITEM-1","issue":"9","issued":{"date-parts":[["2020"]]},"page":"1488","title":"Benign vs Malignant Tumors","type":"article-journal","volume":"6"},"uris":["http://www.mendeley.com/documents/?uuid=142f5cf4-af0a-4c45-8ae6-e860d1bfc27d"]}],"mendeley":{"formattedCitation":"[12]","plainTextFormattedCitation":"[12]","previouslyFormattedCitation":"[12]"},"properties":{"noteIndex":0},"schema":"https://github.com/citation-style-language/schema/raw/master/csl-citation.json"}</w:instrText>
      </w:r>
      <w:r w:rsidR="00D66154" w:rsidRPr="00E11754">
        <w:rPr>
          <w:rStyle w:val="Pogrubienie"/>
          <w:rFonts w:ascii="Times New Roman" w:hAnsi="Times New Roman" w:cs="Times New Roman"/>
          <w:b w:val="0"/>
          <w:bCs w:val="0"/>
          <w:sz w:val="24"/>
          <w:szCs w:val="24"/>
        </w:rPr>
        <w:fldChar w:fldCharType="separate"/>
      </w:r>
      <w:r w:rsidR="00292937" w:rsidRPr="00E11754">
        <w:rPr>
          <w:rStyle w:val="Pogrubienie"/>
          <w:rFonts w:ascii="Times New Roman" w:hAnsi="Times New Roman" w:cs="Times New Roman"/>
          <w:b w:val="0"/>
          <w:bCs w:val="0"/>
          <w:noProof/>
          <w:sz w:val="24"/>
          <w:szCs w:val="24"/>
        </w:rPr>
        <w:t>[12]</w:t>
      </w:r>
      <w:r w:rsidR="00D66154" w:rsidRPr="00E11754">
        <w:rPr>
          <w:rStyle w:val="Pogrubienie"/>
          <w:rFonts w:ascii="Times New Roman" w:hAnsi="Times New Roman" w:cs="Times New Roman"/>
          <w:b w:val="0"/>
          <w:bCs w:val="0"/>
          <w:sz w:val="24"/>
          <w:szCs w:val="24"/>
        </w:rPr>
        <w:fldChar w:fldCharType="end"/>
      </w:r>
      <w:r w:rsidR="006F000E" w:rsidRPr="00E11754">
        <w:rPr>
          <w:rStyle w:val="Pogrubienie"/>
          <w:rFonts w:ascii="Times New Roman" w:hAnsi="Times New Roman" w:cs="Times New Roman"/>
          <w:b w:val="0"/>
          <w:bCs w:val="0"/>
          <w:sz w:val="24"/>
          <w:szCs w:val="24"/>
        </w:rPr>
        <w:t>.</w:t>
      </w:r>
    </w:p>
    <w:p w14:paraId="5CB002D0" w14:textId="662DDF46" w:rsidR="00BF6795" w:rsidRPr="00E11754" w:rsidRDefault="00BF6795" w:rsidP="006F000E">
      <w:pPr>
        <w:spacing w:line="360" w:lineRule="auto"/>
        <w:jc w:val="both"/>
        <w:rPr>
          <w:rFonts w:ascii="Times New Roman" w:hAnsi="Times New Roman" w:cs="Times New Roman"/>
          <w:color w:val="212529"/>
          <w:sz w:val="24"/>
          <w:szCs w:val="24"/>
          <w:shd w:val="clear" w:color="auto" w:fill="FFFFFF"/>
        </w:rPr>
      </w:pPr>
      <w:r w:rsidRPr="00E11754">
        <w:rPr>
          <w:rFonts w:ascii="Times New Roman" w:hAnsi="Times New Roman" w:cs="Times New Roman"/>
          <w:color w:val="212529"/>
          <w:sz w:val="24"/>
          <w:szCs w:val="24"/>
          <w:shd w:val="clear" w:color="auto" w:fill="FFFFFF"/>
        </w:rPr>
        <w:tab/>
      </w:r>
      <w:r w:rsidR="000A0807" w:rsidRPr="00E11754">
        <w:rPr>
          <w:rFonts w:ascii="Times New Roman" w:hAnsi="Times New Roman" w:cs="Times New Roman"/>
          <w:sz w:val="24"/>
          <w:szCs w:val="24"/>
          <w:shd w:val="clear" w:color="auto" w:fill="FFFFFF"/>
        </w:rPr>
        <w:t>Komórki naszego organizmu nieustanie się dzielą. Jest to proces, podczas którego</w:t>
      </w:r>
      <w:r w:rsidR="00392179" w:rsidRPr="00E11754">
        <w:rPr>
          <w:rFonts w:ascii="Times New Roman" w:hAnsi="Times New Roman" w:cs="Times New Roman"/>
          <w:sz w:val="24"/>
          <w:szCs w:val="24"/>
          <w:shd w:val="clear" w:color="auto" w:fill="FFFFFF"/>
        </w:rPr>
        <w:t xml:space="preserve"> </w:t>
      </w:r>
      <w:r w:rsidR="004A4C07" w:rsidRPr="00E11754">
        <w:rPr>
          <w:rFonts w:ascii="Times New Roman" w:hAnsi="Times New Roman" w:cs="Times New Roman"/>
          <w:sz w:val="24"/>
          <w:szCs w:val="24"/>
          <w:shd w:val="clear" w:color="auto" w:fill="FFFFFF"/>
        </w:rPr>
        <w:t xml:space="preserve">w kodzie DNA </w:t>
      </w:r>
      <w:r w:rsidR="008D3887" w:rsidRPr="00E11754">
        <w:rPr>
          <w:rFonts w:ascii="Times New Roman" w:hAnsi="Times New Roman" w:cs="Times New Roman"/>
          <w:sz w:val="24"/>
          <w:szCs w:val="24"/>
          <w:shd w:val="clear" w:color="auto" w:fill="FFFFFF"/>
        </w:rPr>
        <w:t xml:space="preserve">mogą pojawiać </w:t>
      </w:r>
      <w:r w:rsidR="004A4C07" w:rsidRPr="00E11754">
        <w:rPr>
          <w:rFonts w:ascii="Times New Roman" w:hAnsi="Times New Roman" w:cs="Times New Roman"/>
          <w:sz w:val="24"/>
          <w:szCs w:val="24"/>
          <w:shd w:val="clear" w:color="auto" w:fill="FFFFFF"/>
        </w:rPr>
        <w:t>się</w:t>
      </w:r>
      <w:r w:rsidR="007E3AF6" w:rsidRPr="00E11754">
        <w:rPr>
          <w:rFonts w:ascii="Times New Roman" w:hAnsi="Times New Roman" w:cs="Times New Roman"/>
          <w:sz w:val="24"/>
          <w:szCs w:val="24"/>
          <w:shd w:val="clear" w:color="auto" w:fill="FFFFFF"/>
        </w:rPr>
        <w:t xml:space="preserve"> błęd</w:t>
      </w:r>
      <w:r w:rsidR="009C11C2" w:rsidRPr="00E11754">
        <w:rPr>
          <w:rFonts w:ascii="Times New Roman" w:hAnsi="Times New Roman" w:cs="Times New Roman"/>
          <w:sz w:val="24"/>
          <w:szCs w:val="24"/>
          <w:shd w:val="clear" w:color="auto" w:fill="FFFFFF"/>
        </w:rPr>
        <w:t>y</w:t>
      </w:r>
      <w:r w:rsidR="00392179" w:rsidRPr="00E11754">
        <w:rPr>
          <w:rFonts w:ascii="Times New Roman" w:hAnsi="Times New Roman" w:cs="Times New Roman"/>
          <w:sz w:val="24"/>
          <w:szCs w:val="24"/>
          <w:shd w:val="clear" w:color="auto" w:fill="FFFFFF"/>
        </w:rPr>
        <w:t>. W</w:t>
      </w:r>
      <w:r w:rsidR="000A0807" w:rsidRPr="00E11754">
        <w:rPr>
          <w:rFonts w:ascii="Times New Roman" w:hAnsi="Times New Roman" w:cs="Times New Roman"/>
          <w:sz w:val="24"/>
          <w:szCs w:val="24"/>
          <w:shd w:val="clear" w:color="auto" w:fill="FFFFFF"/>
        </w:rPr>
        <w:t xml:space="preserve"> </w:t>
      </w:r>
      <w:r w:rsidR="00C038EC" w:rsidRPr="00E11754">
        <w:rPr>
          <w:rFonts w:ascii="Times New Roman" w:hAnsi="Times New Roman" w:cs="Times New Roman"/>
          <w:sz w:val="24"/>
          <w:szCs w:val="24"/>
          <w:shd w:val="clear" w:color="auto" w:fill="FFFFFF"/>
        </w:rPr>
        <w:t>prawidłowym trybie</w:t>
      </w:r>
      <w:r w:rsidR="00061614" w:rsidRPr="00E11754">
        <w:rPr>
          <w:rFonts w:ascii="Times New Roman" w:hAnsi="Times New Roman" w:cs="Times New Roman"/>
          <w:sz w:val="24"/>
          <w:szCs w:val="24"/>
          <w:shd w:val="clear" w:color="auto" w:fill="FFFFFF"/>
        </w:rPr>
        <w:t xml:space="preserve"> za sprawą białek sygnałowych</w:t>
      </w:r>
      <w:r w:rsidR="00C038EC" w:rsidRPr="00E11754">
        <w:rPr>
          <w:rFonts w:ascii="Times New Roman" w:hAnsi="Times New Roman" w:cs="Times New Roman"/>
          <w:sz w:val="24"/>
          <w:szCs w:val="24"/>
          <w:shd w:val="clear" w:color="auto" w:fill="FFFFFF"/>
        </w:rPr>
        <w:t xml:space="preserve"> </w:t>
      </w:r>
      <w:r w:rsidR="00392179" w:rsidRPr="00E11754">
        <w:rPr>
          <w:rFonts w:ascii="Times New Roman" w:hAnsi="Times New Roman" w:cs="Times New Roman"/>
          <w:sz w:val="24"/>
          <w:szCs w:val="24"/>
          <w:shd w:val="clear" w:color="auto" w:fill="FFFFFF"/>
        </w:rPr>
        <w:t xml:space="preserve">ten proces zostaje </w:t>
      </w:r>
      <w:r w:rsidR="00061614" w:rsidRPr="00E11754">
        <w:rPr>
          <w:rFonts w:ascii="Times New Roman" w:hAnsi="Times New Roman" w:cs="Times New Roman"/>
          <w:sz w:val="24"/>
          <w:szCs w:val="24"/>
          <w:shd w:val="clear" w:color="auto" w:fill="FFFFFF"/>
        </w:rPr>
        <w:t>zatrzymany</w:t>
      </w:r>
      <w:r w:rsidR="00C038EC" w:rsidRPr="00E11754">
        <w:rPr>
          <w:rFonts w:ascii="Times New Roman" w:hAnsi="Times New Roman" w:cs="Times New Roman"/>
          <w:sz w:val="24"/>
          <w:szCs w:val="24"/>
          <w:shd w:val="clear" w:color="auto" w:fill="FFFFFF"/>
        </w:rPr>
        <w:t xml:space="preserve"> poprzez układ odpornościowy</w:t>
      </w:r>
      <w:r w:rsidR="00392179" w:rsidRPr="00E11754">
        <w:rPr>
          <w:rFonts w:ascii="Times New Roman" w:hAnsi="Times New Roman" w:cs="Times New Roman"/>
          <w:sz w:val="24"/>
          <w:szCs w:val="24"/>
          <w:shd w:val="clear" w:color="auto" w:fill="FFFFFF"/>
        </w:rPr>
        <w:t xml:space="preserve">. </w:t>
      </w:r>
      <w:r w:rsidR="00DA0983" w:rsidRPr="00E11754">
        <w:rPr>
          <w:rFonts w:ascii="Times New Roman" w:hAnsi="Times New Roman" w:cs="Times New Roman"/>
          <w:sz w:val="24"/>
          <w:szCs w:val="24"/>
          <w:shd w:val="clear" w:color="auto" w:fill="FFFFFF"/>
        </w:rPr>
        <w:t>W efekcie</w:t>
      </w:r>
      <w:r w:rsidR="004A4C07" w:rsidRPr="00E11754">
        <w:rPr>
          <w:rFonts w:ascii="Times New Roman" w:hAnsi="Times New Roman" w:cs="Times New Roman"/>
          <w:sz w:val="24"/>
          <w:szCs w:val="24"/>
          <w:shd w:val="clear" w:color="auto" w:fill="FFFFFF"/>
        </w:rPr>
        <w:t>,</w:t>
      </w:r>
      <w:r w:rsidR="00DA0983" w:rsidRPr="00E11754">
        <w:rPr>
          <w:rFonts w:ascii="Times New Roman" w:hAnsi="Times New Roman" w:cs="Times New Roman"/>
          <w:sz w:val="24"/>
          <w:szCs w:val="24"/>
          <w:shd w:val="clear" w:color="auto" w:fill="FFFFFF"/>
        </w:rPr>
        <w:t xml:space="preserve"> komórki albo zostają naprawione</w:t>
      </w:r>
      <w:r w:rsidR="004A4C07" w:rsidRPr="00E11754">
        <w:rPr>
          <w:rFonts w:ascii="Times New Roman" w:hAnsi="Times New Roman" w:cs="Times New Roman"/>
          <w:sz w:val="24"/>
          <w:szCs w:val="24"/>
          <w:shd w:val="clear" w:color="auto" w:fill="FFFFFF"/>
        </w:rPr>
        <w:t>,</w:t>
      </w:r>
      <w:r w:rsidR="00443F4D" w:rsidRPr="00E11754">
        <w:rPr>
          <w:rFonts w:ascii="Times New Roman" w:hAnsi="Times New Roman" w:cs="Times New Roman"/>
          <w:sz w:val="24"/>
          <w:szCs w:val="24"/>
          <w:shd w:val="clear" w:color="auto" w:fill="FFFFFF"/>
        </w:rPr>
        <w:t xml:space="preserve"> </w:t>
      </w:r>
      <w:r w:rsidR="00DA0983" w:rsidRPr="00E11754">
        <w:rPr>
          <w:rFonts w:ascii="Times New Roman" w:hAnsi="Times New Roman" w:cs="Times New Roman"/>
          <w:sz w:val="24"/>
          <w:szCs w:val="24"/>
          <w:shd w:val="clear" w:color="auto" w:fill="FFFFFF"/>
        </w:rPr>
        <w:t>albo ulegają apoptozie.</w:t>
      </w:r>
      <w:r w:rsidR="00A40502" w:rsidRPr="00E11754">
        <w:rPr>
          <w:rFonts w:ascii="Times New Roman" w:hAnsi="Times New Roman" w:cs="Times New Roman"/>
          <w:sz w:val="24"/>
          <w:szCs w:val="24"/>
          <w:shd w:val="clear" w:color="auto" w:fill="FFFFFF"/>
        </w:rPr>
        <w:t xml:space="preserve"> </w:t>
      </w:r>
      <w:r w:rsidR="004A4C07" w:rsidRPr="00E11754">
        <w:rPr>
          <w:rFonts w:ascii="Times New Roman" w:hAnsi="Times New Roman" w:cs="Times New Roman"/>
          <w:sz w:val="24"/>
          <w:szCs w:val="24"/>
          <w:shd w:val="clear" w:color="auto" w:fill="FFFFFF"/>
        </w:rPr>
        <w:t xml:space="preserve">Wśród </w:t>
      </w:r>
      <w:r w:rsidR="00112516" w:rsidRPr="00E11754">
        <w:rPr>
          <w:rFonts w:ascii="Times New Roman" w:hAnsi="Times New Roman" w:cs="Times New Roman"/>
          <w:sz w:val="24"/>
          <w:szCs w:val="24"/>
          <w:shd w:val="clear" w:color="auto" w:fill="FFFFFF"/>
        </w:rPr>
        <w:t xml:space="preserve">genów tworzących nowe komórki można wyróżnić </w:t>
      </w:r>
      <w:proofErr w:type="spellStart"/>
      <w:r w:rsidR="00112516" w:rsidRPr="00E11754">
        <w:rPr>
          <w:rFonts w:ascii="Times New Roman" w:hAnsi="Times New Roman" w:cs="Times New Roman"/>
          <w:sz w:val="24"/>
          <w:szCs w:val="24"/>
          <w:shd w:val="clear" w:color="auto" w:fill="FFFFFF"/>
        </w:rPr>
        <w:t>p</w:t>
      </w:r>
      <w:r w:rsidR="00A40502" w:rsidRPr="00E11754">
        <w:rPr>
          <w:rFonts w:ascii="Times New Roman" w:hAnsi="Times New Roman" w:cs="Times New Roman"/>
          <w:sz w:val="24"/>
          <w:szCs w:val="24"/>
          <w:shd w:val="clear" w:color="auto" w:fill="FFFFFF"/>
        </w:rPr>
        <w:t>ro</w:t>
      </w:r>
      <w:r w:rsidR="00BA0B6B" w:rsidRPr="00E11754">
        <w:rPr>
          <w:rFonts w:ascii="Times New Roman" w:hAnsi="Times New Roman" w:cs="Times New Roman"/>
          <w:sz w:val="24"/>
          <w:szCs w:val="24"/>
          <w:shd w:val="clear" w:color="auto" w:fill="FFFFFF"/>
        </w:rPr>
        <w:t>toon</w:t>
      </w:r>
      <w:r w:rsidR="00A40502" w:rsidRPr="00E11754">
        <w:rPr>
          <w:rFonts w:ascii="Times New Roman" w:hAnsi="Times New Roman" w:cs="Times New Roman"/>
          <w:sz w:val="24"/>
          <w:szCs w:val="24"/>
          <w:shd w:val="clear" w:color="auto" w:fill="FFFFFF"/>
        </w:rPr>
        <w:t>kogen</w:t>
      </w:r>
      <w:r w:rsidR="006150A0" w:rsidRPr="00E11754">
        <w:rPr>
          <w:rFonts w:ascii="Times New Roman" w:hAnsi="Times New Roman" w:cs="Times New Roman"/>
          <w:sz w:val="24"/>
          <w:szCs w:val="24"/>
          <w:shd w:val="clear" w:color="auto" w:fill="FFFFFF"/>
        </w:rPr>
        <w:t>y</w:t>
      </w:r>
      <w:proofErr w:type="spellEnd"/>
      <w:r w:rsidR="00CF056E" w:rsidRPr="00E11754">
        <w:rPr>
          <w:rFonts w:ascii="Times New Roman" w:hAnsi="Times New Roman" w:cs="Times New Roman"/>
          <w:sz w:val="24"/>
          <w:szCs w:val="24"/>
          <w:shd w:val="clear" w:color="auto" w:fill="FFFFFF"/>
        </w:rPr>
        <w:t xml:space="preserve"> </w:t>
      </w:r>
      <w:r w:rsidR="00112516" w:rsidRPr="00E11754">
        <w:rPr>
          <w:rFonts w:ascii="Times New Roman" w:hAnsi="Times New Roman" w:cs="Times New Roman"/>
          <w:sz w:val="24"/>
          <w:szCs w:val="24"/>
          <w:shd w:val="clear" w:color="auto" w:fill="FFFFFF"/>
        </w:rPr>
        <w:t>czyli</w:t>
      </w:r>
      <w:r w:rsidR="00AC6FB6" w:rsidRPr="00E11754">
        <w:rPr>
          <w:rFonts w:ascii="Times New Roman" w:hAnsi="Times New Roman" w:cs="Times New Roman"/>
          <w:sz w:val="24"/>
          <w:szCs w:val="24"/>
          <w:shd w:val="clear" w:color="auto" w:fill="FFFFFF"/>
        </w:rPr>
        <w:t xml:space="preserve"> gen</w:t>
      </w:r>
      <w:r w:rsidR="006150A0" w:rsidRPr="00E11754">
        <w:rPr>
          <w:rFonts w:ascii="Times New Roman" w:hAnsi="Times New Roman" w:cs="Times New Roman"/>
          <w:sz w:val="24"/>
          <w:szCs w:val="24"/>
          <w:shd w:val="clear" w:color="auto" w:fill="FFFFFF"/>
        </w:rPr>
        <w:t>y</w:t>
      </w:r>
      <w:r w:rsidR="00AC6FB6" w:rsidRPr="00E11754">
        <w:rPr>
          <w:rFonts w:ascii="Times New Roman" w:hAnsi="Times New Roman" w:cs="Times New Roman"/>
          <w:sz w:val="24"/>
          <w:szCs w:val="24"/>
          <w:shd w:val="clear" w:color="auto" w:fill="FFFFFF"/>
        </w:rPr>
        <w:t xml:space="preserve">, które mogą się przekształcić w geny </w:t>
      </w:r>
      <w:r w:rsidR="006150A0" w:rsidRPr="00E11754">
        <w:rPr>
          <w:rFonts w:ascii="Times New Roman" w:hAnsi="Times New Roman" w:cs="Times New Roman"/>
          <w:sz w:val="24"/>
          <w:szCs w:val="24"/>
          <w:shd w:val="clear" w:color="auto" w:fill="FFFFFF"/>
        </w:rPr>
        <w:t>inicjujące niekontrolowane podział</w:t>
      </w:r>
      <w:r w:rsidR="00CF056E" w:rsidRPr="00E11754">
        <w:rPr>
          <w:rFonts w:ascii="Times New Roman" w:hAnsi="Times New Roman" w:cs="Times New Roman"/>
          <w:sz w:val="24"/>
          <w:szCs w:val="24"/>
          <w:shd w:val="clear" w:color="auto" w:fill="FFFFFF"/>
        </w:rPr>
        <w:t>y</w:t>
      </w:r>
      <w:r w:rsidR="00DD76B1">
        <w:rPr>
          <w:rFonts w:ascii="Times New Roman" w:hAnsi="Times New Roman" w:cs="Times New Roman"/>
          <w:sz w:val="24"/>
          <w:szCs w:val="24"/>
          <w:shd w:val="clear" w:color="auto" w:fill="FFFFFF"/>
        </w:rPr>
        <w:t xml:space="preserve"> </w:t>
      </w:r>
      <w:r w:rsidR="00DD76B1">
        <w:rPr>
          <w:rFonts w:ascii="Times New Roman" w:hAnsi="Times New Roman" w:cs="Times New Roman"/>
          <w:sz w:val="24"/>
          <w:szCs w:val="24"/>
          <w:shd w:val="clear" w:color="auto" w:fill="FFFFFF"/>
        </w:rPr>
        <w:fldChar w:fldCharType="begin" w:fldLock="1"/>
      </w:r>
      <w:r w:rsidR="002D6E24">
        <w:rPr>
          <w:rFonts w:ascii="Times New Roman" w:hAnsi="Times New Roman" w:cs="Times New Roman"/>
          <w:sz w:val="24"/>
          <w:szCs w:val="24"/>
          <w:shd w:val="clear" w:color="auto" w:fill="FFFFFF"/>
        </w:rPr>
        <w:instrText>ADDIN CSL_CITATION {"citationItems":[{"id":"ITEM-1","itemData":{"DOI":"10.21873/anticanres.14622","ISSN":"17917530","PMID":"33109539","abstract":"Cancer is a medical condition which has a molecular basis. Proto-oncogenes are the first regulatory factors of this biological process. They act in transmitting signals, resulting as growth factors. Modifications of these genes, called oncogenes, lead to the appearance of cancer cells. The activation process leading to proto-oncogenes are chromosomal translocation, point mutation, and gene amplification. Concerning the clonal theory of oncogenesis, it is believed that a tumor starts from a cell. Furthermore, there is close association between tumor development and inhibition of apoptosis or programmed cell death, providing cell immortality. Angiogenesis and angiogenic factors found to be expressed in tumors and may play a key role in tumor formation and development. Tumor-suppressor genes block the growth of cancer and contribute to the normal development of cells. This article highlights the evidence that neoplasms develop as the after-effect of the increase of acquired and physical genetic variations in proto-oncogenes and tumor-suppressor genes; these form a target group in the cells of neoplasms. Tumor formation and development are characterized by individual processes, working synergistically, and an understanding of each individual process may provide a better basis for further anticancer research.","author":[{"dropping-particle":"","family":"Kontomanolis","given":"Emmanuel N.","non-dropping-particle":"","parse-names":false,"suffix":""},{"dropping-particle":"","family":"Koutras","given":"Antonios","non-dropping-particle":"","parse-names":false,"suffix":""},{"dropping-particle":"","family":"Syllaios","given":"Athanasios","non-dropping-particle":"","parse-names":false,"suffix":""},{"dropping-particle":"","family":"Schizas","given":"Dimitrios","non-dropping-particle":"","parse-names":false,"suffix":""},{"dropping-particle":"","family":"Mastoraki","given":"Aikaterini","non-dropping-particle":"","parse-names":false,"suffix":""},{"dropping-particle":"","family":"Garmpis","given":"Nikolaos","non-dropping-particle":"","parse-names":false,"suffix":""},{"dropping-particle":"","family":"Diakosavvas","given":"Michail","non-dropping-particle":"","parse-names":false,"suffix":""},{"dropping-particle":"","family":"Angelou","given":"Kyveli","non-dropping-particle":"","parse-names":false,"suffix":""},{"dropping-particle":"","family":"Tsatsaris","given":"Georgios","non-dropping-particle":"","parse-names":false,"suffix":""},{"dropping-particle":"","family":"Pagkalos","given":"Athanasios","non-dropping-particle":"","parse-names":false,"suffix":""},{"dropping-particle":"","family":"Ntounis","given":"Thomas","non-dropping-particle":"","parse-names":false,"suffix":""},{"dropping-particle":"","family":"Fasoulakis","given":"Zacharias","non-dropping-particle":"","parse-names":false,"suffix":""}],"container-title":"Anticancer Research","id":"ITEM-1","issue":"11","issued":{"date-parts":[["2020"]]},"page":"6009-6015","title":"Role of oncogenes and tumor-suppressor genes in carcinogenesis: A review","type":"article-journal","volume":"40"},"uris":["http://www.mendeley.com/documents/?uuid=2d927c60-33c3-4919-9bc2-b559251afa9d"]}],"mendeley":{"formattedCitation":"[13]","plainTextFormattedCitation":"[13]","previouslyFormattedCitation":"[13]"},"properties":{"noteIndex":0},"schema":"https://github.com/citation-style-language/schema/raw/master/csl-citation.json"}</w:instrText>
      </w:r>
      <w:r w:rsidR="00DD76B1">
        <w:rPr>
          <w:rFonts w:ascii="Times New Roman" w:hAnsi="Times New Roman" w:cs="Times New Roman"/>
          <w:sz w:val="24"/>
          <w:szCs w:val="24"/>
          <w:shd w:val="clear" w:color="auto" w:fill="FFFFFF"/>
        </w:rPr>
        <w:fldChar w:fldCharType="separate"/>
      </w:r>
      <w:r w:rsidR="00DD76B1" w:rsidRPr="00DD76B1">
        <w:rPr>
          <w:rFonts w:ascii="Times New Roman" w:hAnsi="Times New Roman" w:cs="Times New Roman"/>
          <w:noProof/>
          <w:sz w:val="24"/>
          <w:szCs w:val="24"/>
          <w:shd w:val="clear" w:color="auto" w:fill="FFFFFF"/>
        </w:rPr>
        <w:t>[13]</w:t>
      </w:r>
      <w:r w:rsidR="00DD76B1">
        <w:rPr>
          <w:rFonts w:ascii="Times New Roman" w:hAnsi="Times New Roman" w:cs="Times New Roman"/>
          <w:sz w:val="24"/>
          <w:szCs w:val="24"/>
          <w:shd w:val="clear" w:color="auto" w:fill="FFFFFF"/>
        </w:rPr>
        <w:fldChar w:fldCharType="end"/>
      </w:r>
      <w:r w:rsidR="3998842B" w:rsidRPr="3998842B">
        <w:rPr>
          <w:rFonts w:ascii="Times New Roman" w:hAnsi="Times New Roman" w:cs="Times New Roman"/>
          <w:sz w:val="24"/>
          <w:szCs w:val="24"/>
        </w:rPr>
        <w:t xml:space="preserve">, </w:t>
      </w:r>
      <w:r w:rsidR="00794BBE">
        <w:rPr>
          <w:rFonts w:ascii="Times New Roman" w:hAnsi="Times New Roman" w:cs="Times New Roman"/>
          <w:sz w:val="24"/>
          <w:szCs w:val="24"/>
          <w:shd w:val="clear" w:color="auto" w:fill="FFFFFF"/>
        </w:rPr>
        <w:fldChar w:fldCharType="begin" w:fldLock="1"/>
      </w:r>
      <w:r w:rsidR="00223473">
        <w:rPr>
          <w:rFonts w:ascii="Times New Roman" w:hAnsi="Times New Roman" w:cs="Times New Roman"/>
          <w:sz w:val="24"/>
          <w:szCs w:val="24"/>
          <w:shd w:val="clear" w:color="auto" w:fill="FFFFFF"/>
        </w:rPr>
        <w:instrText>ADDIN CSL_CITATION {"citationItems":[{"id":"ITEM-1","itemData":{"DOI":"10.1016/j.mpsur.2017.12.002","ISSN":"18781764","abstract":"Chemotherapy drugs exert their effects by interfering with the cell cycle and the process of mitosis. Their therapeutic use stems from their ability to cause a greater proportion of cell kill in cancer cells as opposed to normal cells. In this article we discuss the clinical uses of chemotherapy, their mechanism of action, important toxicities and patterns of resistance.","author":[{"dropping-particle":"","family":"Dickens","given":"Elena","non-dropping-particle":"","parse-names":false,"suffix":""},{"dropping-particle":"","family":"Ahmed","given":"Samreen","non-dropping-particle":"","parse-names":false,"suffix":""}],"container-title":"Surgery (United Kingdom)","id":"ITEM-1","issue":"3","issued":{"date-parts":[["2018"]]},"page":"134-138","publisher":"Elsevier Ltd","title":"Principles of cancer treatment by chemotherapy","type":"article-journal","volume":"36"},"uris":["http://www.mendeley.com/documents/?uuid=f8844601-8072-4169-a54c-7a9e9753e7c8"]}],"mendeley":{"formattedCitation":"[14]","plainTextFormattedCitation":"[14]","previouslyFormattedCitation":"[14]"},"properties":{"noteIndex":0},"schema":"https://github.com/citation-style-language/schema/raw/master/csl-citation.json"}</w:instrText>
      </w:r>
      <w:r w:rsidR="00794BBE">
        <w:rPr>
          <w:rFonts w:ascii="Times New Roman" w:hAnsi="Times New Roman" w:cs="Times New Roman"/>
          <w:sz w:val="24"/>
          <w:szCs w:val="24"/>
          <w:shd w:val="clear" w:color="auto" w:fill="FFFFFF"/>
        </w:rPr>
        <w:fldChar w:fldCharType="separate"/>
      </w:r>
      <w:r w:rsidR="00794BBE" w:rsidRPr="00794BBE">
        <w:rPr>
          <w:rFonts w:ascii="Times New Roman" w:hAnsi="Times New Roman" w:cs="Times New Roman"/>
          <w:noProof/>
          <w:sz w:val="24"/>
          <w:szCs w:val="24"/>
          <w:shd w:val="clear" w:color="auto" w:fill="FFFFFF"/>
        </w:rPr>
        <w:t>[14]</w:t>
      </w:r>
      <w:r w:rsidR="00794BBE">
        <w:rPr>
          <w:rFonts w:ascii="Times New Roman" w:hAnsi="Times New Roman" w:cs="Times New Roman"/>
          <w:sz w:val="24"/>
          <w:szCs w:val="24"/>
          <w:shd w:val="clear" w:color="auto" w:fill="FFFFFF"/>
        </w:rPr>
        <w:fldChar w:fldCharType="end"/>
      </w:r>
      <w:r w:rsidR="00CF056E" w:rsidRPr="00E11754">
        <w:rPr>
          <w:rFonts w:ascii="Times New Roman" w:hAnsi="Times New Roman" w:cs="Times New Roman"/>
          <w:sz w:val="24"/>
          <w:szCs w:val="24"/>
          <w:shd w:val="clear" w:color="auto" w:fill="FFFFFF"/>
        </w:rPr>
        <w:t>. Po ich mutacji</w:t>
      </w:r>
      <w:r w:rsidR="005F1567" w:rsidRPr="00E11754">
        <w:rPr>
          <w:rFonts w:ascii="Times New Roman" w:hAnsi="Times New Roman" w:cs="Times New Roman"/>
          <w:sz w:val="24"/>
          <w:szCs w:val="24"/>
          <w:shd w:val="clear" w:color="auto" w:fill="FFFFFF"/>
        </w:rPr>
        <w:t xml:space="preserve"> bądź</w:t>
      </w:r>
      <w:r w:rsidR="001D3C20" w:rsidRPr="00E11754">
        <w:rPr>
          <w:rFonts w:ascii="Times New Roman" w:hAnsi="Times New Roman" w:cs="Times New Roman"/>
          <w:sz w:val="24"/>
          <w:szCs w:val="24"/>
          <w:shd w:val="clear" w:color="auto" w:fill="FFFFFF"/>
        </w:rPr>
        <w:t xml:space="preserve"> przyłączeniu się do ni</w:t>
      </w:r>
      <w:r w:rsidR="005F1567" w:rsidRPr="00E11754">
        <w:rPr>
          <w:rFonts w:ascii="Times New Roman" w:hAnsi="Times New Roman" w:cs="Times New Roman"/>
          <w:sz w:val="24"/>
          <w:szCs w:val="24"/>
          <w:shd w:val="clear" w:color="auto" w:fill="FFFFFF"/>
        </w:rPr>
        <w:t>ch</w:t>
      </w:r>
      <w:r w:rsidR="001D3C20" w:rsidRPr="00E11754">
        <w:rPr>
          <w:rFonts w:ascii="Times New Roman" w:hAnsi="Times New Roman" w:cs="Times New Roman"/>
          <w:sz w:val="24"/>
          <w:szCs w:val="24"/>
          <w:shd w:val="clear" w:color="auto" w:fill="FFFFFF"/>
        </w:rPr>
        <w:t xml:space="preserve"> wirusa</w:t>
      </w:r>
      <w:r w:rsidR="005F1567" w:rsidRPr="00E11754">
        <w:rPr>
          <w:rFonts w:ascii="Times New Roman" w:hAnsi="Times New Roman" w:cs="Times New Roman"/>
          <w:sz w:val="24"/>
          <w:szCs w:val="24"/>
          <w:shd w:val="clear" w:color="auto" w:fill="FFFFFF"/>
        </w:rPr>
        <w:t xml:space="preserve"> wy</w:t>
      </w:r>
      <w:r w:rsidR="00392F45" w:rsidRPr="00E11754">
        <w:rPr>
          <w:rFonts w:ascii="Times New Roman" w:hAnsi="Times New Roman" w:cs="Times New Roman"/>
          <w:sz w:val="24"/>
          <w:szCs w:val="24"/>
          <w:shd w:val="clear" w:color="auto" w:fill="FFFFFF"/>
        </w:rPr>
        <w:t xml:space="preserve">wołującego zmiany w </w:t>
      </w:r>
      <w:r w:rsidR="001D3C20" w:rsidRPr="00E11754">
        <w:rPr>
          <w:rFonts w:ascii="Times New Roman" w:hAnsi="Times New Roman" w:cs="Times New Roman"/>
          <w:sz w:val="24"/>
          <w:szCs w:val="24"/>
          <w:shd w:val="clear" w:color="auto" w:fill="FFFFFF"/>
        </w:rPr>
        <w:t>pierwotn</w:t>
      </w:r>
      <w:r w:rsidR="00392F45" w:rsidRPr="00E11754">
        <w:rPr>
          <w:rFonts w:ascii="Times New Roman" w:hAnsi="Times New Roman" w:cs="Times New Roman"/>
          <w:sz w:val="24"/>
          <w:szCs w:val="24"/>
          <w:shd w:val="clear" w:color="auto" w:fill="FFFFFF"/>
        </w:rPr>
        <w:t>ej</w:t>
      </w:r>
      <w:r w:rsidR="001D3C20" w:rsidRPr="00E11754">
        <w:rPr>
          <w:rFonts w:ascii="Times New Roman" w:hAnsi="Times New Roman" w:cs="Times New Roman"/>
          <w:sz w:val="24"/>
          <w:szCs w:val="24"/>
          <w:shd w:val="clear" w:color="auto" w:fill="FFFFFF"/>
        </w:rPr>
        <w:t xml:space="preserve"> posta</w:t>
      </w:r>
      <w:r w:rsidR="00392F45" w:rsidRPr="00E11754">
        <w:rPr>
          <w:rFonts w:ascii="Times New Roman" w:hAnsi="Times New Roman" w:cs="Times New Roman"/>
          <w:sz w:val="24"/>
          <w:szCs w:val="24"/>
          <w:shd w:val="clear" w:color="auto" w:fill="FFFFFF"/>
        </w:rPr>
        <w:t>ci</w:t>
      </w:r>
      <w:r w:rsidR="001D3C20" w:rsidRPr="00E11754">
        <w:rPr>
          <w:rFonts w:ascii="Times New Roman" w:hAnsi="Times New Roman" w:cs="Times New Roman"/>
          <w:sz w:val="24"/>
          <w:szCs w:val="24"/>
          <w:shd w:val="clear" w:color="auto" w:fill="FFFFFF"/>
        </w:rPr>
        <w:t xml:space="preserve"> sekwencji DNA może </w:t>
      </w:r>
      <w:r w:rsidR="00F13FE1" w:rsidRPr="00E11754">
        <w:rPr>
          <w:rFonts w:ascii="Times New Roman" w:hAnsi="Times New Roman" w:cs="Times New Roman"/>
          <w:sz w:val="24"/>
          <w:szCs w:val="24"/>
          <w:shd w:val="clear" w:color="auto" w:fill="FFFFFF"/>
        </w:rPr>
        <w:t xml:space="preserve">on </w:t>
      </w:r>
      <w:r w:rsidR="00392F45" w:rsidRPr="00E11754">
        <w:rPr>
          <w:rFonts w:ascii="Times New Roman" w:hAnsi="Times New Roman" w:cs="Times New Roman"/>
          <w:sz w:val="24"/>
          <w:szCs w:val="24"/>
          <w:shd w:val="clear" w:color="auto" w:fill="FFFFFF"/>
        </w:rPr>
        <w:t xml:space="preserve">zostać </w:t>
      </w:r>
      <w:r w:rsidR="001D3C20" w:rsidRPr="00E11754">
        <w:rPr>
          <w:rFonts w:ascii="Times New Roman" w:hAnsi="Times New Roman" w:cs="Times New Roman"/>
          <w:sz w:val="24"/>
          <w:szCs w:val="24"/>
          <w:shd w:val="clear" w:color="auto" w:fill="FFFFFF"/>
        </w:rPr>
        <w:t>przekształc</w:t>
      </w:r>
      <w:r w:rsidR="00392F45" w:rsidRPr="00E11754">
        <w:rPr>
          <w:rFonts w:ascii="Times New Roman" w:hAnsi="Times New Roman" w:cs="Times New Roman"/>
          <w:sz w:val="24"/>
          <w:szCs w:val="24"/>
          <w:shd w:val="clear" w:color="auto" w:fill="FFFFFF"/>
        </w:rPr>
        <w:t>on</w:t>
      </w:r>
      <w:r w:rsidR="00CF056E" w:rsidRPr="00E11754">
        <w:rPr>
          <w:rFonts w:ascii="Times New Roman" w:hAnsi="Times New Roman" w:cs="Times New Roman"/>
          <w:sz w:val="24"/>
          <w:szCs w:val="24"/>
          <w:shd w:val="clear" w:color="auto" w:fill="FFFFFF"/>
        </w:rPr>
        <w:t>y</w:t>
      </w:r>
      <w:r w:rsidR="00392F45" w:rsidRPr="00E11754">
        <w:rPr>
          <w:rFonts w:ascii="Times New Roman" w:hAnsi="Times New Roman" w:cs="Times New Roman"/>
          <w:sz w:val="24"/>
          <w:szCs w:val="24"/>
          <w:shd w:val="clear" w:color="auto" w:fill="FFFFFF"/>
        </w:rPr>
        <w:t xml:space="preserve"> </w:t>
      </w:r>
      <w:r w:rsidR="001D3C20" w:rsidRPr="00E11754">
        <w:rPr>
          <w:rFonts w:ascii="Times New Roman" w:hAnsi="Times New Roman" w:cs="Times New Roman"/>
          <w:sz w:val="24"/>
          <w:szCs w:val="24"/>
          <w:shd w:val="clear" w:color="auto" w:fill="FFFFFF"/>
        </w:rPr>
        <w:t>w onkogen</w:t>
      </w:r>
      <w:r w:rsidR="00392F45" w:rsidRPr="00E11754">
        <w:rPr>
          <w:rFonts w:ascii="Times New Roman" w:hAnsi="Times New Roman" w:cs="Times New Roman"/>
          <w:sz w:val="24"/>
          <w:szCs w:val="24"/>
          <w:shd w:val="clear" w:color="auto" w:fill="FFFFFF"/>
        </w:rPr>
        <w:t>. Ten, z kolei powoduje dalsze mutacje i prowadzi do procesu</w:t>
      </w:r>
      <w:r w:rsidR="001075DB" w:rsidRPr="00E11754">
        <w:rPr>
          <w:rFonts w:ascii="Times New Roman" w:hAnsi="Times New Roman" w:cs="Times New Roman"/>
          <w:sz w:val="24"/>
          <w:szCs w:val="24"/>
          <w:shd w:val="clear" w:color="auto" w:fill="FFFFFF"/>
        </w:rPr>
        <w:t>,</w:t>
      </w:r>
      <w:r w:rsidR="00AC6FB6" w:rsidRPr="00E11754">
        <w:rPr>
          <w:rFonts w:ascii="Times New Roman" w:hAnsi="Times New Roman" w:cs="Times New Roman"/>
          <w:sz w:val="24"/>
          <w:szCs w:val="24"/>
          <w:shd w:val="clear" w:color="auto" w:fill="FFFFFF"/>
        </w:rPr>
        <w:t xml:space="preserve"> określanego jako kancerogeneza</w:t>
      </w:r>
      <w:r w:rsidR="00392F45" w:rsidRPr="00E11754">
        <w:rPr>
          <w:rFonts w:ascii="Times New Roman" w:hAnsi="Times New Roman" w:cs="Times New Roman"/>
          <w:sz w:val="24"/>
          <w:szCs w:val="24"/>
          <w:shd w:val="clear" w:color="auto" w:fill="FFFFFF"/>
        </w:rPr>
        <w:t>,</w:t>
      </w:r>
      <w:r w:rsidR="00AC6FB6" w:rsidRPr="00E11754">
        <w:rPr>
          <w:rFonts w:ascii="Times New Roman" w:hAnsi="Times New Roman" w:cs="Times New Roman"/>
          <w:sz w:val="24"/>
          <w:szCs w:val="24"/>
          <w:shd w:val="clear" w:color="auto" w:fill="FFFFFF"/>
        </w:rPr>
        <w:t xml:space="preserve"> </w:t>
      </w:r>
      <w:r w:rsidRPr="00E11754">
        <w:rPr>
          <w:rFonts w:ascii="Times New Roman" w:hAnsi="Times New Roman" w:cs="Times New Roman"/>
          <w:sz w:val="24"/>
          <w:szCs w:val="24"/>
          <w:shd w:val="clear" w:color="auto" w:fill="FFFFFF"/>
        </w:rPr>
        <w:t>podczas które</w:t>
      </w:r>
      <w:r w:rsidR="001075DB" w:rsidRPr="00E11754">
        <w:rPr>
          <w:rFonts w:ascii="Times New Roman" w:hAnsi="Times New Roman" w:cs="Times New Roman"/>
          <w:sz w:val="24"/>
          <w:szCs w:val="24"/>
          <w:shd w:val="clear" w:color="auto" w:fill="FFFFFF"/>
        </w:rPr>
        <w:t>j</w:t>
      </w:r>
      <w:r w:rsidRPr="00E11754">
        <w:rPr>
          <w:rFonts w:ascii="Times New Roman" w:hAnsi="Times New Roman" w:cs="Times New Roman"/>
          <w:sz w:val="24"/>
          <w:szCs w:val="24"/>
          <w:shd w:val="clear" w:color="auto" w:fill="FFFFFF"/>
        </w:rPr>
        <w:t xml:space="preserve"> </w:t>
      </w:r>
      <w:r w:rsidR="001D453E" w:rsidRPr="00E11754">
        <w:rPr>
          <w:rFonts w:ascii="Times New Roman" w:hAnsi="Times New Roman" w:cs="Times New Roman"/>
          <w:sz w:val="24"/>
          <w:szCs w:val="24"/>
          <w:shd w:val="clear" w:color="auto" w:fill="FFFFFF"/>
        </w:rPr>
        <w:t>z</w:t>
      </w:r>
      <w:r w:rsidR="006D27B2" w:rsidRPr="00E11754">
        <w:rPr>
          <w:rFonts w:ascii="Times New Roman" w:hAnsi="Times New Roman" w:cs="Times New Roman"/>
          <w:sz w:val="24"/>
          <w:szCs w:val="24"/>
          <w:shd w:val="clear" w:color="auto" w:fill="FFFFFF"/>
        </w:rPr>
        <w:t xml:space="preserve">e zdrowej </w:t>
      </w:r>
      <w:r w:rsidR="001D453E" w:rsidRPr="00E11754">
        <w:rPr>
          <w:rFonts w:ascii="Times New Roman" w:hAnsi="Times New Roman" w:cs="Times New Roman"/>
          <w:sz w:val="24"/>
          <w:szCs w:val="24"/>
          <w:shd w:val="clear" w:color="auto" w:fill="FFFFFF"/>
        </w:rPr>
        <w:t xml:space="preserve">tkanki zaczyna </w:t>
      </w:r>
      <w:r w:rsidRPr="00E11754">
        <w:rPr>
          <w:rFonts w:ascii="Times New Roman" w:hAnsi="Times New Roman" w:cs="Times New Roman"/>
          <w:sz w:val="24"/>
          <w:szCs w:val="24"/>
          <w:shd w:val="clear" w:color="auto" w:fill="FFFFFF"/>
        </w:rPr>
        <w:t>powst</w:t>
      </w:r>
      <w:r w:rsidR="001D453E" w:rsidRPr="00E11754">
        <w:rPr>
          <w:rFonts w:ascii="Times New Roman" w:hAnsi="Times New Roman" w:cs="Times New Roman"/>
          <w:sz w:val="24"/>
          <w:szCs w:val="24"/>
          <w:shd w:val="clear" w:color="auto" w:fill="FFFFFF"/>
        </w:rPr>
        <w:t>awać</w:t>
      </w:r>
      <w:r w:rsidRPr="00E11754">
        <w:rPr>
          <w:rFonts w:ascii="Times New Roman" w:hAnsi="Times New Roman" w:cs="Times New Roman"/>
          <w:sz w:val="24"/>
          <w:szCs w:val="24"/>
          <w:shd w:val="clear" w:color="auto" w:fill="FFFFFF"/>
        </w:rPr>
        <w:t xml:space="preserve"> tkank</w:t>
      </w:r>
      <w:r w:rsidR="001D453E" w:rsidRPr="00E11754">
        <w:rPr>
          <w:rFonts w:ascii="Times New Roman" w:hAnsi="Times New Roman" w:cs="Times New Roman"/>
          <w:sz w:val="24"/>
          <w:szCs w:val="24"/>
          <w:shd w:val="clear" w:color="auto" w:fill="FFFFFF"/>
        </w:rPr>
        <w:t>a</w:t>
      </w:r>
      <w:r w:rsidRPr="00E11754">
        <w:rPr>
          <w:rFonts w:ascii="Times New Roman" w:hAnsi="Times New Roman" w:cs="Times New Roman"/>
          <w:sz w:val="24"/>
          <w:szCs w:val="24"/>
          <w:shd w:val="clear" w:color="auto" w:fill="FFFFFF"/>
        </w:rPr>
        <w:t xml:space="preserve"> </w:t>
      </w:r>
      <w:r w:rsidR="001D453E" w:rsidRPr="00E11754">
        <w:rPr>
          <w:rFonts w:ascii="Times New Roman" w:hAnsi="Times New Roman" w:cs="Times New Roman"/>
          <w:sz w:val="24"/>
          <w:szCs w:val="24"/>
          <w:shd w:val="clear" w:color="auto" w:fill="FFFFFF"/>
        </w:rPr>
        <w:t>nowotworowa</w:t>
      </w:r>
      <w:r w:rsidRPr="00E11754">
        <w:rPr>
          <w:rFonts w:ascii="Times New Roman" w:hAnsi="Times New Roman" w:cs="Times New Roman"/>
          <w:sz w:val="24"/>
          <w:szCs w:val="24"/>
          <w:shd w:val="clear" w:color="auto" w:fill="FFFFFF"/>
        </w:rPr>
        <w:t>.</w:t>
      </w:r>
      <w:r w:rsidR="00E858F0" w:rsidRPr="00E11754">
        <w:rPr>
          <w:rFonts w:ascii="Times New Roman" w:hAnsi="Times New Roman" w:cs="Times New Roman"/>
          <w:sz w:val="24"/>
          <w:szCs w:val="24"/>
          <w:shd w:val="clear" w:color="auto" w:fill="FFFFFF"/>
        </w:rPr>
        <w:t xml:space="preserve"> </w:t>
      </w:r>
      <w:r w:rsidR="001075DB" w:rsidRPr="00E11754">
        <w:rPr>
          <w:rFonts w:ascii="Times New Roman" w:hAnsi="Times New Roman" w:cs="Times New Roman"/>
          <w:sz w:val="24"/>
          <w:szCs w:val="24"/>
          <w:shd w:val="clear" w:color="auto" w:fill="FFFFFF"/>
        </w:rPr>
        <w:t>Proces ten s</w:t>
      </w:r>
      <w:r w:rsidRPr="00E11754">
        <w:rPr>
          <w:rFonts w:ascii="Times New Roman" w:hAnsi="Times New Roman" w:cs="Times New Roman"/>
          <w:sz w:val="24"/>
          <w:szCs w:val="24"/>
          <w:shd w:val="clear" w:color="auto" w:fill="FFFFFF"/>
        </w:rPr>
        <w:t>kłada się</w:t>
      </w:r>
      <w:r w:rsidR="001D453E" w:rsidRPr="00E11754">
        <w:rPr>
          <w:rFonts w:ascii="Times New Roman" w:hAnsi="Times New Roman" w:cs="Times New Roman"/>
          <w:sz w:val="24"/>
          <w:szCs w:val="24"/>
          <w:shd w:val="clear" w:color="auto" w:fill="FFFFFF"/>
        </w:rPr>
        <w:t xml:space="preserve"> </w:t>
      </w:r>
      <w:r w:rsidR="001075DB" w:rsidRPr="00E11754">
        <w:rPr>
          <w:rFonts w:ascii="Times New Roman" w:hAnsi="Times New Roman" w:cs="Times New Roman"/>
          <w:sz w:val="24"/>
          <w:szCs w:val="24"/>
          <w:shd w:val="clear" w:color="auto" w:fill="FFFFFF"/>
        </w:rPr>
        <w:t xml:space="preserve">z </w:t>
      </w:r>
      <w:r w:rsidRPr="00E11754">
        <w:rPr>
          <w:rFonts w:ascii="Times New Roman" w:hAnsi="Times New Roman" w:cs="Times New Roman"/>
          <w:sz w:val="24"/>
          <w:szCs w:val="24"/>
          <w:shd w:val="clear" w:color="auto" w:fill="FFFFFF"/>
        </w:rPr>
        <w:t xml:space="preserve">kilka etapów tj. </w:t>
      </w:r>
      <w:r w:rsidRPr="52C15979">
        <w:rPr>
          <w:rFonts w:ascii="Times New Roman" w:hAnsi="Times New Roman" w:cs="Times New Roman"/>
          <w:i/>
          <w:iCs/>
          <w:sz w:val="24"/>
          <w:szCs w:val="24"/>
          <w:shd w:val="clear" w:color="auto" w:fill="FFFFFF"/>
        </w:rPr>
        <w:t>inicjacj</w:t>
      </w:r>
      <w:r w:rsidR="001075DB" w:rsidRPr="52C15979">
        <w:rPr>
          <w:rFonts w:ascii="Times New Roman" w:hAnsi="Times New Roman" w:cs="Times New Roman"/>
          <w:i/>
          <w:iCs/>
          <w:sz w:val="24"/>
          <w:szCs w:val="24"/>
          <w:shd w:val="clear" w:color="auto" w:fill="FFFFFF"/>
        </w:rPr>
        <w:t>i</w:t>
      </w:r>
      <w:r w:rsidRPr="00E11754">
        <w:rPr>
          <w:rFonts w:ascii="Times New Roman" w:hAnsi="Times New Roman" w:cs="Times New Roman"/>
          <w:sz w:val="24"/>
          <w:szCs w:val="24"/>
          <w:shd w:val="clear" w:color="auto" w:fill="FFFFFF"/>
        </w:rPr>
        <w:t xml:space="preserve">, </w:t>
      </w:r>
      <w:r w:rsidRPr="52C15979">
        <w:rPr>
          <w:rFonts w:ascii="Times New Roman" w:hAnsi="Times New Roman" w:cs="Times New Roman"/>
          <w:i/>
          <w:iCs/>
          <w:sz w:val="24"/>
          <w:szCs w:val="24"/>
          <w:shd w:val="clear" w:color="auto" w:fill="FFFFFF"/>
        </w:rPr>
        <w:t>promocj</w:t>
      </w:r>
      <w:r w:rsidR="001075DB" w:rsidRPr="52C15979">
        <w:rPr>
          <w:rFonts w:ascii="Times New Roman" w:hAnsi="Times New Roman" w:cs="Times New Roman"/>
          <w:i/>
          <w:iCs/>
          <w:sz w:val="24"/>
          <w:szCs w:val="24"/>
          <w:shd w:val="clear" w:color="auto" w:fill="FFFFFF"/>
        </w:rPr>
        <w:t>i</w:t>
      </w:r>
      <w:r w:rsidRPr="52C15979">
        <w:rPr>
          <w:rFonts w:ascii="Times New Roman" w:hAnsi="Times New Roman" w:cs="Times New Roman"/>
          <w:i/>
          <w:iCs/>
          <w:sz w:val="24"/>
          <w:szCs w:val="24"/>
          <w:shd w:val="clear" w:color="auto" w:fill="FFFFFF"/>
        </w:rPr>
        <w:t xml:space="preserve"> </w:t>
      </w:r>
      <w:r w:rsidRPr="00E11754">
        <w:rPr>
          <w:rFonts w:ascii="Times New Roman" w:hAnsi="Times New Roman" w:cs="Times New Roman"/>
          <w:sz w:val="24"/>
          <w:szCs w:val="24"/>
          <w:shd w:val="clear" w:color="auto" w:fill="FFFFFF"/>
        </w:rPr>
        <w:t xml:space="preserve">oraz </w:t>
      </w:r>
      <w:r w:rsidRPr="52C15979">
        <w:rPr>
          <w:rFonts w:ascii="Times New Roman" w:hAnsi="Times New Roman" w:cs="Times New Roman"/>
          <w:i/>
          <w:iCs/>
          <w:sz w:val="24"/>
          <w:szCs w:val="24"/>
          <w:shd w:val="clear" w:color="auto" w:fill="FFFFFF"/>
        </w:rPr>
        <w:t>progresj</w:t>
      </w:r>
      <w:r w:rsidR="001075DB" w:rsidRPr="52C15979">
        <w:rPr>
          <w:rFonts w:ascii="Times New Roman" w:hAnsi="Times New Roman" w:cs="Times New Roman"/>
          <w:i/>
          <w:iCs/>
          <w:sz w:val="24"/>
          <w:szCs w:val="24"/>
          <w:shd w:val="clear" w:color="auto" w:fill="FFFFFF"/>
        </w:rPr>
        <w:t>i</w:t>
      </w:r>
      <w:r w:rsidR="008D3887" w:rsidRPr="00E11754">
        <w:rPr>
          <w:rFonts w:ascii="Times New Roman" w:hAnsi="Times New Roman" w:cs="Times New Roman"/>
          <w:sz w:val="24"/>
          <w:szCs w:val="24"/>
          <w:shd w:val="clear" w:color="auto" w:fill="FFFFFF"/>
        </w:rPr>
        <w:t xml:space="preserve">, które to </w:t>
      </w:r>
      <w:r w:rsidR="00007EE2" w:rsidRPr="00E11754">
        <w:rPr>
          <w:rFonts w:ascii="Times New Roman" w:hAnsi="Times New Roman" w:cs="Times New Roman"/>
          <w:sz w:val="24"/>
          <w:szCs w:val="24"/>
        </w:rPr>
        <w:t>mogą zachodzić przez wiele lat</w:t>
      </w:r>
      <w:r w:rsidR="001E21B3">
        <w:rPr>
          <w:rFonts w:ascii="Times New Roman" w:hAnsi="Times New Roman" w:cs="Times New Roman"/>
          <w:sz w:val="24"/>
          <w:szCs w:val="24"/>
        </w:rPr>
        <w:t xml:space="preserve"> </w:t>
      </w:r>
      <w:r w:rsidR="002D6E24">
        <w:rPr>
          <w:rFonts w:ascii="Times New Roman" w:hAnsi="Times New Roman" w:cs="Times New Roman"/>
          <w:sz w:val="24"/>
          <w:szCs w:val="24"/>
        </w:rPr>
        <w:fldChar w:fldCharType="begin" w:fldLock="1"/>
      </w:r>
      <w:r w:rsidR="00B67F8C">
        <w:rPr>
          <w:rFonts w:ascii="Times New Roman" w:hAnsi="Times New Roman" w:cs="Times New Roman"/>
          <w:sz w:val="24"/>
          <w:szCs w:val="24"/>
        </w:rPr>
        <w:instrText>ADDIN CSL_CITATION {"citationItems":[{"id":"ITEM-1","itemData":{"DOI":"10.21873/anticanres.14622","ISSN":"17917530","PMID":"33109539","abstract":"Cancer is a medical condition which has a molecular basis. Proto-oncogenes are the first regulatory factors of this biological process. They act in transmitting signals, resulting as growth factors. Modifications of these genes, called oncogenes, lead to the appearance of cancer cells. The activation process leading to proto-oncogenes are chromosomal translocation, point mutation, and gene amplification. Concerning the clonal theory of oncogenesis, it is believed that a tumor starts from a cell. Furthermore, there is close association between tumor development and inhibition of apoptosis or programmed cell death, providing cell immortality. Angiogenesis and angiogenic factors found to be expressed in tumors and may play a key role in tumor formation and development. Tumor-suppressor genes block the growth of cancer and contribute to the normal development of cells. This article highlights the evidence that neoplasms develop as the after-effect of the increase of acquired and physical genetic variations in proto-oncogenes and tumor-suppressor genes; these form a target group in the cells of neoplasms. Tumor formation and development are characterized by individual processes, working synergistically, and an understanding of each individual process may provide a better basis for further anticancer research.","author":[{"dropping-particle":"","family":"Kontomanolis","given":"Emmanuel N.","non-dropping-particle":"","parse-names":false,"suffix":""},{"dropping-particle":"","family":"Koutras","given":"Antonios","non-dropping-particle":"","parse-names":false,"suffix":""},{"dropping-particle":"","family":"Syllaios","given":"Athanasios","non-dropping-particle":"","parse-names":false,"suffix":""},{"dropping-particle":"","family":"Schizas","given":"Dimitrios","non-dropping-particle":"","parse-names":false,"suffix":""},{"dropping-particle":"","family":"Mastoraki","given":"Aikaterini","non-dropping-particle":"","parse-names":false,"suffix":""},{"dropping-particle":"","family":"Garmpis","given":"Nikolaos","non-dropping-particle":"","parse-names":false,"suffix":""},{"dropping-particle":"","family":"Diakosavvas","given":"Michail","non-dropping-particle":"","parse-names":false,"suffix":""},{"dropping-particle":"","family":"Angelou","given":"Kyveli","non-dropping-particle":"","parse-names":false,"suffix":""},{"dropping-particle":"","family":"Tsatsaris","given":"Georgios","non-dropping-particle":"","parse-names":false,"suffix":""},{"dropping-particle":"","family":"Pagkalos","given":"Athanasios","non-dropping-particle":"","parse-names":false,"suffix":""},{"dropping-particle":"","family":"Ntounis","given":"Thomas","non-dropping-particle":"","parse-names":false,"suffix":""},{"dropping-particle":"","family":"Fasoulakis","given":"Zacharias","non-dropping-particle":"","parse-names":false,"suffix":""}],"container-title":"Anticancer Research","id":"ITEM-1","issue":"11","issued":{"date-parts":[["2020"]]},"page":"6009-6015","title":"Role of oncogenes and tumor-suppressor genes in carcinogenesis: A review","type":"article-journal","volume":"40"},"uris":["http://www.mendeley.com/documents/?uuid=2d927c60-33c3-4919-9bc2-b559251afa9d"]}],"mendeley":{"formattedCitation":"[13]","plainTextFormattedCitation":"[13]","previouslyFormattedCitation":"[13]"},"properties":{"noteIndex":0},"schema":"https://github.com/citation-style-language/schema/raw/master/csl-citation.json"}</w:instrText>
      </w:r>
      <w:r w:rsidR="002D6E24">
        <w:rPr>
          <w:rFonts w:ascii="Times New Roman" w:hAnsi="Times New Roman" w:cs="Times New Roman"/>
          <w:sz w:val="24"/>
          <w:szCs w:val="24"/>
        </w:rPr>
        <w:fldChar w:fldCharType="separate"/>
      </w:r>
      <w:r w:rsidR="002D6E24" w:rsidRPr="002D6E24">
        <w:rPr>
          <w:rFonts w:ascii="Times New Roman" w:hAnsi="Times New Roman" w:cs="Times New Roman"/>
          <w:noProof/>
          <w:sz w:val="24"/>
          <w:szCs w:val="24"/>
        </w:rPr>
        <w:t>[13]</w:t>
      </w:r>
      <w:r w:rsidR="002D6E24">
        <w:rPr>
          <w:rFonts w:ascii="Times New Roman" w:hAnsi="Times New Roman" w:cs="Times New Roman"/>
          <w:sz w:val="24"/>
          <w:szCs w:val="24"/>
        </w:rPr>
        <w:fldChar w:fldCharType="end"/>
      </w:r>
      <w:r w:rsidR="00007EE2" w:rsidRPr="00E11754">
        <w:rPr>
          <w:rFonts w:ascii="Times New Roman" w:hAnsi="Times New Roman" w:cs="Times New Roman"/>
          <w:sz w:val="24"/>
          <w:szCs w:val="24"/>
        </w:rPr>
        <w:t>.</w:t>
      </w:r>
      <w:r w:rsidRPr="00E11754">
        <w:rPr>
          <w:rFonts w:ascii="Times New Roman" w:hAnsi="Times New Roman" w:cs="Times New Roman"/>
          <w:sz w:val="24"/>
          <w:szCs w:val="24"/>
          <w:shd w:val="clear" w:color="auto" w:fill="FFFFFF"/>
        </w:rPr>
        <w:t xml:space="preserve"> </w:t>
      </w:r>
      <w:r w:rsidR="005407CF" w:rsidRPr="00E11754">
        <w:rPr>
          <w:rFonts w:ascii="Times New Roman" w:hAnsi="Times New Roman" w:cs="Times New Roman"/>
          <w:sz w:val="24"/>
          <w:szCs w:val="24"/>
        </w:rPr>
        <w:t xml:space="preserve">Jako </w:t>
      </w:r>
      <w:r w:rsidR="005407CF" w:rsidRPr="52C15979">
        <w:rPr>
          <w:rFonts w:ascii="Times New Roman" w:hAnsi="Times New Roman" w:cs="Times New Roman"/>
          <w:i/>
          <w:iCs/>
          <w:sz w:val="24"/>
          <w:szCs w:val="24"/>
        </w:rPr>
        <w:t>inicjację</w:t>
      </w:r>
      <w:r w:rsidR="005407CF" w:rsidRPr="00E11754">
        <w:rPr>
          <w:rFonts w:ascii="Times New Roman" w:hAnsi="Times New Roman" w:cs="Times New Roman"/>
          <w:sz w:val="24"/>
          <w:szCs w:val="24"/>
        </w:rPr>
        <w:t xml:space="preserve"> określa się uszkodzenie pojedynczego genu w kodzie genetycznym</w:t>
      </w:r>
      <w:r w:rsidR="00C97E9A" w:rsidRPr="00E11754">
        <w:rPr>
          <w:rFonts w:ascii="Times New Roman" w:hAnsi="Times New Roman" w:cs="Times New Roman"/>
          <w:sz w:val="24"/>
          <w:szCs w:val="24"/>
        </w:rPr>
        <w:t>, które w s</w:t>
      </w:r>
      <w:r w:rsidR="005407CF" w:rsidRPr="00E11754">
        <w:rPr>
          <w:rFonts w:ascii="Times New Roman" w:hAnsi="Times New Roman" w:cs="Times New Roman"/>
          <w:sz w:val="24"/>
          <w:szCs w:val="24"/>
        </w:rPr>
        <w:t>ytuacj</w:t>
      </w:r>
      <w:r w:rsidR="00C97E9A" w:rsidRPr="00E11754">
        <w:rPr>
          <w:rFonts w:ascii="Times New Roman" w:hAnsi="Times New Roman" w:cs="Times New Roman"/>
          <w:sz w:val="24"/>
          <w:szCs w:val="24"/>
        </w:rPr>
        <w:t>i,</w:t>
      </w:r>
      <w:r w:rsidR="005407CF" w:rsidRPr="00E11754">
        <w:rPr>
          <w:rFonts w:ascii="Times New Roman" w:hAnsi="Times New Roman" w:cs="Times New Roman"/>
          <w:sz w:val="24"/>
          <w:szCs w:val="24"/>
        </w:rPr>
        <w:t xml:space="preserve"> </w:t>
      </w:r>
      <w:r w:rsidR="00C97E9A" w:rsidRPr="00E11754">
        <w:rPr>
          <w:rFonts w:ascii="Times New Roman" w:hAnsi="Times New Roman" w:cs="Times New Roman"/>
          <w:sz w:val="24"/>
          <w:szCs w:val="24"/>
        </w:rPr>
        <w:t>gdy</w:t>
      </w:r>
      <w:r w:rsidR="005407CF" w:rsidRPr="00E11754">
        <w:rPr>
          <w:rFonts w:ascii="Times New Roman" w:hAnsi="Times New Roman" w:cs="Times New Roman"/>
          <w:sz w:val="24"/>
          <w:szCs w:val="24"/>
        </w:rPr>
        <w:t xml:space="preserve"> zmutowana komórka nie obumrze lub też nie dojdzie do jej naprawy, powoduje inicjację procesu kancerogenezy. Kolejnym etapem jest </w:t>
      </w:r>
      <w:r w:rsidR="005407CF" w:rsidRPr="52C15979">
        <w:rPr>
          <w:rFonts w:ascii="Times New Roman" w:hAnsi="Times New Roman" w:cs="Times New Roman"/>
          <w:i/>
          <w:iCs/>
          <w:sz w:val="24"/>
          <w:szCs w:val="24"/>
        </w:rPr>
        <w:t>promocja</w:t>
      </w:r>
      <w:r w:rsidR="005407CF" w:rsidRPr="00E11754">
        <w:rPr>
          <w:rFonts w:ascii="Times New Roman" w:hAnsi="Times New Roman" w:cs="Times New Roman"/>
          <w:sz w:val="24"/>
          <w:szCs w:val="24"/>
        </w:rPr>
        <w:t>, w trakcie której mutacje zaczynają się powielać i dochodzi do</w:t>
      </w:r>
      <w:r w:rsidR="006F000E" w:rsidRPr="00E11754">
        <w:rPr>
          <w:rFonts w:ascii="Times New Roman" w:hAnsi="Times New Roman" w:cs="Times New Roman"/>
          <w:sz w:val="24"/>
          <w:szCs w:val="24"/>
        </w:rPr>
        <w:t xml:space="preserve"> niekontrolowanej</w:t>
      </w:r>
      <w:r w:rsidR="005407CF" w:rsidRPr="00E11754">
        <w:rPr>
          <w:rFonts w:ascii="Times New Roman" w:hAnsi="Times New Roman" w:cs="Times New Roman"/>
          <w:sz w:val="24"/>
          <w:szCs w:val="24"/>
        </w:rPr>
        <w:t xml:space="preserve"> proliferacji uszkodzonych komórek</w:t>
      </w:r>
      <w:r w:rsidR="006F000E" w:rsidRPr="00E11754">
        <w:rPr>
          <w:rFonts w:ascii="Times New Roman" w:hAnsi="Times New Roman" w:cs="Times New Roman"/>
          <w:sz w:val="24"/>
          <w:szCs w:val="24"/>
        </w:rPr>
        <w:t xml:space="preserve">. Ostatnim etapem kancerogenezy jest </w:t>
      </w:r>
      <w:r w:rsidR="006F000E" w:rsidRPr="52C15979">
        <w:rPr>
          <w:rFonts w:ascii="Times New Roman" w:hAnsi="Times New Roman" w:cs="Times New Roman"/>
          <w:i/>
          <w:iCs/>
          <w:sz w:val="24"/>
          <w:szCs w:val="24"/>
        </w:rPr>
        <w:t>progresja</w:t>
      </w:r>
      <w:r w:rsidR="006F000E" w:rsidRPr="00E11754">
        <w:rPr>
          <w:rFonts w:ascii="Times New Roman" w:hAnsi="Times New Roman" w:cs="Times New Roman"/>
          <w:sz w:val="24"/>
          <w:szCs w:val="24"/>
        </w:rPr>
        <w:t xml:space="preserve">, podczas której powstaje guz nowotworowy, nacieki do okolicznych tkanek oraz przerzuty </w:t>
      </w:r>
      <w:r w:rsidR="006A6A30" w:rsidRPr="00E11754">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{"citationItems":[{"id":"ITEM-1","itemData":{"DOI":"10.1042/BST20180519","ISSN":"14708752","PMID":"30287511","abstract":"Humans are variously and continuously exposed to a wide range of different DNA-damaging agents, some of which are classed as carcinogens. DNA damage can arise from exposure to exogenous agents, but damage from endogenous processes is probably far more prevalent. That said, epidemiological studies of migrant populations from regions of low cancer risk to high cancer risk countries point to a role for environmental and/or lifestyle factors playing a pivotal part in cancer aetiology. One might reasonably surmise from this that carcinogens found in our environment or diet are culpable. Exposure to carcinogens is associated with various forms of DNA damage such as single-stand breaks, double-strand breaks, covalently bound chemical DNA adducts, oxidative-induced lesions and DNA-DNA or DNA-protein cross-links. This review predominantly concentrates on DNA damage induced by the following carcinogens: polycyclic aromatic hydrocarbons, heterocyclic aromatic amines, mycotoxins, ultraviolet light, ionising radiation, aristolochic acid, nitrosamines and particulate matter. Additionally, we allude to some of the cancer types where there is molecular epidemiological evidence that these agents are aetiological risk factors. The complex role that carcinogens play in the pathophysiology of cancer development remains obscure, but DNA damage remains pivotal to this process.","author":[{"dropping-particle":"","family":"Barnes","given":"Jessica L.","non-dropping-particle":"","parse-names":false,"suffix":""},{"dropping-particle":"","family":"Zubair","given":"Maria","non-dropping-particle":"","parse-names":false,"suffix":""},{"dropping-particle":"","family":"John","given":"Kaarthik","non-dropping-particle":"","parse-names":false,"suffix":""},{"dropping-particle":"","family":"Poirier","given":"Miriam C.","non-dropping-particle":"","parse-names":false,"suffix":""},{"dropping-particle":"","family":"Martin","given":"Francis L.","non-dropping-particle":"","parse-names":false,"suffix":""}],"container-title":"Biochemical Society Transactions","id":"ITEM-1","issue":"5","issued":{"date-parts":[["2018"]]},"page":"1213-1224","title":"Carcinogens and DNA damage","type":"article-journal","volume":"46"},"uris":["http://www.mendeley.com/documents/?uuid=8e707d61-9a60-4cd1-a568-21e81341b942"]}],"mendeley":{"formattedCitation":"[15]","plainTextFormattedCitation":"[15]","previouslyFormattedCitation":"[15]"},"properties":{"noteIndex":0},"schema":"https://github.com/citation-style-language/schema/raw/master/csl-citation.json"}</w:instrText>
      </w:r>
      <w:r w:rsidR="006A6A30" w:rsidRPr="00E11754">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[15]</w:t>
      </w:r>
      <w:r w:rsidR="006A6A30" w:rsidRPr="00E11754">
        <w:rPr>
          <w:rFonts w:ascii="Times New Roman" w:hAnsi="Times New Roman" w:cs="Times New Roman"/>
          <w:sz w:val="24"/>
          <w:szCs w:val="24"/>
        </w:rPr>
        <w:fldChar w:fldCharType="end"/>
      </w:r>
      <w:r w:rsidR="006F000E" w:rsidRPr="00E11754">
        <w:rPr>
          <w:rFonts w:ascii="Times New Roman" w:hAnsi="Times New Roman" w:cs="Times New Roman"/>
          <w:sz w:val="24"/>
          <w:szCs w:val="24"/>
        </w:rPr>
        <w:t>.</w:t>
      </w:r>
    </w:p>
    <w:p w14:paraId="45F6B19F" w14:textId="4EA3834E" w:rsidR="00AC1F6E" w:rsidRPr="00E11754" w:rsidRDefault="00007EE2" w:rsidP="00AC1F6E">
      <w:pPr>
        <w:pStyle w:val="Akapitzlist"/>
        <w:spacing w:line="360" w:lineRule="auto"/>
        <w:ind w:left="0" w:firstLine="696"/>
        <w:jc w:val="both"/>
        <w:rPr>
          <w:rFonts w:ascii="Times New Roman" w:hAnsi="Times New Roman" w:cs="Times New Roman"/>
          <w:b/>
          <w:bCs/>
          <w:sz w:val="24"/>
          <w:szCs w:val="24"/>
        </w:rPr>
      </w:pPr>
      <w:r w:rsidRPr="00E11754">
        <w:rPr>
          <w:rFonts w:ascii="Times New Roman" w:hAnsi="Times New Roman" w:cs="Times New Roman"/>
          <w:sz w:val="24"/>
          <w:szCs w:val="24"/>
        </w:rPr>
        <w:lastRenderedPageBreak/>
        <w:t xml:space="preserve">Jak </w:t>
      </w:r>
      <w:r w:rsidR="00F27D1A">
        <w:rPr>
          <w:rFonts w:ascii="Times New Roman" w:hAnsi="Times New Roman" w:cs="Times New Roman"/>
          <w:sz w:val="24"/>
          <w:szCs w:val="24"/>
        </w:rPr>
        <w:t xml:space="preserve">już </w:t>
      </w:r>
      <w:r w:rsidRPr="00E11754">
        <w:rPr>
          <w:rFonts w:ascii="Times New Roman" w:hAnsi="Times New Roman" w:cs="Times New Roman"/>
          <w:sz w:val="24"/>
          <w:szCs w:val="24"/>
        </w:rPr>
        <w:t>wspominano</w:t>
      </w:r>
      <w:r w:rsidR="005E4C7A" w:rsidRPr="00E11754">
        <w:rPr>
          <w:rFonts w:ascii="Times New Roman" w:hAnsi="Times New Roman" w:cs="Times New Roman"/>
          <w:sz w:val="24"/>
          <w:szCs w:val="24"/>
        </w:rPr>
        <w:t>,</w:t>
      </w:r>
      <w:r w:rsidRPr="00E11754">
        <w:rPr>
          <w:rFonts w:ascii="Times New Roman" w:hAnsi="Times New Roman" w:cs="Times New Roman"/>
          <w:sz w:val="24"/>
          <w:szCs w:val="24"/>
        </w:rPr>
        <w:t xml:space="preserve"> nowotwory dzi</w:t>
      </w:r>
      <w:r w:rsidR="00577590" w:rsidRPr="00E11754">
        <w:rPr>
          <w:rFonts w:ascii="Times New Roman" w:hAnsi="Times New Roman" w:cs="Times New Roman"/>
          <w:sz w:val="24"/>
          <w:szCs w:val="24"/>
        </w:rPr>
        <w:t>e</w:t>
      </w:r>
      <w:r w:rsidRPr="00E11754">
        <w:rPr>
          <w:rFonts w:ascii="Times New Roman" w:hAnsi="Times New Roman" w:cs="Times New Roman"/>
          <w:sz w:val="24"/>
          <w:szCs w:val="24"/>
        </w:rPr>
        <w:t>lą się na łago</w:t>
      </w:r>
      <w:r w:rsidR="00577590" w:rsidRPr="00E11754">
        <w:rPr>
          <w:rFonts w:ascii="Times New Roman" w:hAnsi="Times New Roman" w:cs="Times New Roman"/>
          <w:sz w:val="24"/>
          <w:szCs w:val="24"/>
        </w:rPr>
        <w:t>d</w:t>
      </w:r>
      <w:r w:rsidRPr="00E11754">
        <w:rPr>
          <w:rFonts w:ascii="Times New Roman" w:hAnsi="Times New Roman" w:cs="Times New Roman"/>
          <w:sz w:val="24"/>
          <w:szCs w:val="24"/>
        </w:rPr>
        <w:t xml:space="preserve">ne </w:t>
      </w:r>
      <w:r w:rsidR="00577590" w:rsidRPr="00E11754">
        <w:rPr>
          <w:rFonts w:ascii="Times New Roman" w:hAnsi="Times New Roman" w:cs="Times New Roman"/>
          <w:sz w:val="24"/>
          <w:szCs w:val="24"/>
        </w:rPr>
        <w:t>oraz</w:t>
      </w:r>
      <w:r w:rsidRPr="00E11754">
        <w:rPr>
          <w:rFonts w:ascii="Times New Roman" w:hAnsi="Times New Roman" w:cs="Times New Roman"/>
          <w:sz w:val="24"/>
          <w:szCs w:val="24"/>
        </w:rPr>
        <w:t xml:space="preserve"> złośliwe</w:t>
      </w:r>
      <w:r w:rsidR="00D30E4A" w:rsidRPr="00E11754">
        <w:rPr>
          <w:rFonts w:ascii="Times New Roman" w:hAnsi="Times New Roman" w:cs="Times New Roman"/>
          <w:sz w:val="24"/>
          <w:szCs w:val="24"/>
        </w:rPr>
        <w:t>.</w:t>
      </w:r>
      <w:r w:rsidR="00E074D0" w:rsidRPr="00E11754">
        <w:rPr>
          <w:rFonts w:ascii="Times New Roman" w:hAnsi="Times New Roman" w:cs="Times New Roman"/>
          <w:sz w:val="24"/>
          <w:szCs w:val="24"/>
        </w:rPr>
        <w:t xml:space="preserve"> Wśród nowotworów złośliwych</w:t>
      </w:r>
      <w:r w:rsidR="00577590" w:rsidRPr="00E11754">
        <w:rPr>
          <w:rFonts w:ascii="Times New Roman" w:hAnsi="Times New Roman" w:cs="Times New Roman"/>
          <w:sz w:val="24"/>
          <w:szCs w:val="24"/>
        </w:rPr>
        <w:t xml:space="preserve">, ze względu na rodzaj tkanki, w której powstaje </w:t>
      </w:r>
      <w:proofErr w:type="spellStart"/>
      <w:r w:rsidR="00577590" w:rsidRPr="00E11754">
        <w:rPr>
          <w:rFonts w:ascii="Times New Roman" w:hAnsi="Times New Roman" w:cs="Times New Roman"/>
          <w:sz w:val="24"/>
          <w:szCs w:val="24"/>
        </w:rPr>
        <w:t>nowotworzenie</w:t>
      </w:r>
      <w:proofErr w:type="spellEnd"/>
      <w:r w:rsidR="00577590" w:rsidRPr="00E11754">
        <w:rPr>
          <w:rFonts w:ascii="Times New Roman" w:hAnsi="Times New Roman" w:cs="Times New Roman"/>
          <w:sz w:val="24"/>
          <w:szCs w:val="24"/>
        </w:rPr>
        <w:t>,</w:t>
      </w:r>
      <w:r w:rsidR="00E074D0" w:rsidRPr="00E11754">
        <w:rPr>
          <w:rFonts w:ascii="Times New Roman" w:hAnsi="Times New Roman" w:cs="Times New Roman"/>
          <w:sz w:val="24"/>
          <w:szCs w:val="24"/>
        </w:rPr>
        <w:t xml:space="preserve"> można wyróżnić</w:t>
      </w:r>
      <w:r w:rsidR="00577590" w:rsidRPr="00E11754">
        <w:rPr>
          <w:rFonts w:ascii="Times New Roman" w:hAnsi="Times New Roman" w:cs="Times New Roman"/>
          <w:sz w:val="24"/>
          <w:szCs w:val="24"/>
        </w:rPr>
        <w:t xml:space="preserve"> kilka grup tj. </w:t>
      </w:r>
      <w:r w:rsidR="00E074D0" w:rsidRPr="00E11754">
        <w:rPr>
          <w:rFonts w:ascii="Times New Roman" w:hAnsi="Times New Roman" w:cs="Times New Roman"/>
          <w:sz w:val="24"/>
          <w:szCs w:val="24"/>
        </w:rPr>
        <w:t xml:space="preserve">raki, </w:t>
      </w:r>
      <w:proofErr w:type="spellStart"/>
      <w:r w:rsidR="00E074D0" w:rsidRPr="00E11754">
        <w:rPr>
          <w:rFonts w:ascii="Times New Roman" w:hAnsi="Times New Roman" w:cs="Times New Roman"/>
          <w:sz w:val="24"/>
          <w:szCs w:val="24"/>
        </w:rPr>
        <w:t>chłoniaki</w:t>
      </w:r>
      <w:proofErr w:type="spellEnd"/>
      <w:r w:rsidR="00E074D0" w:rsidRPr="00E11754">
        <w:rPr>
          <w:rFonts w:ascii="Times New Roman" w:hAnsi="Times New Roman" w:cs="Times New Roman"/>
          <w:sz w:val="24"/>
          <w:szCs w:val="24"/>
        </w:rPr>
        <w:t>, mięsaki, białaczki, glejaki czy czerniaki</w:t>
      </w:r>
      <w:r w:rsidR="00251838" w:rsidRPr="00E11754">
        <w:rPr>
          <w:rFonts w:ascii="Times New Roman" w:hAnsi="Times New Roman" w:cs="Times New Roman"/>
          <w:sz w:val="24"/>
          <w:szCs w:val="24"/>
        </w:rPr>
        <w:t xml:space="preserve"> </w:t>
      </w:r>
      <w:r w:rsidR="00251838" w:rsidRPr="00E11754">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{"citationItems":[{"id":"ITEM-1","itemData":{"DOI":"10.3390/cancers12040980","ISSN":"20726694","abstract":"Internationally accepted classifications of malignant tumors, developed by the World Health Organization (WHO) and the Union for International Cancer Control (UICC), are based on the histotype, site of origin, morphologic grade, and spread of cancer throughout the body. The WHO classifications are the foundation of cancer diagnosis and the starting point for cancer management. Starting in 2000, the WHO classifications began to include biologic and molecular–genetic features. These developments are having a strong impact on cancer diagnosis and treatment, and this impact is amplifying, given the advances in cancer genomics. Molecular–genetic profiling can be used to refine existing classifications of tumors and, for a small but increasing number of cancers, even determine the treatment irrespective of histotype. Here I discuss how cancer classifications may change in the era of cancer genomics.","author":[{"dropping-particle":"","family":"Carbone","given":"Antonino","non-dropping-particle":"","parse-names":false,"suffix":""}],"container-title":"Cancers","id":"ITEM-1","issue":"4","issued":{"date-parts":[["2020"]]},"page":"10-15","title":"Cancer classification at the crossroads","type":"article-journal","volume":"12"},"uris":["http://www.mendeley.com/documents/?uuid=453954dd-17ab-4dbb-873d-a190aea7d43a"]}],"mendeley":{"formattedCitation":"[16]","plainTextFormattedCitation":"[16]","previouslyFormattedCitation":"[16]"},"properties":{"noteIndex":0},"schema":"https://github.com/citation-style-language/schema/raw/master/csl-citation.json"}</w:instrText>
      </w:r>
      <w:r w:rsidR="00251838" w:rsidRPr="00E11754">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[16]</w:t>
      </w:r>
      <w:r w:rsidR="00251838" w:rsidRPr="00E11754">
        <w:rPr>
          <w:rFonts w:ascii="Times New Roman" w:hAnsi="Times New Roman" w:cs="Times New Roman"/>
          <w:sz w:val="24"/>
          <w:szCs w:val="24"/>
        </w:rPr>
        <w:fldChar w:fldCharType="end"/>
      </w:r>
      <w:r w:rsidR="00E074D0" w:rsidRPr="00E11754">
        <w:rPr>
          <w:rFonts w:ascii="Times New Roman" w:hAnsi="Times New Roman" w:cs="Times New Roman"/>
          <w:sz w:val="24"/>
          <w:szCs w:val="24"/>
        </w:rPr>
        <w:t>.</w:t>
      </w:r>
      <w:r w:rsidR="00C723EF" w:rsidRPr="00E11754">
        <w:rPr>
          <w:rFonts w:ascii="Times New Roman" w:hAnsi="Times New Roman" w:cs="Times New Roman"/>
          <w:sz w:val="24"/>
          <w:szCs w:val="24"/>
        </w:rPr>
        <w:t xml:space="preserve"> </w:t>
      </w:r>
      <w:r w:rsidR="000759D9" w:rsidRPr="00E11754">
        <w:rPr>
          <w:rFonts w:ascii="Times New Roman" w:hAnsi="Times New Roman" w:cs="Times New Roman"/>
          <w:sz w:val="24"/>
          <w:szCs w:val="24"/>
        </w:rPr>
        <w:t>Ponadto, n</w:t>
      </w:r>
      <w:r w:rsidR="00090525" w:rsidRPr="00E11754">
        <w:rPr>
          <w:rFonts w:ascii="Times New Roman" w:hAnsi="Times New Roman" w:cs="Times New Roman"/>
          <w:sz w:val="24"/>
          <w:szCs w:val="24"/>
        </w:rPr>
        <w:t>owotwory</w:t>
      </w:r>
      <w:r w:rsidR="00FB30CD" w:rsidRPr="00E11754">
        <w:rPr>
          <w:rFonts w:ascii="Times New Roman" w:hAnsi="Times New Roman" w:cs="Times New Roman"/>
          <w:sz w:val="24"/>
          <w:szCs w:val="24"/>
        </w:rPr>
        <w:t xml:space="preserve"> mogą mieć różne</w:t>
      </w:r>
      <w:r w:rsidR="005E4C7A" w:rsidRPr="00E11754">
        <w:rPr>
          <w:rFonts w:ascii="Times New Roman" w:hAnsi="Times New Roman" w:cs="Times New Roman"/>
          <w:sz w:val="24"/>
          <w:szCs w:val="24"/>
        </w:rPr>
        <w:t xml:space="preserve"> stadium choroby</w:t>
      </w:r>
      <w:r w:rsidR="00C257E3" w:rsidRPr="00E11754">
        <w:rPr>
          <w:rFonts w:ascii="Times New Roman" w:hAnsi="Times New Roman" w:cs="Times New Roman"/>
          <w:sz w:val="24"/>
          <w:szCs w:val="24"/>
        </w:rPr>
        <w:t xml:space="preserve"> opisane </w:t>
      </w:r>
      <w:r w:rsidR="00F55380" w:rsidRPr="00E11754">
        <w:rPr>
          <w:rFonts w:ascii="Times New Roman" w:hAnsi="Times New Roman" w:cs="Times New Roman"/>
          <w:sz w:val="24"/>
          <w:szCs w:val="24"/>
        </w:rPr>
        <w:t xml:space="preserve">zgodnie z </w:t>
      </w:r>
      <w:r w:rsidR="00AB1189" w:rsidRPr="00E11754">
        <w:rPr>
          <w:rFonts w:ascii="Times New Roman" w:hAnsi="Times New Roman" w:cs="Times New Roman"/>
          <w:sz w:val="24"/>
          <w:szCs w:val="24"/>
        </w:rPr>
        <w:t>klasyfikacją</w:t>
      </w:r>
      <w:r w:rsidR="00F55380" w:rsidRPr="00E11754">
        <w:rPr>
          <w:rFonts w:ascii="Times New Roman" w:hAnsi="Times New Roman" w:cs="Times New Roman"/>
          <w:sz w:val="24"/>
          <w:szCs w:val="24"/>
        </w:rPr>
        <w:t xml:space="preserve"> TNM</w:t>
      </w:r>
      <w:r w:rsidR="006511AA" w:rsidRPr="00E11754">
        <w:rPr>
          <w:rFonts w:ascii="Times New Roman" w:hAnsi="Times New Roman" w:cs="Times New Roman"/>
          <w:sz w:val="24"/>
          <w:szCs w:val="24"/>
        </w:rPr>
        <w:t xml:space="preserve"> (ang. </w:t>
      </w:r>
      <w:r w:rsidR="006511AA" w:rsidRPr="00E11754">
        <w:rPr>
          <w:rFonts w:ascii="Times New Roman" w:hAnsi="Times New Roman" w:cs="Times New Roman"/>
          <w:i/>
          <w:iCs/>
          <w:sz w:val="24"/>
          <w:szCs w:val="24"/>
        </w:rPr>
        <w:t xml:space="preserve">Tumor, </w:t>
      </w:r>
      <w:proofErr w:type="spellStart"/>
      <w:r w:rsidR="00FD3B78" w:rsidRPr="00E11754">
        <w:rPr>
          <w:rFonts w:ascii="Times New Roman" w:hAnsi="Times New Roman" w:cs="Times New Roman"/>
          <w:i/>
          <w:iCs/>
          <w:sz w:val="24"/>
          <w:szCs w:val="24"/>
        </w:rPr>
        <w:t>lymph</w:t>
      </w:r>
      <w:proofErr w:type="spellEnd"/>
      <w:r w:rsidR="00FD3B78" w:rsidRPr="00E11754">
        <w:rPr>
          <w:rFonts w:ascii="Times New Roman" w:hAnsi="Times New Roman" w:cs="Times New Roman"/>
          <w:i/>
          <w:iCs/>
          <w:sz w:val="24"/>
          <w:szCs w:val="24"/>
        </w:rPr>
        <w:t xml:space="preserve"> </w:t>
      </w:r>
      <w:proofErr w:type="spellStart"/>
      <w:r w:rsidR="00FD3B78" w:rsidRPr="00E11754">
        <w:rPr>
          <w:rFonts w:ascii="Times New Roman" w:hAnsi="Times New Roman" w:cs="Times New Roman"/>
          <w:i/>
          <w:iCs/>
          <w:sz w:val="24"/>
          <w:szCs w:val="24"/>
        </w:rPr>
        <w:t>Nodes</w:t>
      </w:r>
      <w:proofErr w:type="spellEnd"/>
      <w:r w:rsidR="00FD3B78" w:rsidRPr="00E11754">
        <w:rPr>
          <w:rFonts w:ascii="Times New Roman" w:hAnsi="Times New Roman" w:cs="Times New Roman"/>
          <w:i/>
          <w:iCs/>
          <w:sz w:val="24"/>
          <w:szCs w:val="24"/>
        </w:rPr>
        <w:t xml:space="preserve">, </w:t>
      </w:r>
      <w:proofErr w:type="spellStart"/>
      <w:r w:rsidR="00FD3B78" w:rsidRPr="00E11754">
        <w:rPr>
          <w:rFonts w:ascii="Times New Roman" w:hAnsi="Times New Roman" w:cs="Times New Roman"/>
          <w:i/>
          <w:iCs/>
          <w:sz w:val="24"/>
          <w:szCs w:val="24"/>
        </w:rPr>
        <w:t>Metastatis</w:t>
      </w:r>
      <w:proofErr w:type="spellEnd"/>
      <w:r w:rsidR="00FD3B78" w:rsidRPr="00E11754">
        <w:rPr>
          <w:rFonts w:ascii="Times New Roman" w:hAnsi="Times New Roman" w:cs="Times New Roman"/>
          <w:sz w:val="24"/>
          <w:szCs w:val="24"/>
        </w:rPr>
        <w:t>) oznaczającą</w:t>
      </w:r>
      <w:r w:rsidR="008041F9" w:rsidRPr="00E11754">
        <w:rPr>
          <w:rFonts w:ascii="Times New Roman" w:hAnsi="Times New Roman" w:cs="Times New Roman"/>
          <w:sz w:val="24"/>
          <w:szCs w:val="24"/>
        </w:rPr>
        <w:t xml:space="preserve"> </w:t>
      </w:r>
      <w:r w:rsidR="00215716" w:rsidRPr="00E11754">
        <w:rPr>
          <w:rFonts w:ascii="Times New Roman" w:hAnsi="Times New Roman" w:cs="Times New Roman"/>
          <w:sz w:val="24"/>
          <w:szCs w:val="24"/>
        </w:rPr>
        <w:t>rozmiar</w:t>
      </w:r>
      <w:r w:rsidR="00FD3B78" w:rsidRPr="00E11754">
        <w:rPr>
          <w:rFonts w:ascii="Times New Roman" w:hAnsi="Times New Roman" w:cs="Times New Roman"/>
          <w:sz w:val="24"/>
          <w:szCs w:val="24"/>
        </w:rPr>
        <w:t xml:space="preserve"> </w:t>
      </w:r>
      <w:r w:rsidR="00215716" w:rsidRPr="00E11754">
        <w:rPr>
          <w:rFonts w:ascii="Times New Roman" w:hAnsi="Times New Roman" w:cs="Times New Roman"/>
          <w:sz w:val="24"/>
          <w:szCs w:val="24"/>
        </w:rPr>
        <w:t xml:space="preserve">pierwotnej zmiany nowotworowej, </w:t>
      </w:r>
      <w:r w:rsidR="00FD3B78" w:rsidRPr="00E11754">
        <w:rPr>
          <w:rFonts w:ascii="Times New Roman" w:hAnsi="Times New Roman" w:cs="Times New Roman"/>
          <w:sz w:val="24"/>
          <w:szCs w:val="24"/>
        </w:rPr>
        <w:t>guz</w:t>
      </w:r>
      <w:r w:rsidR="008041F9" w:rsidRPr="00E11754">
        <w:rPr>
          <w:rFonts w:ascii="Times New Roman" w:hAnsi="Times New Roman" w:cs="Times New Roman"/>
          <w:sz w:val="24"/>
          <w:szCs w:val="24"/>
        </w:rPr>
        <w:t>a</w:t>
      </w:r>
      <w:r w:rsidR="00757487" w:rsidRPr="00E11754">
        <w:rPr>
          <w:rFonts w:ascii="Times New Roman" w:hAnsi="Times New Roman" w:cs="Times New Roman"/>
          <w:sz w:val="24"/>
          <w:szCs w:val="24"/>
        </w:rPr>
        <w:t xml:space="preserve"> w skali od 0 do 4</w:t>
      </w:r>
      <w:r w:rsidR="00FD3B78" w:rsidRPr="00E11754">
        <w:rPr>
          <w:rFonts w:ascii="Times New Roman" w:hAnsi="Times New Roman" w:cs="Times New Roman"/>
          <w:sz w:val="24"/>
          <w:szCs w:val="24"/>
        </w:rPr>
        <w:t xml:space="preserve">, </w:t>
      </w:r>
      <w:r w:rsidR="00542B7D" w:rsidRPr="00E11754">
        <w:rPr>
          <w:rFonts w:ascii="Times New Roman" w:hAnsi="Times New Roman" w:cs="Times New Roman"/>
          <w:sz w:val="24"/>
          <w:szCs w:val="24"/>
        </w:rPr>
        <w:t xml:space="preserve">stan </w:t>
      </w:r>
      <w:r w:rsidR="00FD3B78" w:rsidRPr="00E11754">
        <w:rPr>
          <w:rFonts w:ascii="Times New Roman" w:hAnsi="Times New Roman" w:cs="Times New Roman"/>
          <w:sz w:val="24"/>
          <w:szCs w:val="24"/>
        </w:rPr>
        <w:t>węzł</w:t>
      </w:r>
      <w:r w:rsidR="00542B7D" w:rsidRPr="00E11754">
        <w:rPr>
          <w:rFonts w:ascii="Times New Roman" w:hAnsi="Times New Roman" w:cs="Times New Roman"/>
          <w:sz w:val="24"/>
          <w:szCs w:val="24"/>
        </w:rPr>
        <w:t>ów</w:t>
      </w:r>
      <w:r w:rsidR="00FD3B78" w:rsidRPr="00E11754">
        <w:rPr>
          <w:rFonts w:ascii="Times New Roman" w:hAnsi="Times New Roman" w:cs="Times New Roman"/>
          <w:sz w:val="24"/>
          <w:szCs w:val="24"/>
        </w:rPr>
        <w:t xml:space="preserve"> chłonn</w:t>
      </w:r>
      <w:r w:rsidR="00542B7D" w:rsidRPr="00E11754">
        <w:rPr>
          <w:rFonts w:ascii="Times New Roman" w:hAnsi="Times New Roman" w:cs="Times New Roman"/>
          <w:sz w:val="24"/>
          <w:szCs w:val="24"/>
        </w:rPr>
        <w:t>ych</w:t>
      </w:r>
      <w:r w:rsidR="00215716" w:rsidRPr="00E11754">
        <w:rPr>
          <w:rFonts w:ascii="Times New Roman" w:hAnsi="Times New Roman" w:cs="Times New Roman"/>
          <w:sz w:val="24"/>
          <w:szCs w:val="24"/>
        </w:rPr>
        <w:t>, który jest klasyfikowany w s</w:t>
      </w:r>
      <w:r w:rsidR="00757487" w:rsidRPr="00E11754">
        <w:rPr>
          <w:rFonts w:ascii="Times New Roman" w:hAnsi="Times New Roman" w:cs="Times New Roman"/>
          <w:sz w:val="24"/>
          <w:szCs w:val="24"/>
        </w:rPr>
        <w:t>kali</w:t>
      </w:r>
      <w:r w:rsidR="00215716" w:rsidRPr="00E11754">
        <w:rPr>
          <w:rFonts w:ascii="Times New Roman" w:hAnsi="Times New Roman" w:cs="Times New Roman"/>
          <w:sz w:val="24"/>
          <w:szCs w:val="24"/>
        </w:rPr>
        <w:t xml:space="preserve"> od 0 do </w:t>
      </w:r>
      <w:r w:rsidR="00757487" w:rsidRPr="00E11754">
        <w:rPr>
          <w:rFonts w:ascii="Times New Roman" w:hAnsi="Times New Roman" w:cs="Times New Roman"/>
          <w:sz w:val="24"/>
          <w:szCs w:val="24"/>
        </w:rPr>
        <w:t xml:space="preserve">3 </w:t>
      </w:r>
      <w:r w:rsidR="000759D9" w:rsidRPr="00E11754">
        <w:rPr>
          <w:rFonts w:ascii="Times New Roman" w:hAnsi="Times New Roman" w:cs="Times New Roman"/>
          <w:sz w:val="24"/>
          <w:szCs w:val="24"/>
        </w:rPr>
        <w:t>oraz</w:t>
      </w:r>
      <w:r w:rsidR="00FD3B78" w:rsidRPr="00E11754">
        <w:rPr>
          <w:rFonts w:ascii="Times New Roman" w:hAnsi="Times New Roman" w:cs="Times New Roman"/>
          <w:sz w:val="24"/>
          <w:szCs w:val="24"/>
        </w:rPr>
        <w:t xml:space="preserve"> </w:t>
      </w:r>
      <w:r w:rsidR="00090525" w:rsidRPr="00E11754">
        <w:rPr>
          <w:rFonts w:ascii="Times New Roman" w:hAnsi="Times New Roman" w:cs="Times New Roman"/>
          <w:sz w:val="24"/>
          <w:szCs w:val="24"/>
        </w:rPr>
        <w:t xml:space="preserve">obecność </w:t>
      </w:r>
      <w:r w:rsidR="00FD3B78" w:rsidRPr="00E11754">
        <w:rPr>
          <w:rFonts w:ascii="Times New Roman" w:hAnsi="Times New Roman" w:cs="Times New Roman"/>
          <w:sz w:val="24"/>
          <w:szCs w:val="24"/>
        </w:rPr>
        <w:t>przerzut</w:t>
      </w:r>
      <w:r w:rsidR="00090525" w:rsidRPr="00E11754">
        <w:rPr>
          <w:rFonts w:ascii="Times New Roman" w:hAnsi="Times New Roman" w:cs="Times New Roman"/>
          <w:sz w:val="24"/>
          <w:szCs w:val="24"/>
        </w:rPr>
        <w:t>ów</w:t>
      </w:r>
      <w:r w:rsidR="00757487" w:rsidRPr="00E11754">
        <w:rPr>
          <w:rFonts w:ascii="Times New Roman" w:hAnsi="Times New Roman" w:cs="Times New Roman"/>
          <w:sz w:val="24"/>
          <w:szCs w:val="24"/>
        </w:rPr>
        <w:t xml:space="preserve"> w skali od 0 do 1</w:t>
      </w:r>
      <w:r w:rsidR="00094892" w:rsidRPr="00E11754">
        <w:rPr>
          <w:rFonts w:ascii="Times New Roman" w:hAnsi="Times New Roman" w:cs="Times New Roman"/>
          <w:sz w:val="24"/>
          <w:szCs w:val="24"/>
        </w:rPr>
        <w:t xml:space="preserve"> </w:t>
      </w:r>
      <w:r w:rsidR="00094892" w:rsidRPr="00E11754">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{"citationItems":[{"id":"ITEM-1","itemData":{"DOI":"10.1093/jjco/hyy182","ISSN":"14653621","PMID":"30541035","abstract":"The eighth editions of the primary tumor, lymph node and metastasis classifications for breast cancer issued by the American Joint Commission of Cancer and the Union for International Cancer Control were revised in 2017. The major change made by the American Joint Commission of Cancer is to incorporate biological factors such as estrogen and progesterone receptor, human epidermal growth factor receptor 2, histological grade and multigene prognostic assays, into the staging system. Tumor biomarkers and low recurrence scores confirmed by multigene prognostic assays change the staging. Minor changes are to add the post-neoadjuvant therapy clinical and pathological classification and to define the size of tumor, lymph node and metastasis components more precisely. Little has changed in the Union for International Cancer Control. We have identified key points of change in both eighth editions of the tumor, lymph node and metastasis classifications and we discuss possible problems which may arise when they are adopted in Japanese practice, as well as future directions.","author":[{"dropping-particle":"","family":"Sawaki","given":"Masataka","non-dropping-particle":"","parse-names":false,"suffix":""},{"dropping-particle":"","family":"Shien","given":"Tadahiko","non-dropping-particle":"","parse-names":false,"suffix":""},{"dropping-particle":"","family":"Iwata","given":"Hiroji","non-dropping-particle":"","parse-names":false,"suffix":""}],"container-title":"Japanese Journal of Clinical Oncology","id":"ITEM-1","issue":"3","issued":{"date-parts":[["2019"]]},"page":"228-231","title":"TNM classification of malignant tumors (Breast Cancer Study Group)","type":"article-journal","volume":"49"},"uris":["http://www.mendeley.com/documents/?uuid=e4a5b90f-df1f-419b-8ffc-9e0130d54c5e"]}],"mendeley":{"formattedCitation":"[17]","plainTextFormattedCitation":"[17]","previouslyFormattedCitation":"[17]"},"properties":{"noteIndex":0},"schema":"https://github.com/citation-style-language/schema/raw/master/csl-citation.json"}</w:instrText>
      </w:r>
      <w:r w:rsidR="00094892" w:rsidRPr="00E11754">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[17]</w:t>
      </w:r>
      <w:r w:rsidR="00094892" w:rsidRPr="00E11754">
        <w:rPr>
          <w:rFonts w:ascii="Times New Roman" w:hAnsi="Times New Roman" w:cs="Times New Roman"/>
          <w:sz w:val="24"/>
          <w:szCs w:val="24"/>
        </w:rPr>
        <w:fldChar w:fldCharType="end"/>
      </w:r>
      <w:r w:rsidR="00AC1F6E" w:rsidRPr="00E11754">
        <w:rPr>
          <w:rFonts w:ascii="Times New Roman" w:hAnsi="Times New Roman" w:cs="Times New Roman"/>
          <w:sz w:val="24"/>
          <w:szCs w:val="24"/>
        </w:rPr>
        <w:t xml:space="preserve">. </w:t>
      </w:r>
      <w:r w:rsidR="00DF7D56" w:rsidRPr="00E11754">
        <w:rPr>
          <w:rFonts w:ascii="Times New Roman" w:hAnsi="Times New Roman" w:cs="Times New Roman"/>
          <w:sz w:val="24"/>
          <w:szCs w:val="24"/>
        </w:rPr>
        <w:t>Zgodnie z tą klasyfikacją lekarze określają spo</w:t>
      </w:r>
      <w:r w:rsidR="00562223" w:rsidRPr="00E11754">
        <w:rPr>
          <w:rFonts w:ascii="Times New Roman" w:hAnsi="Times New Roman" w:cs="Times New Roman"/>
          <w:sz w:val="24"/>
          <w:szCs w:val="24"/>
        </w:rPr>
        <w:t>sób dalszego postępowania</w:t>
      </w:r>
      <w:r w:rsidR="0028788B" w:rsidRPr="00E11754">
        <w:rPr>
          <w:rFonts w:ascii="Times New Roman" w:hAnsi="Times New Roman" w:cs="Times New Roman"/>
          <w:sz w:val="24"/>
          <w:szCs w:val="24"/>
        </w:rPr>
        <w:t xml:space="preserve"> </w:t>
      </w:r>
      <w:r w:rsidR="0006074D" w:rsidRPr="00E11754">
        <w:rPr>
          <w:rFonts w:ascii="Times New Roman" w:hAnsi="Times New Roman" w:cs="Times New Roman"/>
          <w:sz w:val="24"/>
          <w:szCs w:val="24"/>
        </w:rPr>
        <w:t>leczniczego</w:t>
      </w:r>
      <w:r w:rsidR="0028788B" w:rsidRPr="00E11754">
        <w:rPr>
          <w:rFonts w:ascii="Times New Roman" w:hAnsi="Times New Roman" w:cs="Times New Roman"/>
          <w:sz w:val="24"/>
          <w:szCs w:val="24"/>
        </w:rPr>
        <w:t>. Ponadto</w:t>
      </w:r>
      <w:r w:rsidR="00C133E0" w:rsidRPr="00E11754">
        <w:rPr>
          <w:rFonts w:ascii="Times New Roman" w:hAnsi="Times New Roman" w:cs="Times New Roman"/>
          <w:sz w:val="24"/>
          <w:szCs w:val="24"/>
        </w:rPr>
        <w:t>,</w:t>
      </w:r>
      <w:r w:rsidR="0028788B" w:rsidRPr="00E11754">
        <w:rPr>
          <w:rFonts w:ascii="Times New Roman" w:hAnsi="Times New Roman" w:cs="Times New Roman"/>
          <w:sz w:val="24"/>
          <w:szCs w:val="24"/>
        </w:rPr>
        <w:t xml:space="preserve"> do określenia</w:t>
      </w:r>
      <w:r w:rsidR="0069577A" w:rsidRPr="00E11754">
        <w:rPr>
          <w:rFonts w:ascii="Times New Roman" w:hAnsi="Times New Roman" w:cs="Times New Roman"/>
          <w:sz w:val="24"/>
          <w:szCs w:val="24"/>
        </w:rPr>
        <w:t xml:space="preserve"> rodzaju </w:t>
      </w:r>
      <w:r w:rsidR="0006074D" w:rsidRPr="00E11754">
        <w:rPr>
          <w:rFonts w:ascii="Times New Roman" w:hAnsi="Times New Roman" w:cs="Times New Roman"/>
          <w:sz w:val="24"/>
          <w:szCs w:val="24"/>
        </w:rPr>
        <w:t>nowotworu</w:t>
      </w:r>
      <w:r w:rsidR="0069577A" w:rsidRPr="00E11754">
        <w:rPr>
          <w:rFonts w:ascii="Times New Roman" w:hAnsi="Times New Roman" w:cs="Times New Roman"/>
          <w:sz w:val="24"/>
          <w:szCs w:val="24"/>
        </w:rPr>
        <w:t xml:space="preserve"> </w:t>
      </w:r>
      <w:r w:rsidR="00FF2E2B" w:rsidRPr="00E11754">
        <w:rPr>
          <w:rFonts w:ascii="Times New Roman" w:hAnsi="Times New Roman" w:cs="Times New Roman"/>
          <w:sz w:val="24"/>
          <w:szCs w:val="24"/>
        </w:rPr>
        <w:t xml:space="preserve">pomocna jest </w:t>
      </w:r>
      <w:r w:rsidR="00DF7D56" w:rsidRPr="00E11754">
        <w:rPr>
          <w:rFonts w:ascii="Times New Roman" w:hAnsi="Times New Roman" w:cs="Times New Roman"/>
          <w:sz w:val="24"/>
          <w:szCs w:val="24"/>
        </w:rPr>
        <w:t>M</w:t>
      </w:r>
      <w:r w:rsidR="00AC1F6E" w:rsidRPr="00E11754">
        <w:rPr>
          <w:rFonts w:ascii="Times New Roman" w:hAnsi="Times New Roman" w:cs="Times New Roman"/>
          <w:sz w:val="24"/>
          <w:szCs w:val="24"/>
        </w:rPr>
        <w:t>iędzynarodowa Statystyczna Klasyfikacja Chorób i Problemów Zdrowotnych</w:t>
      </w:r>
      <w:r w:rsidR="00FF2E2B" w:rsidRPr="00E11754">
        <w:rPr>
          <w:rFonts w:ascii="Times New Roman" w:hAnsi="Times New Roman" w:cs="Times New Roman"/>
          <w:sz w:val="24"/>
          <w:szCs w:val="24"/>
        </w:rPr>
        <w:t xml:space="preserve">, która w swojej bazie </w:t>
      </w:r>
      <w:r w:rsidR="00C133E0" w:rsidRPr="00E11754">
        <w:rPr>
          <w:rFonts w:ascii="Times New Roman" w:hAnsi="Times New Roman" w:cs="Times New Roman"/>
          <w:sz w:val="24"/>
          <w:szCs w:val="24"/>
        </w:rPr>
        <w:t>zawiera</w:t>
      </w:r>
      <w:r w:rsidR="006118E2" w:rsidRPr="00E11754">
        <w:rPr>
          <w:rFonts w:ascii="Times New Roman" w:hAnsi="Times New Roman" w:cs="Times New Roman"/>
          <w:sz w:val="24"/>
          <w:szCs w:val="24"/>
        </w:rPr>
        <w:t xml:space="preserve"> około</w:t>
      </w:r>
      <w:r w:rsidR="00DF7D56" w:rsidRPr="00E11754">
        <w:rPr>
          <w:rFonts w:ascii="Times New Roman" w:hAnsi="Times New Roman" w:cs="Times New Roman"/>
          <w:sz w:val="24"/>
          <w:szCs w:val="24"/>
        </w:rPr>
        <w:t xml:space="preserve"> 100 rodzajów nowotworów</w:t>
      </w:r>
      <w:r w:rsidR="00882077" w:rsidRPr="00E11754">
        <w:rPr>
          <w:rFonts w:ascii="Times New Roman" w:hAnsi="Times New Roman" w:cs="Times New Roman"/>
          <w:sz w:val="24"/>
          <w:szCs w:val="24"/>
        </w:rPr>
        <w:t xml:space="preserve"> </w:t>
      </w:r>
      <w:r w:rsidR="00010CE9" w:rsidRPr="00E11754">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{"citationItems":[{"id":"ITEM-1","itemData":{"ISBN":"83-85688-21-8","author":[{"dropping-particle":"","family":"WHO","given":"","non-dropping-particle":"","parse-names":false,"suffix":""}],"container-title":"Międzynarodowa Statystyczna Klasyfikacja Chorób i Problemów Zdrowotnych – X Rewizja, Tom I. wydanie 2008","id":"ITEM-1","issued":{"date-parts":[["2009"]]},"page":"222-228","title":"Międzynarodowa Statystyczna Klasyfikacja Chorób i Problemów Zdrowotnych – X Rewizja, Tom I. wydanie 2008","type":"article-journal"},"uris":["http://www.mendeley.com/documents/?uuid=29a8d957-f968-4596-8ac3-6eaa943d0fd0"]}],"mendeley":{"formattedCitation":"[18]","plainTextFormattedCitation":"[18]","previouslyFormattedCitation":"[18]"},"properties":{"noteIndex":0},"schema":"https://github.com/citation-style-language/schema/raw/master/csl-citation.json"}</w:instrText>
      </w:r>
      <w:r w:rsidR="00010CE9" w:rsidRPr="00E11754">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[18]</w:t>
      </w:r>
      <w:r w:rsidR="00010CE9" w:rsidRPr="00E11754">
        <w:rPr>
          <w:rFonts w:ascii="Times New Roman" w:hAnsi="Times New Roman" w:cs="Times New Roman"/>
          <w:sz w:val="24"/>
          <w:szCs w:val="24"/>
        </w:rPr>
        <w:fldChar w:fldCharType="end"/>
      </w:r>
      <w:r w:rsidR="00DF7D56" w:rsidRPr="00E11754">
        <w:rPr>
          <w:rFonts w:ascii="Times New Roman" w:hAnsi="Times New Roman" w:cs="Times New Roman"/>
          <w:sz w:val="24"/>
          <w:szCs w:val="24"/>
        </w:rPr>
        <w:t xml:space="preserve">. </w:t>
      </w:r>
    </w:p>
    <w:p w14:paraId="2C2F2C1D" w14:textId="7C2525B5" w:rsidR="003D3653" w:rsidRPr="00E11754" w:rsidRDefault="06781417" w:rsidP="00007EE2">
      <w:pPr>
        <w:pStyle w:val="Akapitzlist"/>
        <w:spacing w:line="360" w:lineRule="auto"/>
        <w:ind w:left="0" w:firstLine="696"/>
        <w:jc w:val="both"/>
        <w:rPr>
          <w:rFonts w:ascii="Times New Roman" w:hAnsi="Times New Roman" w:cs="Times New Roman"/>
          <w:sz w:val="24"/>
          <w:szCs w:val="24"/>
        </w:rPr>
      </w:pPr>
      <w:r w:rsidRPr="00E11754">
        <w:rPr>
          <w:rFonts w:ascii="Times New Roman" w:hAnsi="Times New Roman" w:cs="Times New Roman"/>
          <w:sz w:val="24"/>
          <w:szCs w:val="24"/>
        </w:rPr>
        <w:t>Wśród nowotworów, które są diagnozowane u pacjentów, a jednocześnie w ramach realizacji rozprawy doktorskiej były potwierdzone u dzieci leczonych onkologicznie, dla których oznaczano profile zmian stężenia leków cytostatycznych z zastosowaniem opracowanych metod chromatograficznych były:</w:t>
      </w:r>
    </w:p>
    <w:p w14:paraId="71120707" w14:textId="4E3A79A1" w:rsidR="003D3653" w:rsidRPr="00E11754" w:rsidRDefault="0097250D" w:rsidP="006C6CAA">
      <w:pPr>
        <w:pStyle w:val="Akapitzlist"/>
        <w:numPr>
          <w:ilvl w:val="0"/>
          <w:numId w:val="30"/>
        </w:numPr>
        <w:spacing w:line="360" w:lineRule="auto"/>
        <w:jc w:val="both"/>
        <w:rPr>
          <w:rFonts w:ascii="Times New Roman" w:hAnsi="Times New Roman" w:cs="Times New Roman"/>
          <w:sz w:val="24"/>
          <w:szCs w:val="24"/>
        </w:rPr>
      </w:pPr>
      <w:proofErr w:type="spellStart"/>
      <w:r w:rsidRPr="00E11754">
        <w:rPr>
          <w:rFonts w:ascii="Times New Roman" w:hAnsi="Times New Roman" w:cs="Times New Roman"/>
          <w:b/>
          <w:bCs/>
          <w:sz w:val="24"/>
          <w:szCs w:val="24"/>
        </w:rPr>
        <w:t>Chłoniak</w:t>
      </w:r>
      <w:proofErr w:type="spellEnd"/>
      <w:r w:rsidRPr="00E11754">
        <w:rPr>
          <w:rFonts w:ascii="Times New Roman" w:hAnsi="Times New Roman" w:cs="Times New Roman"/>
          <w:b/>
          <w:bCs/>
          <w:sz w:val="24"/>
          <w:szCs w:val="24"/>
        </w:rPr>
        <w:t xml:space="preserve"> </w:t>
      </w:r>
      <w:proofErr w:type="spellStart"/>
      <w:r w:rsidRPr="00E11754">
        <w:rPr>
          <w:rFonts w:ascii="Times New Roman" w:hAnsi="Times New Roman" w:cs="Times New Roman"/>
          <w:b/>
          <w:bCs/>
          <w:sz w:val="24"/>
          <w:szCs w:val="24"/>
        </w:rPr>
        <w:t>Hodgk</w:t>
      </w:r>
      <w:r w:rsidR="00351E26" w:rsidRPr="00E11754">
        <w:rPr>
          <w:rFonts w:ascii="Times New Roman" w:hAnsi="Times New Roman" w:cs="Times New Roman"/>
          <w:b/>
          <w:bCs/>
          <w:sz w:val="24"/>
          <w:szCs w:val="24"/>
        </w:rPr>
        <w:t>in</w:t>
      </w:r>
      <w:r w:rsidRPr="00E11754">
        <w:rPr>
          <w:rFonts w:ascii="Times New Roman" w:hAnsi="Times New Roman" w:cs="Times New Roman"/>
          <w:b/>
          <w:bCs/>
          <w:sz w:val="24"/>
          <w:szCs w:val="24"/>
        </w:rPr>
        <w:t>a</w:t>
      </w:r>
      <w:proofErr w:type="spellEnd"/>
      <w:r w:rsidRPr="00E11754">
        <w:rPr>
          <w:rFonts w:ascii="Times New Roman" w:hAnsi="Times New Roman" w:cs="Times New Roman"/>
          <w:sz w:val="24"/>
          <w:szCs w:val="24"/>
        </w:rPr>
        <w:t xml:space="preserve"> </w:t>
      </w:r>
      <w:r w:rsidR="006E7A6E" w:rsidRPr="00E11754">
        <w:rPr>
          <w:rFonts w:ascii="Times New Roman" w:hAnsi="Times New Roman" w:cs="Times New Roman"/>
          <w:sz w:val="24"/>
          <w:szCs w:val="24"/>
        </w:rPr>
        <w:t>(</w:t>
      </w:r>
      <w:r w:rsidR="0005175B" w:rsidRPr="00E11754">
        <w:rPr>
          <w:rFonts w:ascii="Times New Roman" w:hAnsi="Times New Roman" w:cs="Times New Roman"/>
          <w:sz w:val="24"/>
          <w:szCs w:val="24"/>
        </w:rPr>
        <w:t xml:space="preserve">ang. </w:t>
      </w:r>
      <w:proofErr w:type="spellStart"/>
      <w:r w:rsidR="00781B4A" w:rsidRPr="00E11754">
        <w:rPr>
          <w:rFonts w:ascii="Times New Roman" w:hAnsi="Times New Roman" w:cs="Times New Roman"/>
          <w:i/>
          <w:iCs/>
          <w:sz w:val="24"/>
          <w:szCs w:val="24"/>
          <w:shd w:val="clear" w:color="auto" w:fill="FFFFFF"/>
        </w:rPr>
        <w:t>Hodgkin</w:t>
      </w:r>
      <w:proofErr w:type="spellEnd"/>
      <w:r w:rsidR="00781B4A" w:rsidRPr="00E11754">
        <w:rPr>
          <w:rFonts w:ascii="Times New Roman" w:hAnsi="Times New Roman" w:cs="Times New Roman"/>
          <w:i/>
          <w:iCs/>
          <w:sz w:val="24"/>
          <w:szCs w:val="24"/>
          <w:shd w:val="clear" w:color="auto" w:fill="FFFFFF"/>
        </w:rPr>
        <w:t xml:space="preserve"> </w:t>
      </w:r>
      <w:proofErr w:type="spellStart"/>
      <w:r w:rsidR="00781B4A" w:rsidRPr="00E11754">
        <w:rPr>
          <w:rFonts w:ascii="Times New Roman" w:hAnsi="Times New Roman" w:cs="Times New Roman"/>
          <w:i/>
          <w:iCs/>
          <w:sz w:val="24"/>
          <w:szCs w:val="24"/>
          <w:shd w:val="clear" w:color="auto" w:fill="FFFFFF"/>
        </w:rPr>
        <w:t>Lymphoma</w:t>
      </w:r>
      <w:proofErr w:type="spellEnd"/>
      <w:r w:rsidR="00880CF8" w:rsidRPr="00E11754">
        <w:rPr>
          <w:rFonts w:ascii="Times New Roman" w:hAnsi="Times New Roman" w:cs="Times New Roman"/>
          <w:sz w:val="24"/>
          <w:szCs w:val="24"/>
        </w:rPr>
        <w:t xml:space="preserve">, </w:t>
      </w:r>
      <w:r w:rsidR="006E7A6E" w:rsidRPr="00E11754">
        <w:rPr>
          <w:rFonts w:ascii="Times New Roman" w:hAnsi="Times New Roman" w:cs="Times New Roman"/>
          <w:sz w:val="24"/>
          <w:szCs w:val="24"/>
        </w:rPr>
        <w:t>H</w:t>
      </w:r>
      <w:r w:rsidR="00D22DAC" w:rsidRPr="00E11754">
        <w:rPr>
          <w:rFonts w:ascii="Times New Roman" w:hAnsi="Times New Roman" w:cs="Times New Roman"/>
          <w:sz w:val="24"/>
          <w:szCs w:val="24"/>
        </w:rPr>
        <w:t>L</w:t>
      </w:r>
      <w:r w:rsidR="006E7A6E" w:rsidRPr="00E11754">
        <w:rPr>
          <w:rFonts w:ascii="Times New Roman" w:hAnsi="Times New Roman" w:cs="Times New Roman"/>
          <w:sz w:val="24"/>
          <w:szCs w:val="24"/>
        </w:rPr>
        <w:t>)</w:t>
      </w:r>
      <w:r w:rsidR="00277536" w:rsidRPr="00E11754">
        <w:rPr>
          <w:rFonts w:ascii="Times New Roman" w:hAnsi="Times New Roman" w:cs="Times New Roman"/>
          <w:sz w:val="24"/>
          <w:szCs w:val="24"/>
        </w:rPr>
        <w:t xml:space="preserve"> </w:t>
      </w:r>
      <w:r w:rsidR="00C133E0" w:rsidRPr="00E11754">
        <w:rPr>
          <w:rFonts w:ascii="Times New Roman" w:hAnsi="Times New Roman" w:cs="Times New Roman"/>
          <w:sz w:val="24"/>
          <w:szCs w:val="24"/>
        </w:rPr>
        <w:t xml:space="preserve">– </w:t>
      </w:r>
      <w:r w:rsidR="00456A58" w:rsidRPr="00E11754">
        <w:rPr>
          <w:rFonts w:ascii="Times New Roman" w:hAnsi="Times New Roman" w:cs="Times New Roman"/>
          <w:sz w:val="24"/>
          <w:szCs w:val="24"/>
        </w:rPr>
        <w:t xml:space="preserve">jest </w:t>
      </w:r>
      <w:r w:rsidRPr="00E11754">
        <w:rPr>
          <w:rFonts w:ascii="Times New Roman" w:hAnsi="Times New Roman" w:cs="Times New Roman"/>
          <w:sz w:val="24"/>
          <w:szCs w:val="24"/>
        </w:rPr>
        <w:t>znany</w:t>
      </w:r>
      <w:r w:rsidR="00D22DAC" w:rsidRPr="00E11754">
        <w:rPr>
          <w:rFonts w:ascii="Times New Roman" w:hAnsi="Times New Roman" w:cs="Times New Roman"/>
          <w:sz w:val="24"/>
          <w:szCs w:val="24"/>
        </w:rPr>
        <w:t xml:space="preserve"> </w:t>
      </w:r>
      <w:r w:rsidR="00C133E0" w:rsidRPr="00E11754">
        <w:rPr>
          <w:rFonts w:ascii="Times New Roman" w:hAnsi="Times New Roman" w:cs="Times New Roman"/>
          <w:sz w:val="24"/>
          <w:szCs w:val="24"/>
        </w:rPr>
        <w:t>także</w:t>
      </w:r>
      <w:r w:rsidRPr="00E11754">
        <w:rPr>
          <w:rFonts w:ascii="Times New Roman" w:hAnsi="Times New Roman" w:cs="Times New Roman"/>
          <w:sz w:val="24"/>
          <w:szCs w:val="24"/>
        </w:rPr>
        <w:t xml:space="preserve"> pod </w:t>
      </w:r>
      <w:r w:rsidR="002F48CB" w:rsidRPr="00E11754">
        <w:rPr>
          <w:rFonts w:ascii="Times New Roman" w:hAnsi="Times New Roman" w:cs="Times New Roman"/>
          <w:sz w:val="24"/>
          <w:szCs w:val="24"/>
        </w:rPr>
        <w:t>nazw</w:t>
      </w:r>
      <w:r w:rsidR="009F2E78" w:rsidRPr="00E11754">
        <w:rPr>
          <w:rFonts w:ascii="Times New Roman" w:hAnsi="Times New Roman" w:cs="Times New Roman"/>
          <w:sz w:val="24"/>
          <w:szCs w:val="24"/>
        </w:rPr>
        <w:t>ą</w:t>
      </w:r>
      <w:r w:rsidR="002F48CB" w:rsidRPr="00E11754">
        <w:rPr>
          <w:rFonts w:ascii="Times New Roman" w:hAnsi="Times New Roman" w:cs="Times New Roman"/>
          <w:sz w:val="24"/>
          <w:szCs w:val="24"/>
        </w:rPr>
        <w:t xml:space="preserve"> </w:t>
      </w:r>
      <w:r w:rsidRPr="00E11754">
        <w:rPr>
          <w:rFonts w:ascii="Times New Roman" w:hAnsi="Times New Roman" w:cs="Times New Roman"/>
          <w:sz w:val="24"/>
          <w:szCs w:val="24"/>
        </w:rPr>
        <w:t>ziarnica złośliwa</w:t>
      </w:r>
      <w:r w:rsidR="002F48CB" w:rsidRPr="00E11754">
        <w:rPr>
          <w:rFonts w:ascii="Times New Roman" w:hAnsi="Times New Roman" w:cs="Times New Roman"/>
          <w:sz w:val="24"/>
          <w:szCs w:val="24"/>
        </w:rPr>
        <w:t xml:space="preserve"> oraz choroba </w:t>
      </w:r>
      <w:proofErr w:type="spellStart"/>
      <w:r w:rsidR="002F48CB" w:rsidRPr="00E11754">
        <w:rPr>
          <w:rFonts w:ascii="Times New Roman" w:hAnsi="Times New Roman" w:cs="Times New Roman"/>
          <w:sz w:val="24"/>
          <w:szCs w:val="24"/>
        </w:rPr>
        <w:t>Hodgkina</w:t>
      </w:r>
      <w:proofErr w:type="spellEnd"/>
      <w:r w:rsidR="004D35DF" w:rsidRPr="00E11754">
        <w:rPr>
          <w:rFonts w:ascii="Times New Roman" w:hAnsi="Times New Roman" w:cs="Times New Roman"/>
          <w:sz w:val="24"/>
          <w:szCs w:val="24"/>
        </w:rPr>
        <w:t>.</w:t>
      </w:r>
      <w:r w:rsidR="00990636" w:rsidRPr="00E11754">
        <w:rPr>
          <w:rFonts w:ascii="Times New Roman" w:hAnsi="Times New Roman" w:cs="Times New Roman"/>
          <w:sz w:val="24"/>
          <w:szCs w:val="24"/>
        </w:rPr>
        <w:t xml:space="preserve"> </w:t>
      </w:r>
      <w:r w:rsidR="00B1751C" w:rsidRPr="00E11754">
        <w:rPr>
          <w:rFonts w:ascii="Times New Roman" w:hAnsi="Times New Roman" w:cs="Times New Roman"/>
          <w:sz w:val="24"/>
          <w:szCs w:val="24"/>
        </w:rPr>
        <w:t xml:space="preserve">HL definiuje się jako rzadki, złośliwy nowotwór układu chłonnego, który głównie </w:t>
      </w:r>
      <w:r w:rsidR="00B1751C" w:rsidRPr="003F059C">
        <w:rPr>
          <w:rFonts w:ascii="Times New Roman" w:hAnsi="Times New Roman" w:cs="Times New Roman"/>
          <w:sz w:val="24"/>
          <w:szCs w:val="24"/>
        </w:rPr>
        <w:t xml:space="preserve">występuje u ludzi do 30 roku życia. </w:t>
      </w:r>
      <w:r w:rsidR="00365F6F" w:rsidRPr="003F059C">
        <w:rPr>
          <w:rFonts w:ascii="Times New Roman" w:hAnsi="Times New Roman" w:cs="Times New Roman"/>
          <w:sz w:val="24"/>
          <w:szCs w:val="24"/>
        </w:rPr>
        <w:t xml:space="preserve">Z danych za </w:t>
      </w:r>
      <w:r w:rsidR="00F02C48" w:rsidRPr="003F059C">
        <w:rPr>
          <w:rFonts w:ascii="Times New Roman" w:hAnsi="Times New Roman" w:cs="Times New Roman"/>
          <w:sz w:val="24"/>
          <w:szCs w:val="24"/>
        </w:rPr>
        <w:t>2020 r.</w:t>
      </w:r>
      <w:r w:rsidR="00660826" w:rsidRPr="003F059C">
        <w:rPr>
          <w:rFonts w:ascii="Times New Roman" w:hAnsi="Times New Roman" w:cs="Times New Roman"/>
          <w:sz w:val="24"/>
          <w:szCs w:val="24"/>
        </w:rPr>
        <w:t xml:space="preserve"> na </w:t>
      </w:r>
      <w:r w:rsidR="00F26461" w:rsidRPr="003F059C">
        <w:rPr>
          <w:rFonts w:ascii="Times New Roman" w:hAnsi="Times New Roman" w:cs="Times New Roman"/>
          <w:sz w:val="24"/>
          <w:szCs w:val="24"/>
        </w:rPr>
        <w:t xml:space="preserve">całym </w:t>
      </w:r>
      <w:r w:rsidR="00660826" w:rsidRPr="003F059C">
        <w:rPr>
          <w:rFonts w:ascii="Times New Roman" w:hAnsi="Times New Roman" w:cs="Times New Roman"/>
          <w:sz w:val="24"/>
          <w:szCs w:val="24"/>
        </w:rPr>
        <w:t>świecie</w:t>
      </w:r>
      <w:r w:rsidR="00034C95" w:rsidRPr="003F059C">
        <w:rPr>
          <w:rFonts w:ascii="Times New Roman" w:hAnsi="Times New Roman" w:cs="Times New Roman"/>
          <w:sz w:val="24"/>
          <w:szCs w:val="24"/>
        </w:rPr>
        <w:t xml:space="preserve"> HL</w:t>
      </w:r>
      <w:r w:rsidR="00660826" w:rsidRPr="003F059C">
        <w:rPr>
          <w:rFonts w:ascii="Times New Roman" w:hAnsi="Times New Roman" w:cs="Times New Roman"/>
          <w:sz w:val="24"/>
          <w:szCs w:val="24"/>
        </w:rPr>
        <w:t xml:space="preserve"> </w:t>
      </w:r>
      <w:r w:rsidR="00034C95" w:rsidRPr="003F059C">
        <w:rPr>
          <w:rFonts w:ascii="Times New Roman" w:hAnsi="Times New Roman" w:cs="Times New Roman"/>
          <w:sz w:val="24"/>
          <w:szCs w:val="24"/>
        </w:rPr>
        <w:t xml:space="preserve">zdiagnozowano u </w:t>
      </w:r>
      <w:r w:rsidR="00034C95" w:rsidRPr="003F059C">
        <w:rPr>
          <w:rFonts w:ascii="Times New Roman" w:hAnsi="Times New Roman" w:cs="Times New Roman"/>
          <w:sz w:val="24"/>
          <w:szCs w:val="24"/>
          <w:shd w:val="clear" w:color="auto" w:fill="FFFFFF"/>
        </w:rPr>
        <w:t xml:space="preserve">83 087 osób, natomiast </w:t>
      </w:r>
      <w:r w:rsidR="00F26461" w:rsidRPr="003F059C">
        <w:rPr>
          <w:rFonts w:ascii="Times New Roman" w:hAnsi="Times New Roman" w:cs="Times New Roman"/>
          <w:sz w:val="24"/>
          <w:szCs w:val="24"/>
          <w:shd w:val="clear" w:color="auto" w:fill="FFFFFF"/>
        </w:rPr>
        <w:t>23 376 osób zmarło.</w:t>
      </w:r>
      <w:r w:rsidR="00AA498A" w:rsidRPr="003F059C">
        <w:rPr>
          <w:rFonts w:ascii="Times New Roman" w:hAnsi="Times New Roman" w:cs="Times New Roman"/>
          <w:sz w:val="24"/>
          <w:szCs w:val="24"/>
          <w:shd w:val="clear" w:color="auto" w:fill="FFFFFF"/>
        </w:rPr>
        <w:t xml:space="preserve"> Z kolei w</w:t>
      </w:r>
      <w:r w:rsidR="008B2BA4" w:rsidRPr="003F059C">
        <w:rPr>
          <w:rFonts w:ascii="Times New Roman" w:hAnsi="Times New Roman" w:cs="Times New Roman"/>
          <w:sz w:val="24"/>
          <w:szCs w:val="24"/>
        </w:rPr>
        <w:t xml:space="preserve"> Polsce na </w:t>
      </w:r>
      <w:r w:rsidR="00F26461" w:rsidRPr="003F059C">
        <w:rPr>
          <w:rFonts w:ascii="Times New Roman" w:hAnsi="Times New Roman" w:cs="Times New Roman"/>
          <w:sz w:val="24"/>
          <w:szCs w:val="24"/>
        </w:rPr>
        <w:t xml:space="preserve">HL </w:t>
      </w:r>
      <w:r w:rsidR="008B2BA4" w:rsidRPr="003F059C">
        <w:rPr>
          <w:rFonts w:ascii="Times New Roman" w:hAnsi="Times New Roman" w:cs="Times New Roman"/>
          <w:sz w:val="24"/>
          <w:szCs w:val="24"/>
        </w:rPr>
        <w:t xml:space="preserve">chorowało </w:t>
      </w:r>
      <w:r w:rsidR="00365F6F" w:rsidRPr="003F059C">
        <w:rPr>
          <w:rFonts w:ascii="Times New Roman" w:hAnsi="Times New Roman" w:cs="Times New Roman"/>
          <w:sz w:val="24"/>
          <w:szCs w:val="24"/>
        </w:rPr>
        <w:t>681 osób a 167 umarło</w:t>
      </w:r>
      <w:r w:rsidR="00F26461" w:rsidRPr="003F059C">
        <w:rPr>
          <w:rFonts w:ascii="Times New Roman" w:hAnsi="Times New Roman" w:cs="Times New Roman"/>
          <w:sz w:val="24"/>
          <w:szCs w:val="24"/>
        </w:rPr>
        <w:t xml:space="preserve"> </w:t>
      </w:r>
      <w:r w:rsidR="00B74424" w:rsidRPr="003F059C">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{"citationItems":[{"id":"ITEM-1","itemData":{"DOI":"10.1186/s13045-022-01281-9","ISBN":"1304502201","ISSN":"17568722","PMID":"35546241","abstract":"Background: Hodgkin lymphoma is a lymphatic malignancy commonly found in cervical lymph nodes. This study evaluated the worldwide incidence, mortality, associated risk factors, and temporal trends of Hodgkin lymphoma by sex, age, and country. Methods: The age-standardised Hodgkin lymphoma incidence and mortality were retrieved from the GLOBOCAN, CI5 volumes I-XI, WHO mortality database, the NORDCAN and SEER Program. The age-standardised prevalence of smoking, alcohol drinking, obesity, and hypertension was also extracted for each country. Trends were tested using Average Annual Percentage Change (AAPC) from Joinpoint regression analysis. Results: The Hodgkin lymphoma incidence and mortality were 0.98 and 0.26 per 100,000 in 2020. A higher incidence was observed in high-income countries, while higher mortality was found in low-income countries. Incidence and mortality were associated with GDP per capita, prevalence of smoking, obesity, and hypertension at the population level. Despite the decreasing mortality trend, there was an increasing incidence, especially among females, younger population, and subjects from Asian countries. Conclusions: There was an increasing trend in Hodgkin lymphoma incidence, especially among subjects who were female, younger population, and from Asian countries. Further studies are needed to investigate the reasons for these epidemiologic trends.","author":[{"dropping-particle":"","family":"Huang","given":"Junjie","non-dropping-particle":"","parse-names":false,"suffix":""},{"dropping-particle":"","family":"Pang","given":"Wing Sze","non-dropping-particle":"","parse-names":false,"suffix":""},{"dropping-particle":"","family":"Lok","given":"Veeleah","non-dropping-particle":"","parse-names":false,"suffix":""},{"dropping-particle":"","family":"Zhang","given":"Lin","non-dropping-particle":"","parse-names":false,"suffix":""},{"dropping-particle":"","family":"Lucero-Prisno","given":"Don Eliseo","non-dropping-particle":"","parse-names":false,"suffix":""},{"dropping-particle":"","family":"Xu","given":"Wanghong","non-dropping-particle":"","parse-names":false,"suffix":""},{"dropping-particle":"","family":"Zheng","given":"Zhi Jie","non-dropping-particle":"","parse-names":false,"suffix":""},{"dropping-particle":"","family":"Elcarte","given":"Edmar","non-dropping-particle":"","parse-names":false,"suffix":""},{"dropping-particle":"","family":"Withers","given":"Mellissa","non-dropping-particle":"","parse-names":false,"suffix":""},{"dropping-particle":"","family":"Wong","given":"Martin C.S.","non-dropping-particle":"","parse-names":false,"suffix":""}],"container-title":"Journal of Hematology and Oncology","id":"ITEM-1","issue":"1","issued":{"date-parts":[["2022"]]},"page":"1-11","publisher":"BioMed Central","title":"Incidence, mortality, risk factors, and trends for Hodgkin lymphoma: a global data analysis","type":"article-journal","volume":"15"},"uris":["http://www.mendeley.com/documents/?uuid=2a7f0fce-cc2f-4456-ad28-83d5b21b2da3"]}],"mendeley":{"formattedCitation":"[19]","plainTextFormattedCitation":"[19]","previouslyFormattedCitation":"[19]"},"properties":{"noteIndex":0},"schema":"https://github.com/citation-style-language/schema/raw/master/csl-citation.json"}</w:instrText>
      </w:r>
      <w:r w:rsidR="00B74424" w:rsidRPr="003F059C">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[19]</w:t>
      </w:r>
      <w:r w:rsidR="00B74424" w:rsidRPr="003F059C">
        <w:rPr>
          <w:rFonts w:ascii="Times New Roman" w:hAnsi="Times New Roman" w:cs="Times New Roman"/>
          <w:sz w:val="24"/>
          <w:szCs w:val="24"/>
        </w:rPr>
        <w:fldChar w:fldCharType="end"/>
      </w:r>
      <w:r w:rsidR="000172F2" w:rsidRPr="003F059C">
        <w:rPr>
          <w:rFonts w:ascii="Times New Roman" w:hAnsi="Times New Roman" w:cs="Times New Roman"/>
          <w:sz w:val="24"/>
          <w:szCs w:val="24"/>
        </w:rPr>
        <w:t>.</w:t>
      </w:r>
      <w:r w:rsidR="005B5E09" w:rsidRPr="003F059C">
        <w:rPr>
          <w:rFonts w:ascii="Times New Roman" w:hAnsi="Times New Roman" w:cs="Times New Roman"/>
          <w:sz w:val="24"/>
          <w:szCs w:val="24"/>
        </w:rPr>
        <w:t xml:space="preserve"> </w:t>
      </w:r>
      <w:r w:rsidR="00C10A13" w:rsidRPr="003F059C">
        <w:rPr>
          <w:rFonts w:ascii="Times New Roman" w:hAnsi="Times New Roman" w:cs="Times New Roman"/>
          <w:sz w:val="24"/>
          <w:szCs w:val="24"/>
        </w:rPr>
        <w:t xml:space="preserve">Nazwa </w:t>
      </w:r>
      <w:r w:rsidR="00483AD0" w:rsidRPr="003F059C">
        <w:rPr>
          <w:rFonts w:ascii="Times New Roman" w:hAnsi="Times New Roman" w:cs="Times New Roman"/>
          <w:sz w:val="24"/>
          <w:szCs w:val="24"/>
        </w:rPr>
        <w:t xml:space="preserve">tej choroby jest </w:t>
      </w:r>
      <w:r w:rsidR="00483AD0" w:rsidRPr="00E11754">
        <w:rPr>
          <w:rFonts w:ascii="Times New Roman" w:hAnsi="Times New Roman" w:cs="Times New Roman"/>
          <w:sz w:val="24"/>
          <w:szCs w:val="24"/>
        </w:rPr>
        <w:t xml:space="preserve">związana z nazwiskiem brytyjskiego lekarza </w:t>
      </w:r>
      <w:r w:rsidR="00C821C0" w:rsidRPr="00E11754">
        <w:rPr>
          <w:rFonts w:ascii="Times New Roman" w:hAnsi="Times New Roman" w:cs="Times New Roman"/>
          <w:color w:val="000000"/>
          <w:sz w:val="24"/>
          <w:szCs w:val="24"/>
          <w:shd w:val="clear" w:color="auto" w:fill="FFFFFF"/>
        </w:rPr>
        <w:t>Thomas</w:t>
      </w:r>
      <w:r w:rsidR="00483AD0" w:rsidRPr="00E11754">
        <w:rPr>
          <w:rFonts w:ascii="Times New Roman" w:hAnsi="Times New Roman" w:cs="Times New Roman"/>
          <w:color w:val="000000"/>
          <w:sz w:val="24"/>
          <w:szCs w:val="24"/>
          <w:shd w:val="clear" w:color="auto" w:fill="FFFFFF"/>
        </w:rPr>
        <w:t>a</w:t>
      </w:r>
      <w:r w:rsidR="00C821C0" w:rsidRPr="00E11754">
        <w:rPr>
          <w:rFonts w:ascii="Times New Roman" w:hAnsi="Times New Roman" w:cs="Times New Roman"/>
          <w:color w:val="000000"/>
          <w:sz w:val="24"/>
          <w:szCs w:val="24"/>
          <w:shd w:val="clear" w:color="auto" w:fill="FFFFFF"/>
        </w:rPr>
        <w:t xml:space="preserve"> </w:t>
      </w:r>
      <w:proofErr w:type="spellStart"/>
      <w:r w:rsidR="00C821C0" w:rsidRPr="00E11754">
        <w:rPr>
          <w:rFonts w:ascii="Times New Roman" w:hAnsi="Times New Roman" w:cs="Times New Roman"/>
          <w:color w:val="000000"/>
          <w:sz w:val="24"/>
          <w:szCs w:val="24"/>
          <w:shd w:val="clear" w:color="auto" w:fill="FFFFFF"/>
        </w:rPr>
        <w:t>Hodgkin</w:t>
      </w:r>
      <w:r w:rsidR="00483AD0" w:rsidRPr="00E11754">
        <w:rPr>
          <w:rFonts w:ascii="Times New Roman" w:hAnsi="Times New Roman" w:cs="Times New Roman"/>
          <w:color w:val="000000"/>
          <w:sz w:val="24"/>
          <w:szCs w:val="24"/>
          <w:shd w:val="clear" w:color="auto" w:fill="FFFFFF"/>
        </w:rPr>
        <w:t>a</w:t>
      </w:r>
      <w:proofErr w:type="spellEnd"/>
      <w:r w:rsidR="001779C8" w:rsidRPr="00E11754">
        <w:rPr>
          <w:rFonts w:ascii="Times New Roman" w:hAnsi="Times New Roman" w:cs="Times New Roman"/>
          <w:color w:val="000000"/>
          <w:sz w:val="24"/>
          <w:szCs w:val="24"/>
          <w:shd w:val="clear" w:color="auto" w:fill="FFFFFF"/>
        </w:rPr>
        <w:t>, który</w:t>
      </w:r>
      <w:r w:rsidR="00375CA5" w:rsidRPr="00E11754">
        <w:rPr>
          <w:rFonts w:ascii="Times New Roman" w:hAnsi="Times New Roman" w:cs="Times New Roman"/>
          <w:color w:val="000000"/>
          <w:sz w:val="24"/>
          <w:szCs w:val="24"/>
          <w:shd w:val="clear" w:color="auto" w:fill="FFFFFF"/>
        </w:rPr>
        <w:t xml:space="preserve"> w 1832 r. </w:t>
      </w:r>
      <w:r w:rsidR="003E7AA5" w:rsidRPr="00E11754">
        <w:rPr>
          <w:rFonts w:ascii="Times New Roman" w:hAnsi="Times New Roman" w:cs="Times New Roman"/>
          <w:color w:val="000000"/>
          <w:sz w:val="24"/>
          <w:szCs w:val="24"/>
          <w:shd w:val="clear" w:color="auto" w:fill="FFFFFF"/>
        </w:rPr>
        <w:t>po raz pierwszy opisał ten nowotwór</w:t>
      </w:r>
      <w:r w:rsidR="00375CA5" w:rsidRPr="00E11754">
        <w:rPr>
          <w:rFonts w:ascii="Times New Roman" w:hAnsi="Times New Roman" w:cs="Times New Roman"/>
          <w:color w:val="000000"/>
          <w:sz w:val="24"/>
          <w:szCs w:val="24"/>
          <w:shd w:val="clear" w:color="auto" w:fill="FFFFFF"/>
        </w:rPr>
        <w:t xml:space="preserve">. </w:t>
      </w:r>
      <w:r w:rsidR="00D22DAC" w:rsidRPr="00E11754">
        <w:rPr>
          <w:rFonts w:ascii="Times New Roman" w:hAnsi="Times New Roman" w:cs="Times New Roman"/>
          <w:sz w:val="24"/>
          <w:szCs w:val="24"/>
        </w:rPr>
        <w:t>Początek choroby ma miejsce w węzłach chłonnych</w:t>
      </w:r>
      <w:r w:rsidR="00252934" w:rsidRPr="00E11754">
        <w:rPr>
          <w:rFonts w:ascii="Times New Roman" w:hAnsi="Times New Roman" w:cs="Times New Roman"/>
          <w:sz w:val="24"/>
          <w:szCs w:val="24"/>
        </w:rPr>
        <w:t xml:space="preserve"> szyi</w:t>
      </w:r>
      <w:r w:rsidR="007962A4" w:rsidRPr="00E11754">
        <w:rPr>
          <w:rFonts w:ascii="Times New Roman" w:hAnsi="Times New Roman" w:cs="Times New Roman"/>
          <w:sz w:val="24"/>
          <w:szCs w:val="24"/>
        </w:rPr>
        <w:t xml:space="preserve">, gdzie </w:t>
      </w:r>
      <w:r w:rsidR="00292D4B" w:rsidRPr="00E11754">
        <w:rPr>
          <w:rFonts w:ascii="Times New Roman" w:hAnsi="Times New Roman" w:cs="Times New Roman"/>
          <w:sz w:val="24"/>
          <w:szCs w:val="24"/>
        </w:rPr>
        <w:t xml:space="preserve">z limfocytów B powstają </w:t>
      </w:r>
      <w:r w:rsidR="007962A4" w:rsidRPr="00E11754">
        <w:rPr>
          <w:rFonts w:ascii="Times New Roman" w:hAnsi="Times New Roman" w:cs="Times New Roman"/>
          <w:sz w:val="24"/>
          <w:szCs w:val="24"/>
        </w:rPr>
        <w:t xml:space="preserve">komórki </w:t>
      </w:r>
      <w:r w:rsidR="00BB156D" w:rsidRPr="00E11754">
        <w:rPr>
          <w:rFonts w:ascii="Times New Roman" w:hAnsi="Times New Roman" w:cs="Times New Roman"/>
          <w:sz w:val="24"/>
          <w:szCs w:val="24"/>
        </w:rPr>
        <w:t>nowotworowe</w:t>
      </w:r>
      <w:r w:rsidR="008B2C07" w:rsidRPr="00E11754">
        <w:rPr>
          <w:rFonts w:ascii="Times New Roman" w:hAnsi="Times New Roman" w:cs="Times New Roman"/>
          <w:sz w:val="24"/>
          <w:szCs w:val="24"/>
        </w:rPr>
        <w:t xml:space="preserve">. W zmienionych </w:t>
      </w:r>
      <w:r w:rsidR="00292D4B" w:rsidRPr="00E11754">
        <w:rPr>
          <w:rFonts w:ascii="Times New Roman" w:hAnsi="Times New Roman" w:cs="Times New Roman"/>
          <w:sz w:val="24"/>
          <w:szCs w:val="24"/>
        </w:rPr>
        <w:t>chorobowo</w:t>
      </w:r>
      <w:r w:rsidR="008B2C07" w:rsidRPr="00E11754">
        <w:rPr>
          <w:rFonts w:ascii="Times New Roman" w:hAnsi="Times New Roman" w:cs="Times New Roman"/>
          <w:sz w:val="24"/>
          <w:szCs w:val="24"/>
        </w:rPr>
        <w:t xml:space="preserve"> </w:t>
      </w:r>
      <w:r w:rsidR="00292D4B" w:rsidRPr="00E11754">
        <w:rPr>
          <w:rFonts w:ascii="Times New Roman" w:hAnsi="Times New Roman" w:cs="Times New Roman"/>
          <w:sz w:val="24"/>
          <w:szCs w:val="24"/>
        </w:rPr>
        <w:t>miejscach</w:t>
      </w:r>
      <w:r w:rsidR="008B2C07" w:rsidRPr="00E11754">
        <w:rPr>
          <w:rFonts w:ascii="Times New Roman" w:hAnsi="Times New Roman" w:cs="Times New Roman"/>
          <w:sz w:val="24"/>
          <w:szCs w:val="24"/>
        </w:rPr>
        <w:t xml:space="preserve"> wyróżn</w:t>
      </w:r>
      <w:r w:rsidR="005223DE" w:rsidRPr="00E11754">
        <w:rPr>
          <w:rFonts w:ascii="Times New Roman" w:hAnsi="Times New Roman" w:cs="Times New Roman"/>
          <w:sz w:val="24"/>
          <w:szCs w:val="24"/>
        </w:rPr>
        <w:t>ia się</w:t>
      </w:r>
      <w:r w:rsidR="008B2C07" w:rsidRPr="00E11754">
        <w:rPr>
          <w:rFonts w:ascii="Times New Roman" w:hAnsi="Times New Roman" w:cs="Times New Roman"/>
          <w:sz w:val="24"/>
          <w:szCs w:val="24"/>
        </w:rPr>
        <w:t xml:space="preserve"> komórki </w:t>
      </w:r>
      <w:r w:rsidR="00002231" w:rsidRPr="00E11754">
        <w:rPr>
          <w:rFonts w:ascii="Times New Roman" w:hAnsi="Times New Roman" w:cs="Times New Roman"/>
          <w:sz w:val="24"/>
          <w:szCs w:val="24"/>
        </w:rPr>
        <w:t>R</w:t>
      </w:r>
      <w:r w:rsidR="005223DE" w:rsidRPr="00E11754">
        <w:rPr>
          <w:rFonts w:ascii="Times New Roman" w:hAnsi="Times New Roman" w:cs="Times New Roman"/>
          <w:sz w:val="24"/>
          <w:szCs w:val="24"/>
        </w:rPr>
        <w:t>eed</w:t>
      </w:r>
      <w:r w:rsidR="00C133E0" w:rsidRPr="00E11754">
        <w:rPr>
          <w:rFonts w:ascii="Times New Roman" w:hAnsi="Times New Roman" w:cs="Times New Roman"/>
          <w:sz w:val="24"/>
          <w:szCs w:val="24"/>
        </w:rPr>
        <w:t>-</w:t>
      </w:r>
      <w:r w:rsidR="00292D4B" w:rsidRPr="00E11754">
        <w:rPr>
          <w:rFonts w:ascii="Times New Roman" w:hAnsi="Times New Roman" w:cs="Times New Roman"/>
          <w:sz w:val="24"/>
          <w:szCs w:val="24"/>
        </w:rPr>
        <w:t>Sternberga</w:t>
      </w:r>
      <w:r w:rsidR="00430D88" w:rsidRPr="00E11754">
        <w:rPr>
          <w:rFonts w:ascii="Times New Roman" w:hAnsi="Times New Roman" w:cs="Times New Roman"/>
          <w:sz w:val="24"/>
          <w:szCs w:val="24"/>
        </w:rPr>
        <w:t xml:space="preserve"> oraz </w:t>
      </w:r>
      <w:proofErr w:type="spellStart"/>
      <w:r w:rsidR="00430D88" w:rsidRPr="00E11754">
        <w:rPr>
          <w:rFonts w:ascii="Times New Roman" w:hAnsi="Times New Roman" w:cs="Times New Roman"/>
          <w:sz w:val="24"/>
          <w:szCs w:val="24"/>
        </w:rPr>
        <w:t>Hodgkina</w:t>
      </w:r>
      <w:proofErr w:type="spellEnd"/>
      <w:r w:rsidR="000B4127">
        <w:rPr>
          <w:rFonts w:ascii="Times New Roman" w:hAnsi="Times New Roman" w:cs="Times New Roman"/>
          <w:sz w:val="24"/>
          <w:szCs w:val="24"/>
        </w:rPr>
        <w:t xml:space="preserve"> </w:t>
      </w:r>
      <w:r w:rsidR="00B67F8C">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{"citationItems":[{"id":"ITEM-1","itemData":{"DOI":"10.5603/OCP.2019.0028.Nale","author":[{"dropping-particle":"","family":"Katarzyna Kryszczyszyn-Musialik1, 2, Grzegorz Słomian1","given":"Krzysztof Musialik3","non-dropping-particle":"","parse-names":false,"suffix":""}],"container-title":"Via Medica","id":"ITEM-1","issue":"3","issued":{"date-parts":[["2019"]]},"page":"280-285","title":"Mnogie stany ropne utrudniające rozpoznanie , wikłające przebieg i leczenie chłoniaka Hodgkina u 29-letniego mężczyzny — opis przypadku","type":"article-journal"},"uris":["http://www.mendeley.com/documents/?uuid=424a5f63-de58-4213-a518-243c626d6097"]}],"mendeley":{"formattedCitation":"[20]","plainTextFormattedCitation":"[20]","previouslyFormattedCitation":"[20]"},"properties":{"noteIndex":0},"schema":"https://github.com/citation-style-language/schema/raw/master/csl-citation.json"}</w:instrText>
      </w:r>
      <w:r w:rsidR="00B67F8C">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[20]</w:t>
      </w:r>
      <w:r w:rsidR="00B67F8C">
        <w:rPr>
          <w:rFonts w:ascii="Times New Roman" w:hAnsi="Times New Roman" w:cs="Times New Roman"/>
          <w:sz w:val="24"/>
          <w:szCs w:val="24"/>
        </w:rPr>
        <w:fldChar w:fldCharType="end"/>
      </w:r>
      <w:r w:rsidR="00430D88" w:rsidRPr="00E11754">
        <w:rPr>
          <w:rFonts w:ascii="Times New Roman" w:hAnsi="Times New Roman" w:cs="Times New Roman"/>
          <w:sz w:val="24"/>
          <w:szCs w:val="24"/>
        </w:rPr>
        <w:t xml:space="preserve">. Początkowo choroba </w:t>
      </w:r>
      <w:r w:rsidR="00946A8E" w:rsidRPr="00E11754">
        <w:rPr>
          <w:rFonts w:ascii="Times New Roman" w:hAnsi="Times New Roman" w:cs="Times New Roman"/>
          <w:sz w:val="24"/>
          <w:szCs w:val="24"/>
        </w:rPr>
        <w:t>objawia</w:t>
      </w:r>
      <w:r w:rsidR="006F4720" w:rsidRPr="00E11754">
        <w:rPr>
          <w:rFonts w:ascii="Times New Roman" w:hAnsi="Times New Roman" w:cs="Times New Roman"/>
          <w:sz w:val="24"/>
          <w:szCs w:val="24"/>
        </w:rPr>
        <w:t xml:space="preserve"> się poprzez powiększone węzły chłonne, które nie powodują bólu,</w:t>
      </w:r>
      <w:r w:rsidR="00C133E0" w:rsidRPr="00E11754">
        <w:rPr>
          <w:rFonts w:ascii="Times New Roman" w:hAnsi="Times New Roman" w:cs="Times New Roman"/>
          <w:sz w:val="24"/>
          <w:szCs w:val="24"/>
        </w:rPr>
        <w:t xml:space="preserve"> a także</w:t>
      </w:r>
      <w:r w:rsidR="006F4720" w:rsidRPr="00E11754">
        <w:rPr>
          <w:rFonts w:ascii="Times New Roman" w:hAnsi="Times New Roman" w:cs="Times New Roman"/>
          <w:sz w:val="24"/>
          <w:szCs w:val="24"/>
        </w:rPr>
        <w:t xml:space="preserve"> gorączk</w:t>
      </w:r>
      <w:r w:rsidR="00946A8E" w:rsidRPr="00E11754">
        <w:rPr>
          <w:rFonts w:ascii="Times New Roman" w:hAnsi="Times New Roman" w:cs="Times New Roman"/>
          <w:sz w:val="24"/>
          <w:szCs w:val="24"/>
        </w:rPr>
        <w:t>ę</w:t>
      </w:r>
      <w:r w:rsidR="000D285F" w:rsidRPr="00E11754">
        <w:rPr>
          <w:rFonts w:ascii="Times New Roman" w:hAnsi="Times New Roman" w:cs="Times New Roman"/>
          <w:sz w:val="24"/>
          <w:szCs w:val="24"/>
        </w:rPr>
        <w:t xml:space="preserve">, nocne poty oraz świąd skóry. </w:t>
      </w:r>
      <w:r w:rsidR="00430D88" w:rsidRPr="00E11754">
        <w:rPr>
          <w:rFonts w:ascii="Times New Roman" w:hAnsi="Times New Roman" w:cs="Times New Roman"/>
          <w:sz w:val="24"/>
          <w:szCs w:val="24"/>
        </w:rPr>
        <w:t xml:space="preserve">W </w:t>
      </w:r>
      <w:r w:rsidR="000D285F" w:rsidRPr="00E11754">
        <w:rPr>
          <w:rFonts w:ascii="Times New Roman" w:hAnsi="Times New Roman" w:cs="Times New Roman"/>
          <w:sz w:val="24"/>
          <w:szCs w:val="24"/>
        </w:rPr>
        <w:t>następstwie rozwija</w:t>
      </w:r>
      <w:r w:rsidR="00946A8E" w:rsidRPr="00E11754">
        <w:rPr>
          <w:rFonts w:ascii="Times New Roman" w:hAnsi="Times New Roman" w:cs="Times New Roman"/>
          <w:sz w:val="24"/>
          <w:szCs w:val="24"/>
        </w:rPr>
        <w:t>nia</w:t>
      </w:r>
      <w:r w:rsidR="000D285F" w:rsidRPr="00E11754">
        <w:rPr>
          <w:rFonts w:ascii="Times New Roman" w:hAnsi="Times New Roman" w:cs="Times New Roman"/>
          <w:sz w:val="24"/>
          <w:szCs w:val="24"/>
        </w:rPr>
        <w:t xml:space="preserve"> się choroby</w:t>
      </w:r>
      <w:r w:rsidR="00946A8E" w:rsidRPr="00E11754">
        <w:rPr>
          <w:rFonts w:ascii="Times New Roman" w:hAnsi="Times New Roman" w:cs="Times New Roman"/>
          <w:sz w:val="24"/>
          <w:szCs w:val="24"/>
        </w:rPr>
        <w:t xml:space="preserve">, komórki nowotworowe zajmują kolejne węzły chłonne </w:t>
      </w:r>
      <w:r w:rsidR="008619DB" w:rsidRPr="00E11754">
        <w:rPr>
          <w:rFonts w:ascii="Times New Roman" w:hAnsi="Times New Roman" w:cs="Times New Roman"/>
          <w:sz w:val="24"/>
          <w:szCs w:val="24"/>
        </w:rPr>
        <w:t>pach</w:t>
      </w:r>
      <w:r w:rsidR="004E4980" w:rsidRPr="00E11754">
        <w:rPr>
          <w:rFonts w:ascii="Times New Roman" w:hAnsi="Times New Roman" w:cs="Times New Roman"/>
          <w:sz w:val="24"/>
          <w:szCs w:val="24"/>
        </w:rPr>
        <w:t>,</w:t>
      </w:r>
      <w:r w:rsidR="008619DB" w:rsidRPr="00E11754">
        <w:rPr>
          <w:rFonts w:ascii="Times New Roman" w:hAnsi="Times New Roman" w:cs="Times New Roman"/>
          <w:sz w:val="24"/>
          <w:szCs w:val="24"/>
        </w:rPr>
        <w:t xml:space="preserve"> </w:t>
      </w:r>
      <w:r w:rsidR="004E4980" w:rsidRPr="00E11754">
        <w:rPr>
          <w:rFonts w:ascii="Times New Roman" w:hAnsi="Times New Roman" w:cs="Times New Roman"/>
          <w:sz w:val="24"/>
          <w:szCs w:val="24"/>
        </w:rPr>
        <w:t xml:space="preserve">śródpiersia </w:t>
      </w:r>
      <w:r w:rsidR="008619DB" w:rsidRPr="00E11754">
        <w:rPr>
          <w:rFonts w:ascii="Times New Roman" w:hAnsi="Times New Roman" w:cs="Times New Roman"/>
          <w:sz w:val="24"/>
          <w:szCs w:val="24"/>
        </w:rPr>
        <w:t xml:space="preserve">i </w:t>
      </w:r>
      <w:r w:rsidR="00EB5485" w:rsidRPr="00E11754">
        <w:rPr>
          <w:rFonts w:ascii="Times New Roman" w:hAnsi="Times New Roman" w:cs="Times New Roman"/>
          <w:sz w:val="24"/>
          <w:szCs w:val="24"/>
        </w:rPr>
        <w:t>pachwin</w:t>
      </w:r>
      <w:r w:rsidR="00901A28" w:rsidRPr="00E11754">
        <w:rPr>
          <w:rFonts w:ascii="Times New Roman" w:hAnsi="Times New Roman" w:cs="Times New Roman"/>
          <w:sz w:val="24"/>
          <w:szCs w:val="24"/>
        </w:rPr>
        <w:t xml:space="preserve"> </w:t>
      </w:r>
      <w:r w:rsidRPr="007D54B6">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{"citationItems":[{"id":"ITEM-1","itemData":{"author":[{"dropping-particle":"","family":"Alicja Chybicka, Krystyna Sawicz-Birkowska","given":"Bernarda Kazanowska","non-dropping-particle":"","parse-names":false,"suffix":""}],"container-title":"PZWL Wydawnictwo Lekarskie","id":"ITEM-1","issue":"wyd. 2, 2021","issued":{"date-parts":[["2021"]]},"title":"Onkologia i hematologia dziecięca Tom 1","type":"article-journal"},"uris":["http://www.mendeley.com/documents/?uuid=f1f8c9d0-46b1-42c9-b005-49956002b458"]}],"mendeley":{"formattedCitation":"[21]","plainTextFormattedCitation":"[21]","previouslyFormattedCitation":"[21]"},"properties":{"noteIndex":0},"schema":"https://github.com/citation-style-language/schema/raw/master/csl-citation.json"}</w:instrText>
      </w:r>
      <w:r w:rsidRPr="007D54B6">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[21]</w:t>
      </w:r>
      <w:r w:rsidRPr="007D54B6">
        <w:rPr>
          <w:rFonts w:ascii="Times New Roman" w:hAnsi="Times New Roman" w:cs="Times New Roman"/>
          <w:sz w:val="24"/>
          <w:szCs w:val="24"/>
        </w:rPr>
        <w:fldChar w:fldCharType="end"/>
      </w:r>
      <w:r w:rsidR="00251076" w:rsidRPr="00E11754">
        <w:rPr>
          <w:rFonts w:ascii="Times New Roman" w:hAnsi="Times New Roman" w:cs="Times New Roman"/>
          <w:sz w:val="24"/>
          <w:szCs w:val="24"/>
        </w:rPr>
        <w:t>.</w:t>
      </w:r>
      <w:r w:rsidR="00901A28" w:rsidRPr="00E11754">
        <w:rPr>
          <w:rFonts w:ascii="Times New Roman" w:hAnsi="Times New Roman" w:cs="Times New Roman"/>
          <w:sz w:val="24"/>
          <w:szCs w:val="24"/>
        </w:rPr>
        <w:t xml:space="preserve"> </w:t>
      </w:r>
      <w:r w:rsidR="00965070" w:rsidRPr="00E11754">
        <w:rPr>
          <w:rFonts w:ascii="Times New Roman" w:hAnsi="Times New Roman" w:cs="Times New Roman"/>
          <w:sz w:val="24"/>
          <w:szCs w:val="24"/>
        </w:rPr>
        <w:t xml:space="preserve">W </w:t>
      </w:r>
      <w:r w:rsidR="00100FAA" w:rsidRPr="00E11754">
        <w:rPr>
          <w:rFonts w:ascii="Times New Roman" w:hAnsi="Times New Roman" w:cs="Times New Roman"/>
          <w:sz w:val="24"/>
          <w:szCs w:val="24"/>
        </w:rPr>
        <w:t>zaawansowanych</w:t>
      </w:r>
      <w:r w:rsidR="00965070" w:rsidRPr="00E11754">
        <w:rPr>
          <w:rFonts w:ascii="Times New Roman" w:hAnsi="Times New Roman" w:cs="Times New Roman"/>
          <w:sz w:val="24"/>
          <w:szCs w:val="24"/>
        </w:rPr>
        <w:t xml:space="preserve"> stadiach n</w:t>
      </w:r>
      <w:r w:rsidR="00AC5C28" w:rsidRPr="00E11754">
        <w:rPr>
          <w:rFonts w:ascii="Times New Roman" w:hAnsi="Times New Roman" w:cs="Times New Roman"/>
          <w:sz w:val="24"/>
          <w:szCs w:val="24"/>
        </w:rPr>
        <w:t xml:space="preserve">owotwór </w:t>
      </w:r>
      <w:r w:rsidR="00965070" w:rsidRPr="00E11754">
        <w:rPr>
          <w:rFonts w:ascii="Times New Roman" w:hAnsi="Times New Roman" w:cs="Times New Roman"/>
          <w:sz w:val="24"/>
          <w:szCs w:val="24"/>
        </w:rPr>
        <w:t xml:space="preserve">może </w:t>
      </w:r>
      <w:r w:rsidR="00D22DAC" w:rsidRPr="00E11754">
        <w:rPr>
          <w:rFonts w:ascii="Times New Roman" w:hAnsi="Times New Roman" w:cs="Times New Roman"/>
          <w:sz w:val="24"/>
          <w:szCs w:val="24"/>
        </w:rPr>
        <w:t>nacieka</w:t>
      </w:r>
      <w:r w:rsidR="00965070" w:rsidRPr="00E11754">
        <w:rPr>
          <w:rFonts w:ascii="Times New Roman" w:hAnsi="Times New Roman" w:cs="Times New Roman"/>
          <w:sz w:val="24"/>
          <w:szCs w:val="24"/>
        </w:rPr>
        <w:t>ć</w:t>
      </w:r>
      <w:r w:rsidR="00D22DAC" w:rsidRPr="00E11754">
        <w:rPr>
          <w:rFonts w:ascii="Times New Roman" w:hAnsi="Times New Roman" w:cs="Times New Roman"/>
          <w:sz w:val="24"/>
          <w:szCs w:val="24"/>
        </w:rPr>
        <w:t xml:space="preserve"> do pobliskich tkanek oraz da</w:t>
      </w:r>
      <w:r w:rsidR="00965070" w:rsidRPr="00E11754">
        <w:rPr>
          <w:rFonts w:ascii="Times New Roman" w:hAnsi="Times New Roman" w:cs="Times New Roman"/>
          <w:sz w:val="24"/>
          <w:szCs w:val="24"/>
        </w:rPr>
        <w:t>wać</w:t>
      </w:r>
      <w:r w:rsidR="00D22DAC" w:rsidRPr="00E11754">
        <w:rPr>
          <w:rFonts w:ascii="Times New Roman" w:hAnsi="Times New Roman" w:cs="Times New Roman"/>
          <w:sz w:val="24"/>
          <w:szCs w:val="24"/>
        </w:rPr>
        <w:t xml:space="preserve"> odległe przerzuty do wielu narządów organizm</w:t>
      </w:r>
      <w:r w:rsidR="00E52B8B" w:rsidRPr="00E11754">
        <w:rPr>
          <w:rFonts w:ascii="Times New Roman" w:hAnsi="Times New Roman" w:cs="Times New Roman"/>
          <w:sz w:val="24"/>
          <w:szCs w:val="24"/>
        </w:rPr>
        <w:t xml:space="preserve">u </w:t>
      </w:r>
      <w:r w:rsidR="00C133E0" w:rsidRPr="00E11754">
        <w:rPr>
          <w:rFonts w:ascii="Times New Roman" w:hAnsi="Times New Roman" w:cs="Times New Roman"/>
          <w:sz w:val="24"/>
          <w:szCs w:val="24"/>
        </w:rPr>
        <w:t xml:space="preserve">np. </w:t>
      </w:r>
      <w:r w:rsidR="00665100" w:rsidRPr="00E11754">
        <w:rPr>
          <w:rFonts w:ascii="Times New Roman" w:hAnsi="Times New Roman" w:cs="Times New Roman"/>
          <w:sz w:val="24"/>
          <w:szCs w:val="24"/>
        </w:rPr>
        <w:t>do</w:t>
      </w:r>
      <w:r w:rsidR="008208F2" w:rsidRPr="00E11754">
        <w:rPr>
          <w:rFonts w:ascii="Times New Roman" w:hAnsi="Times New Roman" w:cs="Times New Roman"/>
          <w:sz w:val="24"/>
          <w:szCs w:val="24"/>
        </w:rPr>
        <w:t xml:space="preserve"> śledzion</w:t>
      </w:r>
      <w:r w:rsidR="00C133E0" w:rsidRPr="00E11754">
        <w:rPr>
          <w:rFonts w:ascii="Times New Roman" w:hAnsi="Times New Roman" w:cs="Times New Roman"/>
          <w:sz w:val="24"/>
          <w:szCs w:val="24"/>
        </w:rPr>
        <w:t>y</w:t>
      </w:r>
      <w:r w:rsidR="008208F2" w:rsidRPr="00E11754">
        <w:rPr>
          <w:rFonts w:ascii="Times New Roman" w:hAnsi="Times New Roman" w:cs="Times New Roman"/>
          <w:sz w:val="24"/>
          <w:szCs w:val="24"/>
        </w:rPr>
        <w:t xml:space="preserve"> </w:t>
      </w:r>
      <w:r w:rsidR="00665100" w:rsidRPr="00E11754">
        <w:rPr>
          <w:rFonts w:ascii="Times New Roman" w:hAnsi="Times New Roman" w:cs="Times New Roman"/>
          <w:sz w:val="24"/>
          <w:szCs w:val="24"/>
        </w:rPr>
        <w:t>i</w:t>
      </w:r>
      <w:r w:rsidR="008208F2" w:rsidRPr="00E11754">
        <w:rPr>
          <w:rFonts w:ascii="Times New Roman" w:hAnsi="Times New Roman" w:cs="Times New Roman"/>
          <w:sz w:val="24"/>
          <w:szCs w:val="24"/>
        </w:rPr>
        <w:t xml:space="preserve"> wątrob</w:t>
      </w:r>
      <w:r w:rsidR="00C133E0" w:rsidRPr="00E11754">
        <w:rPr>
          <w:rFonts w:ascii="Times New Roman" w:hAnsi="Times New Roman" w:cs="Times New Roman"/>
          <w:sz w:val="24"/>
          <w:szCs w:val="24"/>
        </w:rPr>
        <w:t>y</w:t>
      </w:r>
      <w:r w:rsidR="008208F2" w:rsidRPr="00E11754">
        <w:rPr>
          <w:rFonts w:ascii="Times New Roman" w:hAnsi="Times New Roman" w:cs="Times New Roman"/>
          <w:sz w:val="24"/>
          <w:szCs w:val="24"/>
        </w:rPr>
        <w:t xml:space="preserve">. </w:t>
      </w:r>
      <w:r w:rsidR="00E47C86" w:rsidRPr="00E11754">
        <w:rPr>
          <w:rFonts w:ascii="Times New Roman" w:hAnsi="Times New Roman" w:cs="Times New Roman"/>
          <w:sz w:val="24"/>
          <w:szCs w:val="24"/>
        </w:rPr>
        <w:t>P</w:t>
      </w:r>
      <w:r w:rsidR="002A634D" w:rsidRPr="00E11754">
        <w:rPr>
          <w:rFonts w:ascii="Times New Roman" w:hAnsi="Times New Roman" w:cs="Times New Roman"/>
          <w:sz w:val="24"/>
          <w:szCs w:val="24"/>
        </w:rPr>
        <w:t>o rozpoznaniu choroby stosuje się</w:t>
      </w:r>
      <w:r w:rsidR="00E47C86" w:rsidRPr="00E11754">
        <w:rPr>
          <w:rFonts w:ascii="Times New Roman" w:hAnsi="Times New Roman" w:cs="Times New Roman"/>
          <w:sz w:val="24"/>
          <w:szCs w:val="24"/>
        </w:rPr>
        <w:t xml:space="preserve"> leczeni</w:t>
      </w:r>
      <w:r w:rsidR="002A634D" w:rsidRPr="00E11754">
        <w:rPr>
          <w:rFonts w:ascii="Times New Roman" w:hAnsi="Times New Roman" w:cs="Times New Roman"/>
          <w:sz w:val="24"/>
          <w:szCs w:val="24"/>
        </w:rPr>
        <w:t>e</w:t>
      </w:r>
      <w:r w:rsidR="00E47C86" w:rsidRPr="00E11754">
        <w:rPr>
          <w:rFonts w:ascii="Times New Roman" w:hAnsi="Times New Roman" w:cs="Times New Roman"/>
          <w:sz w:val="24"/>
          <w:szCs w:val="24"/>
        </w:rPr>
        <w:t xml:space="preserve"> chemioterapeutyczne wraz z radioterapią</w:t>
      </w:r>
      <w:r w:rsidR="002A634D" w:rsidRPr="00E11754">
        <w:rPr>
          <w:rFonts w:ascii="Times New Roman" w:hAnsi="Times New Roman" w:cs="Times New Roman"/>
          <w:sz w:val="24"/>
          <w:szCs w:val="24"/>
        </w:rPr>
        <w:t xml:space="preserve">, co </w:t>
      </w:r>
      <w:r w:rsidR="00087467" w:rsidRPr="00E11754">
        <w:rPr>
          <w:rFonts w:ascii="Times New Roman" w:hAnsi="Times New Roman" w:cs="Times New Roman"/>
          <w:sz w:val="24"/>
          <w:szCs w:val="24"/>
        </w:rPr>
        <w:t>skutkuje</w:t>
      </w:r>
      <w:r w:rsidR="00323572" w:rsidRPr="00E11754">
        <w:rPr>
          <w:rFonts w:ascii="Times New Roman" w:hAnsi="Times New Roman" w:cs="Times New Roman"/>
          <w:sz w:val="24"/>
          <w:szCs w:val="24"/>
        </w:rPr>
        <w:t xml:space="preserve"> 80 % wylecze</w:t>
      </w:r>
      <w:r w:rsidR="00D73B09" w:rsidRPr="00E11754">
        <w:rPr>
          <w:rFonts w:ascii="Times New Roman" w:hAnsi="Times New Roman" w:cs="Times New Roman"/>
          <w:sz w:val="24"/>
          <w:szCs w:val="24"/>
        </w:rPr>
        <w:t>ń</w:t>
      </w:r>
      <w:r w:rsidR="007A7981" w:rsidRPr="00E11754">
        <w:rPr>
          <w:rFonts w:ascii="Times New Roman" w:hAnsi="Times New Roman" w:cs="Times New Roman"/>
          <w:sz w:val="24"/>
          <w:szCs w:val="24"/>
        </w:rPr>
        <w:t xml:space="preserve"> </w:t>
      </w:r>
      <w:r w:rsidR="00DF0E5C" w:rsidRPr="00E11754">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{"citationItems":[{"id":"ITEM-1","itemData":{"DOI":"10.3390/jcm10051125","ISSN":"20770383","abstract":"Hodgkin lymphoma (HL) is a rare malignancy accounting for roughly 15% of all lymphomas and mostly affecting young patients. A second peak is seen in patients above 60 years of age. The history of HL treatment represents a remarkable success story in which HL has turned from an incurable disease to a neoplasm with an excellent prognosis. First-line treatment with stage-adapted treatment consisting of chemotherapy and/or radiotherapy results in cure rates of approximately 80%. Second-line treatment mostly consists of intensive salvage chemotherapy followed by high-dose chemotherapy (HDCT) and autologous stem cell transplantation (ASCT). Novel approaches such as antibody drug conjugates and immunomodulatory drugs have shown impressive results in clinical trials in refractory and relapsed HL and are now increasingly implemented in earlier treatment lines. This review gives a comprehensive overview on HL addressing epidemiology, pathophysiology and current treatment options as well as recent developments and perspectives.","author":[{"dropping-particle":"","family":"Momotow","given":"Jesko","non-dropping-particle":"","parse-names":false,"suffix":""},{"dropping-particle":"","family":"Borchmann","given":"Sven","non-dropping-particle":"","parse-names":false,"suffix":""},{"dropping-particle":"","family":"Eichenauer","given":"Dennis A.","non-dropping-particle":"","parse-names":false,"suffix":""},{"dropping-particle":"","family":"Engert","given":"Andreas","non-dropping-particle":"","parse-names":false,"suffix":""},{"dropping-particle":"","family":"Sasse","given":"Stephanie","non-dropping-particle":"","parse-names":false,"suffix":""}],"container-title":"Journal of Clinical Medicine","id":"ITEM-1","issue":"5","issued":{"date-parts":[["2021"]]},"page":"1-17","title":"Hodgkin lymphoma—review on pathogenesis, diagnosis, current and future treatment approaches for adult patients","type":"article-journal","volume":"10"},"uris":["http://www.mendeley.com/documents/?uuid=d611d1ca-853a-453f-88ef-284095cc0241"]}],"mendeley":{"formattedCitation":"[22]","plainTextFormattedCitation":"[22]","previouslyFormattedCitation":"[22]"},"properties":{"noteIndex":0},"schema":"https://github.com/citation-style-language/schema/raw/master/csl-citation.json"}</w:instrText>
      </w:r>
      <w:r w:rsidR="00DF0E5C" w:rsidRPr="00E11754">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[22]</w:t>
      </w:r>
      <w:r w:rsidR="00DF0E5C" w:rsidRPr="00E11754">
        <w:rPr>
          <w:rFonts w:ascii="Times New Roman" w:hAnsi="Times New Roman" w:cs="Times New Roman"/>
          <w:sz w:val="24"/>
          <w:szCs w:val="24"/>
        </w:rPr>
        <w:fldChar w:fldCharType="end"/>
      </w:r>
      <w:r w:rsidR="00D73B09" w:rsidRPr="00E11754">
        <w:rPr>
          <w:rFonts w:ascii="Times New Roman" w:hAnsi="Times New Roman" w:cs="Times New Roman"/>
          <w:sz w:val="24"/>
          <w:szCs w:val="24"/>
        </w:rPr>
        <w:t xml:space="preserve">. </w:t>
      </w:r>
    </w:p>
    <w:p w14:paraId="670D5FD5" w14:textId="46A0831F" w:rsidR="00002FB8" w:rsidRPr="00E11754" w:rsidRDefault="009725A1" w:rsidP="06781417">
      <w:pPr>
        <w:pStyle w:val="Akapitzlist"/>
        <w:numPr>
          <w:ilvl w:val="0"/>
          <w:numId w:val="30"/>
        </w:numPr>
        <w:spacing w:line="360" w:lineRule="auto"/>
        <w:jc w:val="both"/>
        <w:rPr>
          <w:rFonts w:ascii="Times New Roman" w:eastAsiaTheme="majorEastAsia" w:hAnsi="Times New Roman" w:cs="Times New Roman"/>
          <w:color w:val="FF0000"/>
          <w:sz w:val="24"/>
          <w:szCs w:val="24"/>
          <w:shd w:val="clear" w:color="auto" w:fill="FFFFFF"/>
        </w:rPr>
      </w:pPr>
      <w:proofErr w:type="spellStart"/>
      <w:r w:rsidRPr="00E11754">
        <w:rPr>
          <w:rFonts w:ascii="Times New Roman" w:eastAsiaTheme="majorEastAsia" w:hAnsi="Times New Roman" w:cs="Times New Roman"/>
          <w:b/>
          <w:bCs/>
          <w:color w:val="0D0D0D" w:themeColor="text1" w:themeTint="F2"/>
          <w:sz w:val="24"/>
          <w:szCs w:val="24"/>
          <w:shd w:val="clear" w:color="auto" w:fill="FFFFFF"/>
        </w:rPr>
        <w:t>Mięśniakomięsak</w:t>
      </w:r>
      <w:proofErr w:type="spellEnd"/>
      <w:r w:rsidR="00B211CF" w:rsidRPr="00E11754">
        <w:rPr>
          <w:rFonts w:ascii="Times New Roman" w:eastAsiaTheme="majorEastAsia" w:hAnsi="Times New Roman" w:cs="Times New Roman"/>
          <w:b/>
          <w:bCs/>
          <w:color w:val="0D0D0D" w:themeColor="text1" w:themeTint="F2"/>
          <w:sz w:val="24"/>
          <w:szCs w:val="24"/>
          <w:shd w:val="clear" w:color="auto" w:fill="FFFFFF"/>
        </w:rPr>
        <w:t xml:space="preserve"> </w:t>
      </w:r>
      <w:proofErr w:type="spellStart"/>
      <w:r w:rsidRPr="00E11754">
        <w:rPr>
          <w:rFonts w:ascii="Times New Roman" w:eastAsiaTheme="majorEastAsia" w:hAnsi="Times New Roman" w:cs="Times New Roman"/>
          <w:b/>
          <w:bCs/>
          <w:color w:val="0D0D0D" w:themeColor="text1" w:themeTint="F2"/>
          <w:sz w:val="24"/>
          <w:szCs w:val="24"/>
          <w:shd w:val="clear" w:color="auto" w:fill="FFFFFF"/>
        </w:rPr>
        <w:t>prążkowanokomórkowy</w:t>
      </w:r>
      <w:proofErr w:type="spellEnd"/>
      <w:r w:rsidRPr="00E11754">
        <w:rPr>
          <w:rFonts w:ascii="Times New Roman" w:eastAsiaTheme="majorEastAsia" w:hAnsi="Times New Roman" w:cs="Times New Roman"/>
          <w:color w:val="0D0D0D" w:themeColor="text1" w:themeTint="F2"/>
          <w:sz w:val="24"/>
          <w:szCs w:val="24"/>
          <w:shd w:val="clear" w:color="auto" w:fill="FFFFFF"/>
        </w:rPr>
        <w:t> (</w:t>
      </w:r>
      <w:r w:rsidR="0005175B" w:rsidRPr="00E11754">
        <w:rPr>
          <w:rFonts w:ascii="Times New Roman" w:eastAsiaTheme="majorEastAsia" w:hAnsi="Times New Roman" w:cs="Times New Roman"/>
          <w:color w:val="0D0D0D" w:themeColor="text1" w:themeTint="F2"/>
          <w:sz w:val="24"/>
          <w:szCs w:val="24"/>
          <w:shd w:val="clear" w:color="auto" w:fill="FFFFFF"/>
        </w:rPr>
        <w:t xml:space="preserve">ang. </w:t>
      </w:r>
      <w:proofErr w:type="spellStart"/>
      <w:r w:rsidR="000B4DB7" w:rsidRPr="00E11754">
        <w:rPr>
          <w:rFonts w:ascii="Times New Roman" w:eastAsiaTheme="majorEastAsia" w:hAnsi="Times New Roman" w:cs="Times New Roman"/>
          <w:i/>
          <w:iCs/>
          <w:color w:val="0D0D0D" w:themeColor="text1" w:themeTint="F2"/>
          <w:sz w:val="24"/>
          <w:szCs w:val="24"/>
          <w:shd w:val="clear" w:color="auto" w:fill="FFFFFF"/>
        </w:rPr>
        <w:t>R</w:t>
      </w:r>
      <w:r w:rsidRPr="00E11754">
        <w:rPr>
          <w:rFonts w:ascii="Times New Roman" w:eastAsiaTheme="majorEastAsia" w:hAnsi="Times New Roman" w:cs="Times New Roman"/>
          <w:i/>
          <w:iCs/>
          <w:color w:val="0D0D0D" w:themeColor="text1" w:themeTint="F2"/>
          <w:sz w:val="24"/>
          <w:szCs w:val="24"/>
          <w:shd w:val="clear" w:color="auto" w:fill="FFFFFF"/>
        </w:rPr>
        <w:t>habdomyosarcoma</w:t>
      </w:r>
      <w:proofErr w:type="spellEnd"/>
      <w:r w:rsidRPr="00E11754">
        <w:rPr>
          <w:rFonts w:ascii="Times New Roman" w:eastAsiaTheme="majorEastAsia" w:hAnsi="Times New Roman" w:cs="Times New Roman"/>
          <w:color w:val="0D0D0D" w:themeColor="text1" w:themeTint="F2"/>
          <w:sz w:val="24"/>
          <w:szCs w:val="24"/>
          <w:shd w:val="clear" w:color="auto" w:fill="FFFFFF"/>
        </w:rPr>
        <w:t>, RMS)</w:t>
      </w:r>
      <w:r w:rsidR="00D73B09" w:rsidRPr="00E11754">
        <w:rPr>
          <w:rFonts w:ascii="Times New Roman" w:eastAsiaTheme="majorEastAsia" w:hAnsi="Times New Roman" w:cs="Times New Roman"/>
          <w:color w:val="0D0D0D" w:themeColor="text1" w:themeTint="F2"/>
          <w:sz w:val="24"/>
          <w:szCs w:val="24"/>
          <w:shd w:val="clear" w:color="auto" w:fill="FFFFFF"/>
        </w:rPr>
        <w:t xml:space="preserve"> należy do grupy </w:t>
      </w:r>
      <w:r w:rsidR="00C02B3E" w:rsidRPr="00E11754">
        <w:rPr>
          <w:rFonts w:ascii="Times New Roman" w:eastAsiaTheme="majorEastAsia" w:hAnsi="Times New Roman" w:cs="Times New Roman"/>
          <w:color w:val="0D0D0D" w:themeColor="text1" w:themeTint="F2"/>
          <w:sz w:val="24"/>
          <w:szCs w:val="24"/>
          <w:shd w:val="clear" w:color="auto" w:fill="FFFFFF"/>
        </w:rPr>
        <w:t>nowotworów</w:t>
      </w:r>
      <w:r w:rsidRPr="00E11754">
        <w:rPr>
          <w:rFonts w:ascii="Times New Roman" w:eastAsiaTheme="majorEastAsia" w:hAnsi="Times New Roman" w:cs="Times New Roman"/>
          <w:color w:val="0D0D0D" w:themeColor="text1" w:themeTint="F2"/>
          <w:sz w:val="24"/>
          <w:szCs w:val="24"/>
          <w:shd w:val="clear" w:color="auto" w:fill="FFFFFF"/>
        </w:rPr>
        <w:t> tkanek miękkich</w:t>
      </w:r>
      <w:r w:rsidR="00C133E0" w:rsidRPr="00E11754">
        <w:rPr>
          <w:rFonts w:ascii="Times New Roman" w:eastAsiaTheme="majorEastAsia" w:hAnsi="Times New Roman" w:cs="Times New Roman"/>
          <w:color w:val="0D0D0D" w:themeColor="text1" w:themeTint="F2"/>
          <w:sz w:val="24"/>
          <w:szCs w:val="24"/>
          <w:shd w:val="clear" w:color="auto" w:fill="FFFFFF"/>
        </w:rPr>
        <w:t>., tzw</w:t>
      </w:r>
      <w:r w:rsidR="000B4DB7" w:rsidRPr="00E11754">
        <w:rPr>
          <w:rFonts w:ascii="Times New Roman" w:eastAsiaTheme="majorEastAsia" w:hAnsi="Times New Roman" w:cs="Times New Roman"/>
          <w:color w:val="0D0D0D" w:themeColor="text1" w:themeTint="F2"/>
          <w:sz w:val="24"/>
          <w:szCs w:val="24"/>
          <w:shd w:val="clear" w:color="auto" w:fill="FFFFFF"/>
        </w:rPr>
        <w:t>.</w:t>
      </w:r>
      <w:r w:rsidR="0008654C" w:rsidRPr="00E11754">
        <w:rPr>
          <w:rFonts w:ascii="Times New Roman" w:eastAsiaTheme="majorEastAsia" w:hAnsi="Times New Roman" w:cs="Times New Roman"/>
          <w:color w:val="0D0D0D" w:themeColor="text1" w:themeTint="F2"/>
          <w:sz w:val="24"/>
          <w:szCs w:val="24"/>
          <w:shd w:val="clear" w:color="auto" w:fill="FFFFFF"/>
        </w:rPr>
        <w:t xml:space="preserve"> </w:t>
      </w:r>
      <w:r w:rsidR="00EF7AAD" w:rsidRPr="00E11754">
        <w:rPr>
          <w:rFonts w:ascii="Times New Roman" w:eastAsiaTheme="majorEastAsia" w:hAnsi="Times New Roman" w:cs="Times New Roman"/>
          <w:color w:val="0D0D0D" w:themeColor="text1" w:themeTint="F2"/>
          <w:sz w:val="24"/>
          <w:szCs w:val="24"/>
          <w:shd w:val="clear" w:color="auto" w:fill="FFFFFF"/>
        </w:rPr>
        <w:t>m</w:t>
      </w:r>
      <w:r w:rsidR="0008654C" w:rsidRPr="00E11754">
        <w:rPr>
          <w:rFonts w:ascii="Times New Roman" w:eastAsiaTheme="majorEastAsia" w:hAnsi="Times New Roman" w:cs="Times New Roman"/>
          <w:color w:val="0D0D0D" w:themeColor="text1" w:themeTint="F2"/>
          <w:sz w:val="24"/>
          <w:szCs w:val="24"/>
          <w:shd w:val="clear" w:color="auto" w:fill="FFFFFF"/>
        </w:rPr>
        <w:t>ięsak</w:t>
      </w:r>
      <w:r w:rsidR="00C133E0" w:rsidRPr="00E11754">
        <w:rPr>
          <w:rFonts w:ascii="Times New Roman" w:eastAsiaTheme="majorEastAsia" w:hAnsi="Times New Roman" w:cs="Times New Roman"/>
          <w:color w:val="0D0D0D" w:themeColor="text1" w:themeTint="F2"/>
          <w:sz w:val="24"/>
          <w:szCs w:val="24"/>
          <w:shd w:val="clear" w:color="auto" w:fill="FFFFFF"/>
        </w:rPr>
        <w:t>ów</w:t>
      </w:r>
      <w:r w:rsidR="00EF7AAD" w:rsidRPr="00E11754">
        <w:rPr>
          <w:rFonts w:ascii="Times New Roman" w:eastAsiaTheme="majorEastAsia" w:hAnsi="Times New Roman" w:cs="Times New Roman"/>
          <w:color w:val="0D0D0D" w:themeColor="text1" w:themeTint="F2"/>
          <w:sz w:val="24"/>
          <w:szCs w:val="24"/>
          <w:shd w:val="clear" w:color="auto" w:fill="FFFFFF"/>
        </w:rPr>
        <w:t>, ponieważ</w:t>
      </w:r>
      <w:r w:rsidR="0008654C" w:rsidRPr="00E11754">
        <w:rPr>
          <w:rFonts w:ascii="Times New Roman" w:eastAsiaTheme="majorEastAsia" w:hAnsi="Times New Roman" w:cs="Times New Roman"/>
          <w:color w:val="0D0D0D" w:themeColor="text1" w:themeTint="F2"/>
          <w:sz w:val="24"/>
          <w:szCs w:val="24"/>
          <w:shd w:val="clear" w:color="auto" w:fill="FFFFFF"/>
        </w:rPr>
        <w:t xml:space="preserve"> powstają z </w:t>
      </w:r>
      <w:r w:rsidR="00714D2C" w:rsidRPr="00E11754">
        <w:rPr>
          <w:rFonts w:ascii="Times New Roman" w:eastAsiaTheme="majorEastAsia" w:hAnsi="Times New Roman" w:cs="Times New Roman"/>
          <w:color w:val="0D0D0D" w:themeColor="text1" w:themeTint="F2"/>
          <w:sz w:val="24"/>
          <w:szCs w:val="24"/>
          <w:shd w:val="clear" w:color="auto" w:fill="FFFFFF"/>
        </w:rPr>
        <w:t xml:space="preserve">mutacji </w:t>
      </w:r>
      <w:r w:rsidR="0008654C" w:rsidRPr="00E11754">
        <w:rPr>
          <w:rFonts w:ascii="Times New Roman" w:eastAsiaTheme="majorEastAsia" w:hAnsi="Times New Roman" w:cs="Times New Roman"/>
          <w:color w:val="0D0D0D" w:themeColor="text1" w:themeTint="F2"/>
          <w:sz w:val="24"/>
          <w:szCs w:val="24"/>
          <w:shd w:val="clear" w:color="auto" w:fill="FFFFFF"/>
        </w:rPr>
        <w:t xml:space="preserve">komórek </w:t>
      </w:r>
      <w:r w:rsidR="009A0D37" w:rsidRPr="00E11754">
        <w:rPr>
          <w:rFonts w:ascii="Times New Roman" w:eastAsiaTheme="majorEastAsia" w:hAnsi="Times New Roman" w:cs="Times New Roman"/>
          <w:color w:val="0D0D0D" w:themeColor="text1" w:themeTint="F2"/>
          <w:sz w:val="24"/>
          <w:szCs w:val="24"/>
          <w:shd w:val="clear" w:color="auto" w:fill="FFFFFF"/>
        </w:rPr>
        <w:t>mięśni szkieletowych.</w:t>
      </w:r>
      <w:r w:rsidR="00D73B09" w:rsidRPr="00E11754">
        <w:rPr>
          <w:rFonts w:ascii="Times New Roman" w:eastAsiaTheme="majorEastAsia" w:hAnsi="Times New Roman" w:cs="Times New Roman"/>
          <w:color w:val="0D0D0D" w:themeColor="text1" w:themeTint="F2"/>
          <w:sz w:val="24"/>
          <w:szCs w:val="24"/>
          <w:shd w:val="clear" w:color="auto" w:fill="FFFFFF"/>
        </w:rPr>
        <w:t xml:space="preserve"> RMS to</w:t>
      </w:r>
      <w:r w:rsidR="00B3062B" w:rsidRPr="00E11754">
        <w:rPr>
          <w:rFonts w:ascii="Times New Roman" w:eastAsiaTheme="majorEastAsia" w:hAnsi="Times New Roman" w:cs="Times New Roman"/>
          <w:color w:val="0D0D0D" w:themeColor="text1" w:themeTint="F2"/>
          <w:sz w:val="24"/>
          <w:szCs w:val="24"/>
          <w:shd w:val="clear" w:color="auto" w:fill="FFFFFF"/>
        </w:rPr>
        <w:t xml:space="preserve"> </w:t>
      </w:r>
      <w:r w:rsidR="00D73B09" w:rsidRPr="00E11754">
        <w:rPr>
          <w:rFonts w:ascii="Times New Roman" w:eastAsiaTheme="majorEastAsia" w:hAnsi="Times New Roman" w:cs="Times New Roman"/>
          <w:color w:val="0D0D0D" w:themeColor="text1" w:themeTint="F2"/>
          <w:sz w:val="24"/>
          <w:szCs w:val="24"/>
          <w:shd w:val="clear" w:color="auto" w:fill="FFFFFF"/>
        </w:rPr>
        <w:t xml:space="preserve">najczęściej </w:t>
      </w:r>
      <w:r w:rsidR="00B3062B" w:rsidRPr="00E11754">
        <w:rPr>
          <w:rFonts w:ascii="Times New Roman" w:eastAsiaTheme="majorEastAsia" w:hAnsi="Times New Roman" w:cs="Times New Roman"/>
          <w:color w:val="0D0D0D" w:themeColor="text1" w:themeTint="F2"/>
          <w:sz w:val="24"/>
          <w:szCs w:val="24"/>
          <w:shd w:val="clear" w:color="auto" w:fill="FFFFFF"/>
        </w:rPr>
        <w:t xml:space="preserve">występujące </w:t>
      </w:r>
      <w:r w:rsidR="00D73B09" w:rsidRPr="00E11754">
        <w:rPr>
          <w:rFonts w:ascii="Times New Roman" w:eastAsiaTheme="majorEastAsia" w:hAnsi="Times New Roman" w:cs="Times New Roman"/>
          <w:color w:val="0D0D0D" w:themeColor="text1" w:themeTint="F2"/>
          <w:sz w:val="24"/>
          <w:szCs w:val="24"/>
          <w:shd w:val="clear" w:color="auto" w:fill="FFFFFF"/>
        </w:rPr>
        <w:t>schorzenie u dzieci do lat 19</w:t>
      </w:r>
      <w:r w:rsidR="005F0EFB" w:rsidRPr="00E11754">
        <w:rPr>
          <w:rFonts w:ascii="Times New Roman" w:eastAsiaTheme="majorEastAsia" w:hAnsi="Times New Roman" w:cs="Times New Roman"/>
          <w:color w:val="0D0D0D" w:themeColor="text1" w:themeTint="F2"/>
          <w:sz w:val="24"/>
          <w:szCs w:val="24"/>
          <w:shd w:val="clear" w:color="auto" w:fill="FFFFFF"/>
        </w:rPr>
        <w:t xml:space="preserve"> z</w:t>
      </w:r>
      <w:r w:rsidR="009A0D37" w:rsidRPr="00E11754">
        <w:rPr>
          <w:rFonts w:ascii="Times New Roman" w:eastAsiaTheme="majorEastAsia" w:hAnsi="Times New Roman" w:cs="Times New Roman"/>
          <w:color w:val="0D0D0D" w:themeColor="text1" w:themeTint="F2"/>
          <w:sz w:val="24"/>
          <w:szCs w:val="24"/>
          <w:shd w:val="clear" w:color="auto" w:fill="FFFFFF"/>
        </w:rPr>
        <w:t xml:space="preserve"> grupy</w:t>
      </w:r>
      <w:r w:rsidR="00B3062B" w:rsidRPr="00E11754">
        <w:rPr>
          <w:rFonts w:ascii="Times New Roman" w:eastAsiaTheme="majorEastAsia" w:hAnsi="Times New Roman" w:cs="Times New Roman"/>
          <w:color w:val="0D0D0D" w:themeColor="text1" w:themeTint="F2"/>
          <w:sz w:val="24"/>
          <w:szCs w:val="24"/>
          <w:shd w:val="clear" w:color="auto" w:fill="FFFFFF"/>
        </w:rPr>
        <w:t xml:space="preserve"> rzadkich nowotworów złośliwych. </w:t>
      </w:r>
      <w:r w:rsidR="00C37ED2" w:rsidRPr="00E11754">
        <w:rPr>
          <w:rFonts w:ascii="Times New Roman" w:eastAsiaTheme="majorEastAsia" w:hAnsi="Times New Roman" w:cs="Times New Roman"/>
          <w:color w:val="0D0D0D" w:themeColor="text1" w:themeTint="F2"/>
          <w:sz w:val="24"/>
          <w:szCs w:val="24"/>
          <w:shd w:val="clear" w:color="auto" w:fill="FFFFFF"/>
        </w:rPr>
        <w:t>Najczęściej obejmuj</w:t>
      </w:r>
      <w:r w:rsidR="00EF7AAD" w:rsidRPr="00E11754">
        <w:rPr>
          <w:rFonts w:ascii="Times New Roman" w:eastAsiaTheme="majorEastAsia" w:hAnsi="Times New Roman" w:cs="Times New Roman"/>
          <w:color w:val="0D0D0D" w:themeColor="text1" w:themeTint="F2"/>
          <w:sz w:val="24"/>
          <w:szCs w:val="24"/>
          <w:shd w:val="clear" w:color="auto" w:fill="FFFFFF"/>
        </w:rPr>
        <w:t>e</w:t>
      </w:r>
      <w:r w:rsidR="00C37ED2" w:rsidRPr="00E11754">
        <w:rPr>
          <w:rFonts w:ascii="Times New Roman" w:eastAsiaTheme="majorEastAsia" w:hAnsi="Times New Roman" w:cs="Times New Roman"/>
          <w:color w:val="0D0D0D" w:themeColor="text1" w:themeTint="F2"/>
          <w:sz w:val="24"/>
          <w:szCs w:val="24"/>
          <w:shd w:val="clear" w:color="auto" w:fill="FFFFFF"/>
        </w:rPr>
        <w:t xml:space="preserve"> </w:t>
      </w:r>
      <w:r w:rsidR="00A61B07" w:rsidRPr="00E11754">
        <w:rPr>
          <w:rFonts w:ascii="Times New Roman" w:eastAsiaTheme="majorEastAsia" w:hAnsi="Times New Roman" w:cs="Times New Roman"/>
          <w:color w:val="0D0D0D" w:themeColor="text1" w:themeTint="F2"/>
          <w:sz w:val="24"/>
          <w:szCs w:val="24"/>
          <w:shd w:val="clear" w:color="auto" w:fill="FFFFFF"/>
        </w:rPr>
        <w:t xml:space="preserve">obszary głowy i </w:t>
      </w:r>
      <w:r w:rsidR="00A61B07" w:rsidRPr="00E11754">
        <w:rPr>
          <w:rFonts w:ascii="Times New Roman" w:eastAsiaTheme="majorEastAsia" w:hAnsi="Times New Roman" w:cs="Times New Roman"/>
          <w:color w:val="0D0D0D" w:themeColor="text1" w:themeTint="F2"/>
          <w:sz w:val="24"/>
          <w:szCs w:val="24"/>
          <w:shd w:val="clear" w:color="auto" w:fill="FFFFFF"/>
        </w:rPr>
        <w:lastRenderedPageBreak/>
        <w:t xml:space="preserve">szyi. </w:t>
      </w:r>
      <w:r w:rsidR="00E14AD9" w:rsidRPr="00E11754">
        <w:rPr>
          <w:rFonts w:ascii="Times New Roman" w:eastAsiaTheme="majorEastAsia" w:hAnsi="Times New Roman" w:cs="Times New Roman"/>
          <w:color w:val="0D0D0D" w:themeColor="text1" w:themeTint="F2"/>
          <w:sz w:val="24"/>
          <w:szCs w:val="24"/>
          <w:shd w:val="clear" w:color="auto" w:fill="FFFFFF"/>
        </w:rPr>
        <w:t xml:space="preserve">RMS można podzielić </w:t>
      </w:r>
      <w:r w:rsidR="00DC6D51" w:rsidRPr="00E11754">
        <w:rPr>
          <w:rFonts w:ascii="Times New Roman" w:eastAsiaTheme="majorEastAsia" w:hAnsi="Times New Roman" w:cs="Times New Roman"/>
          <w:color w:val="0D0D0D" w:themeColor="text1" w:themeTint="F2"/>
          <w:sz w:val="24"/>
          <w:szCs w:val="24"/>
          <w:shd w:val="clear" w:color="auto" w:fill="FFFFFF"/>
        </w:rPr>
        <w:t xml:space="preserve">na różne </w:t>
      </w:r>
      <w:r w:rsidR="00E14AD9" w:rsidRPr="00E11754">
        <w:rPr>
          <w:rFonts w:ascii="Times New Roman" w:eastAsiaTheme="majorEastAsia" w:hAnsi="Times New Roman" w:cs="Times New Roman"/>
          <w:color w:val="0D0D0D" w:themeColor="text1" w:themeTint="F2"/>
          <w:sz w:val="24"/>
          <w:szCs w:val="24"/>
          <w:shd w:val="clear" w:color="auto" w:fill="FFFFFF"/>
        </w:rPr>
        <w:t>typy:</w:t>
      </w:r>
      <w:r w:rsidR="00DC6D51" w:rsidRPr="00E11754">
        <w:rPr>
          <w:rFonts w:ascii="Times New Roman" w:eastAsiaTheme="majorEastAsia" w:hAnsi="Times New Roman" w:cs="Times New Roman"/>
          <w:color w:val="0D0D0D" w:themeColor="text1" w:themeTint="F2"/>
          <w:sz w:val="24"/>
          <w:szCs w:val="24"/>
          <w:shd w:val="clear" w:color="auto" w:fill="FFFFFF"/>
        </w:rPr>
        <w:t xml:space="preserve"> m.in.</w:t>
      </w:r>
      <w:r w:rsidR="00E14AD9" w:rsidRPr="00E11754">
        <w:rPr>
          <w:rFonts w:ascii="Times New Roman" w:eastAsiaTheme="majorEastAsia" w:hAnsi="Times New Roman" w:cs="Times New Roman"/>
          <w:color w:val="0D0D0D" w:themeColor="text1" w:themeTint="F2"/>
          <w:sz w:val="24"/>
          <w:szCs w:val="24"/>
          <w:shd w:val="clear" w:color="auto" w:fill="FFFFFF"/>
        </w:rPr>
        <w:t xml:space="preserve"> </w:t>
      </w:r>
      <w:proofErr w:type="spellStart"/>
      <w:r w:rsidR="00DC6D51" w:rsidRPr="00E11754">
        <w:rPr>
          <w:rFonts w:ascii="Times New Roman" w:eastAsiaTheme="majorEastAsia" w:hAnsi="Times New Roman" w:cs="Times New Roman"/>
          <w:color w:val="0D0D0D" w:themeColor="text1" w:themeTint="F2"/>
          <w:sz w:val="24"/>
          <w:szCs w:val="24"/>
          <w:shd w:val="clear" w:color="auto" w:fill="FFFFFF"/>
        </w:rPr>
        <w:t>m</w:t>
      </w:r>
      <w:r w:rsidR="00826275" w:rsidRPr="00E11754">
        <w:rPr>
          <w:rFonts w:ascii="Times New Roman" w:eastAsiaTheme="majorEastAsia" w:hAnsi="Times New Roman" w:cs="Times New Roman"/>
          <w:color w:val="0D0D0D" w:themeColor="text1" w:themeTint="F2"/>
          <w:sz w:val="24"/>
          <w:szCs w:val="24"/>
          <w:shd w:val="clear" w:color="auto" w:fill="FFFFFF"/>
        </w:rPr>
        <w:t>ięśniakomięsak</w:t>
      </w:r>
      <w:proofErr w:type="spellEnd"/>
      <w:r w:rsidR="00826275" w:rsidRPr="00E11754">
        <w:rPr>
          <w:rFonts w:ascii="Times New Roman" w:eastAsiaTheme="majorEastAsia" w:hAnsi="Times New Roman" w:cs="Times New Roman"/>
          <w:color w:val="0D0D0D" w:themeColor="text1" w:themeTint="F2"/>
          <w:sz w:val="24"/>
          <w:szCs w:val="24"/>
          <w:shd w:val="clear" w:color="auto" w:fill="FFFFFF"/>
        </w:rPr>
        <w:t xml:space="preserve"> </w:t>
      </w:r>
      <w:proofErr w:type="spellStart"/>
      <w:r w:rsidR="00826275" w:rsidRPr="00E11754">
        <w:rPr>
          <w:rFonts w:ascii="Times New Roman" w:eastAsiaTheme="majorEastAsia" w:hAnsi="Times New Roman" w:cs="Times New Roman"/>
          <w:color w:val="0D0D0D" w:themeColor="text1" w:themeTint="F2"/>
          <w:sz w:val="24"/>
          <w:szCs w:val="24"/>
          <w:shd w:val="clear" w:color="auto" w:fill="FFFFFF"/>
        </w:rPr>
        <w:t>prążkowanokomórkowy</w:t>
      </w:r>
      <w:proofErr w:type="spellEnd"/>
      <w:r w:rsidR="0082667D" w:rsidRPr="00E11754">
        <w:rPr>
          <w:rFonts w:ascii="Times New Roman" w:eastAsiaTheme="majorEastAsia" w:hAnsi="Times New Roman" w:cs="Times New Roman"/>
          <w:color w:val="0D0D0D" w:themeColor="text1" w:themeTint="F2"/>
          <w:sz w:val="24"/>
          <w:szCs w:val="24"/>
          <w:shd w:val="clear" w:color="auto" w:fill="FFFFFF"/>
        </w:rPr>
        <w:t xml:space="preserve">, </w:t>
      </w:r>
      <w:r w:rsidR="00826275" w:rsidRPr="00E11754">
        <w:rPr>
          <w:rFonts w:ascii="Times New Roman" w:eastAsiaTheme="majorEastAsia" w:hAnsi="Times New Roman" w:cs="Times New Roman"/>
          <w:color w:val="0D0D0D" w:themeColor="text1" w:themeTint="F2"/>
          <w:sz w:val="24"/>
          <w:szCs w:val="24"/>
          <w:shd w:val="clear" w:color="auto" w:fill="FFFFFF"/>
        </w:rPr>
        <w:t xml:space="preserve">typ pęcherzykowaty </w:t>
      </w:r>
      <w:proofErr w:type="spellStart"/>
      <w:r w:rsidR="00826275" w:rsidRPr="00E11754">
        <w:rPr>
          <w:rFonts w:ascii="Times New Roman" w:eastAsiaTheme="majorEastAsia" w:hAnsi="Times New Roman" w:cs="Times New Roman"/>
          <w:color w:val="0D0D0D" w:themeColor="text1" w:themeTint="F2"/>
          <w:sz w:val="24"/>
          <w:szCs w:val="24"/>
          <w:shd w:val="clear" w:color="auto" w:fill="FFFFFF"/>
        </w:rPr>
        <w:t>mięśniakomięsaka</w:t>
      </w:r>
      <w:proofErr w:type="spellEnd"/>
      <w:r w:rsidR="0082667D" w:rsidRPr="00E11754">
        <w:rPr>
          <w:rFonts w:ascii="Times New Roman" w:eastAsiaTheme="majorEastAsia" w:hAnsi="Times New Roman" w:cs="Times New Roman"/>
          <w:color w:val="0D0D0D" w:themeColor="text1" w:themeTint="F2"/>
          <w:sz w:val="24"/>
          <w:szCs w:val="24"/>
          <w:shd w:val="clear" w:color="auto" w:fill="FFFFFF"/>
        </w:rPr>
        <w:t xml:space="preserve"> </w:t>
      </w:r>
      <w:r w:rsidR="005F0EFB" w:rsidRPr="00E11754">
        <w:rPr>
          <w:rFonts w:ascii="Times New Roman" w:eastAsiaTheme="majorEastAsia" w:hAnsi="Times New Roman" w:cs="Times New Roman"/>
          <w:color w:val="0D0D0D" w:themeColor="text1" w:themeTint="F2"/>
          <w:sz w:val="24"/>
          <w:szCs w:val="24"/>
          <w:shd w:val="clear" w:color="auto" w:fill="FFFFFF"/>
        </w:rPr>
        <w:t>–</w:t>
      </w:r>
      <w:r w:rsidR="00C86A2D" w:rsidRPr="00E11754">
        <w:rPr>
          <w:rFonts w:ascii="Times New Roman" w:eastAsiaTheme="majorEastAsia" w:hAnsi="Times New Roman" w:cs="Times New Roman"/>
          <w:color w:val="0D0D0D" w:themeColor="text1" w:themeTint="F2"/>
          <w:sz w:val="24"/>
          <w:szCs w:val="24"/>
          <w:shd w:val="clear" w:color="auto" w:fill="FFFFFF"/>
        </w:rPr>
        <w:t xml:space="preserve"> </w:t>
      </w:r>
      <w:bookmarkStart w:id="10" w:name="_Hlk134779778"/>
      <w:r w:rsidR="005F0EFB" w:rsidRPr="00E11754">
        <w:rPr>
          <w:rFonts w:ascii="Times New Roman" w:eastAsiaTheme="majorEastAsia" w:hAnsi="Times New Roman" w:cs="Times New Roman"/>
          <w:color w:val="0D0D0D" w:themeColor="text1" w:themeTint="F2"/>
          <w:sz w:val="24"/>
          <w:szCs w:val="24"/>
          <w:shd w:val="clear" w:color="auto" w:fill="FFFFFF"/>
        </w:rPr>
        <w:t>(</w:t>
      </w:r>
      <w:r w:rsidR="005F0EFB" w:rsidRPr="00E11754">
        <w:rPr>
          <w:rFonts w:ascii="Times New Roman" w:hAnsi="Times New Roman" w:cs="Times New Roman"/>
          <w:sz w:val="24"/>
          <w:szCs w:val="24"/>
          <w:shd w:val="clear" w:color="auto" w:fill="FFFFFF"/>
        </w:rPr>
        <w:t xml:space="preserve">ang. </w:t>
      </w:r>
      <w:proofErr w:type="spellStart"/>
      <w:r w:rsidR="005F0EFB" w:rsidRPr="00E11754">
        <w:rPr>
          <w:rFonts w:ascii="Times New Roman" w:hAnsi="Times New Roman" w:cs="Times New Roman"/>
          <w:i/>
          <w:iCs/>
          <w:sz w:val="24"/>
          <w:szCs w:val="24"/>
          <w:shd w:val="clear" w:color="auto" w:fill="FFFFFF"/>
        </w:rPr>
        <w:t>Metastatic</w:t>
      </w:r>
      <w:proofErr w:type="spellEnd"/>
      <w:r w:rsidR="005F0EFB" w:rsidRPr="00E11754">
        <w:rPr>
          <w:rFonts w:ascii="Times New Roman" w:hAnsi="Times New Roman" w:cs="Times New Roman"/>
          <w:i/>
          <w:iCs/>
          <w:sz w:val="24"/>
          <w:szCs w:val="24"/>
          <w:shd w:val="clear" w:color="auto" w:fill="FFFFFF"/>
        </w:rPr>
        <w:t xml:space="preserve"> </w:t>
      </w:r>
      <w:proofErr w:type="spellStart"/>
      <w:r w:rsidR="005F0EFB" w:rsidRPr="00E11754">
        <w:rPr>
          <w:rFonts w:ascii="Times New Roman" w:hAnsi="Times New Roman" w:cs="Times New Roman"/>
          <w:i/>
          <w:iCs/>
          <w:sz w:val="24"/>
          <w:szCs w:val="24"/>
          <w:shd w:val="clear" w:color="auto" w:fill="FFFFFF"/>
        </w:rPr>
        <w:t>Alveolar</w:t>
      </w:r>
      <w:proofErr w:type="spellEnd"/>
      <w:r w:rsidR="005F0EFB" w:rsidRPr="00E11754">
        <w:rPr>
          <w:rFonts w:ascii="Times New Roman" w:hAnsi="Times New Roman" w:cs="Times New Roman"/>
          <w:i/>
          <w:iCs/>
          <w:sz w:val="24"/>
          <w:szCs w:val="24"/>
          <w:shd w:val="clear" w:color="auto" w:fill="FFFFFF"/>
        </w:rPr>
        <w:t xml:space="preserve"> </w:t>
      </w:r>
      <w:proofErr w:type="spellStart"/>
      <w:r w:rsidR="005F0EFB" w:rsidRPr="00E11754">
        <w:rPr>
          <w:rFonts w:ascii="Times New Roman" w:hAnsi="Times New Roman" w:cs="Times New Roman"/>
          <w:i/>
          <w:iCs/>
          <w:sz w:val="24"/>
          <w:szCs w:val="24"/>
          <w:shd w:val="clear" w:color="auto" w:fill="FFFFFF"/>
        </w:rPr>
        <w:t>Rhabdomyosarcoma</w:t>
      </w:r>
      <w:proofErr w:type="spellEnd"/>
      <w:r w:rsidR="005F0EFB" w:rsidRPr="00E11754">
        <w:rPr>
          <w:rFonts w:ascii="Times New Roman" w:hAnsi="Times New Roman" w:cs="Times New Roman"/>
          <w:sz w:val="24"/>
          <w:szCs w:val="24"/>
          <w:shd w:val="clear" w:color="auto" w:fill="FFFFFF"/>
        </w:rPr>
        <w:t>,</w:t>
      </w:r>
      <w:bookmarkEnd w:id="10"/>
      <w:r w:rsidR="005F0EFB" w:rsidRPr="00E11754">
        <w:rPr>
          <w:rFonts w:ascii="Times New Roman" w:hAnsi="Times New Roman" w:cs="Times New Roman"/>
          <w:sz w:val="24"/>
          <w:szCs w:val="24"/>
          <w:shd w:val="clear" w:color="auto" w:fill="FFFFFF"/>
        </w:rPr>
        <w:t xml:space="preserve"> </w:t>
      </w:r>
      <w:r w:rsidR="00E14AD9" w:rsidRPr="00E11754">
        <w:rPr>
          <w:rFonts w:ascii="Times New Roman" w:eastAsiaTheme="majorEastAsia" w:hAnsi="Times New Roman" w:cs="Times New Roman"/>
          <w:color w:val="0D0D0D" w:themeColor="text1" w:themeTint="F2"/>
          <w:sz w:val="24"/>
          <w:szCs w:val="24"/>
          <w:shd w:val="clear" w:color="auto" w:fill="FFFFFF"/>
        </w:rPr>
        <w:t>RM</w:t>
      </w:r>
      <w:r w:rsidR="00C86A2D" w:rsidRPr="00E11754">
        <w:rPr>
          <w:rFonts w:ascii="Times New Roman" w:eastAsiaTheme="majorEastAsia" w:hAnsi="Times New Roman" w:cs="Times New Roman"/>
          <w:color w:val="0D0D0D" w:themeColor="text1" w:themeTint="F2"/>
          <w:sz w:val="24"/>
          <w:szCs w:val="24"/>
          <w:shd w:val="clear" w:color="auto" w:fill="FFFFFF"/>
        </w:rPr>
        <w:t>A</w:t>
      </w:r>
      <w:r w:rsidR="005F0EFB" w:rsidRPr="00E11754">
        <w:rPr>
          <w:rFonts w:ascii="Times New Roman" w:eastAsiaTheme="majorEastAsia" w:hAnsi="Times New Roman" w:cs="Times New Roman"/>
          <w:color w:val="0D0D0D" w:themeColor="text1" w:themeTint="F2"/>
          <w:sz w:val="24"/>
          <w:szCs w:val="24"/>
          <w:shd w:val="clear" w:color="auto" w:fill="FFFFFF"/>
        </w:rPr>
        <w:t>)</w:t>
      </w:r>
      <w:r w:rsidR="00E14AD9" w:rsidRPr="00E11754">
        <w:rPr>
          <w:rFonts w:ascii="Times New Roman" w:eastAsiaTheme="majorEastAsia" w:hAnsi="Times New Roman" w:cs="Times New Roman"/>
          <w:color w:val="0D0D0D" w:themeColor="text1" w:themeTint="F2"/>
          <w:sz w:val="24"/>
          <w:szCs w:val="24"/>
          <w:shd w:val="clear" w:color="auto" w:fill="FFFFFF"/>
        </w:rPr>
        <w:t xml:space="preserve"> oraz</w:t>
      </w:r>
      <w:r w:rsidR="00826275" w:rsidRPr="00E11754">
        <w:rPr>
          <w:rFonts w:ascii="Times New Roman" w:eastAsiaTheme="majorEastAsia" w:hAnsi="Times New Roman" w:cs="Times New Roman"/>
          <w:color w:val="0D0D0D" w:themeColor="text1" w:themeTint="F2"/>
          <w:sz w:val="24"/>
          <w:szCs w:val="24"/>
          <w:shd w:val="clear" w:color="auto" w:fill="FFFFFF"/>
        </w:rPr>
        <w:t xml:space="preserve"> </w:t>
      </w:r>
      <w:r w:rsidR="00C86A2D" w:rsidRPr="00E11754">
        <w:rPr>
          <w:rFonts w:ascii="Times New Roman" w:eastAsiaTheme="majorEastAsia" w:hAnsi="Times New Roman" w:cs="Times New Roman"/>
          <w:color w:val="1E1E23"/>
          <w:sz w:val="24"/>
          <w:szCs w:val="24"/>
        </w:rPr>
        <w:t>z</w:t>
      </w:r>
      <w:r w:rsidR="00826275" w:rsidRPr="00E11754">
        <w:rPr>
          <w:rFonts w:ascii="Times New Roman" w:eastAsiaTheme="majorEastAsia" w:hAnsi="Times New Roman" w:cs="Times New Roman"/>
          <w:color w:val="1E1E23"/>
          <w:sz w:val="24"/>
          <w:szCs w:val="24"/>
        </w:rPr>
        <w:t xml:space="preserve">arodkowy </w:t>
      </w:r>
      <w:proofErr w:type="spellStart"/>
      <w:r w:rsidR="00826275" w:rsidRPr="00E11754">
        <w:rPr>
          <w:rFonts w:ascii="Times New Roman" w:eastAsiaTheme="majorEastAsia" w:hAnsi="Times New Roman" w:cs="Times New Roman"/>
          <w:color w:val="1E1E23"/>
          <w:sz w:val="24"/>
          <w:szCs w:val="24"/>
        </w:rPr>
        <w:t>mięśniakomięsak</w:t>
      </w:r>
      <w:proofErr w:type="spellEnd"/>
      <w:r w:rsidR="00826275" w:rsidRPr="00E11754">
        <w:rPr>
          <w:rFonts w:ascii="Times New Roman" w:eastAsiaTheme="majorEastAsia" w:hAnsi="Times New Roman" w:cs="Times New Roman"/>
          <w:color w:val="1E1E23"/>
          <w:sz w:val="24"/>
          <w:szCs w:val="24"/>
        </w:rPr>
        <w:t xml:space="preserve"> </w:t>
      </w:r>
      <w:proofErr w:type="spellStart"/>
      <w:r w:rsidR="00826275" w:rsidRPr="00E11754">
        <w:rPr>
          <w:rFonts w:ascii="Times New Roman" w:eastAsiaTheme="majorEastAsia" w:hAnsi="Times New Roman" w:cs="Times New Roman"/>
          <w:color w:val="1E1E23"/>
          <w:sz w:val="24"/>
          <w:szCs w:val="24"/>
        </w:rPr>
        <w:t>prążkowanokomórkowy</w:t>
      </w:r>
      <w:proofErr w:type="spellEnd"/>
      <w:r w:rsidR="0082667D" w:rsidRPr="00E11754">
        <w:rPr>
          <w:rFonts w:ascii="Times New Roman" w:eastAsiaTheme="majorEastAsia" w:hAnsi="Times New Roman" w:cs="Times New Roman"/>
          <w:color w:val="1E1E23"/>
          <w:sz w:val="24"/>
          <w:szCs w:val="24"/>
        </w:rPr>
        <w:t xml:space="preserve"> -</w:t>
      </w:r>
      <w:r w:rsidR="00826275" w:rsidRPr="00E11754">
        <w:rPr>
          <w:rFonts w:ascii="Times New Roman" w:eastAsiaTheme="majorEastAsia" w:hAnsi="Times New Roman" w:cs="Times New Roman"/>
          <w:color w:val="1E1E23"/>
          <w:sz w:val="24"/>
          <w:szCs w:val="24"/>
        </w:rPr>
        <w:t xml:space="preserve"> </w:t>
      </w:r>
      <w:r w:rsidR="005F0EFB" w:rsidRPr="00E11754">
        <w:rPr>
          <w:rFonts w:ascii="Times New Roman" w:eastAsiaTheme="majorEastAsia" w:hAnsi="Times New Roman" w:cs="Times New Roman"/>
          <w:color w:val="0D0D0D" w:themeColor="text1" w:themeTint="F2"/>
          <w:sz w:val="24"/>
          <w:szCs w:val="24"/>
          <w:shd w:val="clear" w:color="auto" w:fill="FFFFFF"/>
        </w:rPr>
        <w:t>(</w:t>
      </w:r>
      <w:r w:rsidR="005F0EFB" w:rsidRPr="00E11754">
        <w:rPr>
          <w:rFonts w:ascii="Times New Roman" w:hAnsi="Times New Roman" w:cs="Times New Roman"/>
          <w:sz w:val="24"/>
          <w:szCs w:val="24"/>
          <w:shd w:val="clear" w:color="auto" w:fill="FFFFFF"/>
        </w:rPr>
        <w:t xml:space="preserve">ang. </w:t>
      </w:r>
      <w:proofErr w:type="spellStart"/>
      <w:r w:rsidR="005F0EFB" w:rsidRPr="00E11754">
        <w:rPr>
          <w:rFonts w:ascii="Times New Roman" w:hAnsi="Times New Roman" w:cs="Times New Roman"/>
          <w:i/>
          <w:iCs/>
          <w:sz w:val="24"/>
          <w:szCs w:val="24"/>
          <w:shd w:val="clear" w:color="auto" w:fill="FFFFFF"/>
        </w:rPr>
        <w:t>Metastatic</w:t>
      </w:r>
      <w:proofErr w:type="spellEnd"/>
      <w:r w:rsidR="005F0EFB" w:rsidRPr="00E11754">
        <w:rPr>
          <w:rFonts w:ascii="Times New Roman" w:hAnsi="Times New Roman" w:cs="Times New Roman"/>
          <w:sz w:val="24"/>
          <w:szCs w:val="24"/>
          <w:shd w:val="clear" w:color="auto" w:fill="FFFFFF"/>
        </w:rPr>
        <w:t xml:space="preserve"> </w:t>
      </w:r>
      <w:proofErr w:type="spellStart"/>
      <w:r w:rsidR="002B2B6C" w:rsidRPr="00E11754">
        <w:rPr>
          <w:rFonts w:ascii="Times New Roman" w:hAnsi="Times New Roman" w:cs="Times New Roman"/>
          <w:i/>
          <w:iCs/>
          <w:color w:val="202122"/>
          <w:sz w:val="24"/>
          <w:szCs w:val="24"/>
          <w:shd w:val="clear" w:color="auto" w:fill="FFFFFF"/>
        </w:rPr>
        <w:t>Embryonale</w:t>
      </w:r>
      <w:proofErr w:type="spellEnd"/>
      <w:r w:rsidR="005F0EFB" w:rsidRPr="00E11754">
        <w:rPr>
          <w:rFonts w:ascii="Times New Roman" w:hAnsi="Times New Roman" w:cs="Times New Roman"/>
          <w:sz w:val="24"/>
          <w:szCs w:val="24"/>
          <w:shd w:val="clear" w:color="auto" w:fill="FFFFFF"/>
        </w:rPr>
        <w:t xml:space="preserve"> </w:t>
      </w:r>
      <w:proofErr w:type="spellStart"/>
      <w:r w:rsidR="005F0EFB" w:rsidRPr="00E11754">
        <w:rPr>
          <w:rFonts w:ascii="Times New Roman" w:hAnsi="Times New Roman" w:cs="Times New Roman"/>
          <w:i/>
          <w:iCs/>
          <w:sz w:val="24"/>
          <w:szCs w:val="24"/>
          <w:shd w:val="clear" w:color="auto" w:fill="FFFFFF"/>
        </w:rPr>
        <w:t>Rhabdomyosarcoma</w:t>
      </w:r>
      <w:proofErr w:type="spellEnd"/>
      <w:r w:rsidR="005F0EFB" w:rsidRPr="00E11754">
        <w:rPr>
          <w:rFonts w:ascii="Times New Roman" w:hAnsi="Times New Roman" w:cs="Times New Roman"/>
          <w:sz w:val="24"/>
          <w:szCs w:val="24"/>
          <w:shd w:val="clear" w:color="auto" w:fill="FFFFFF"/>
        </w:rPr>
        <w:t xml:space="preserve">, </w:t>
      </w:r>
      <w:r w:rsidR="00E14AD9" w:rsidRPr="00E11754">
        <w:rPr>
          <w:rFonts w:ascii="Times New Roman" w:eastAsiaTheme="majorEastAsia" w:hAnsi="Times New Roman" w:cs="Times New Roman"/>
          <w:color w:val="0D0D0D" w:themeColor="text1" w:themeTint="F2"/>
          <w:sz w:val="24"/>
          <w:szCs w:val="24"/>
          <w:shd w:val="clear" w:color="auto" w:fill="FFFFFF"/>
        </w:rPr>
        <w:t>RM</w:t>
      </w:r>
      <w:r w:rsidR="00C86A2D" w:rsidRPr="00E11754">
        <w:rPr>
          <w:rFonts w:ascii="Times New Roman" w:eastAsiaTheme="majorEastAsia" w:hAnsi="Times New Roman" w:cs="Times New Roman"/>
          <w:color w:val="0D0D0D" w:themeColor="text1" w:themeTint="F2"/>
          <w:sz w:val="24"/>
          <w:szCs w:val="24"/>
          <w:shd w:val="clear" w:color="auto" w:fill="FFFFFF"/>
        </w:rPr>
        <w:t>E</w:t>
      </w:r>
      <w:r w:rsidR="005F0EFB" w:rsidRPr="00E11754">
        <w:rPr>
          <w:rFonts w:ascii="Times New Roman" w:eastAsiaTheme="majorEastAsia" w:hAnsi="Times New Roman" w:cs="Times New Roman"/>
          <w:color w:val="0D0D0D" w:themeColor="text1" w:themeTint="F2"/>
          <w:sz w:val="24"/>
          <w:szCs w:val="24"/>
          <w:shd w:val="clear" w:color="auto" w:fill="FFFFFF"/>
        </w:rPr>
        <w:t>)</w:t>
      </w:r>
      <w:r w:rsidR="00826275" w:rsidRPr="00E11754">
        <w:rPr>
          <w:rFonts w:ascii="Times New Roman" w:eastAsiaTheme="majorEastAsia" w:hAnsi="Times New Roman" w:cs="Times New Roman"/>
          <w:color w:val="0D0D0D" w:themeColor="text1" w:themeTint="F2"/>
          <w:sz w:val="24"/>
          <w:szCs w:val="24"/>
          <w:shd w:val="clear" w:color="auto" w:fill="FFFFFF"/>
        </w:rPr>
        <w:t>.</w:t>
      </w:r>
      <w:r w:rsidR="00EF7AAD" w:rsidRPr="00E11754">
        <w:rPr>
          <w:rFonts w:ascii="Times New Roman" w:eastAsiaTheme="majorEastAsia" w:hAnsi="Times New Roman" w:cs="Times New Roman"/>
          <w:color w:val="0D0D0D" w:themeColor="text1" w:themeTint="F2"/>
          <w:sz w:val="24"/>
          <w:szCs w:val="24"/>
          <w:shd w:val="clear" w:color="auto" w:fill="FFFFFF"/>
        </w:rPr>
        <w:t xml:space="preserve"> </w:t>
      </w:r>
      <w:r w:rsidR="00D73B09" w:rsidRPr="00E11754">
        <w:rPr>
          <w:rFonts w:ascii="Times New Roman" w:eastAsiaTheme="majorEastAsia" w:hAnsi="Times New Roman" w:cs="Times New Roman"/>
          <w:color w:val="0D0D0D" w:themeColor="text1" w:themeTint="F2"/>
          <w:sz w:val="24"/>
          <w:szCs w:val="24"/>
          <w:shd w:val="clear" w:color="auto" w:fill="FFFFFF"/>
        </w:rPr>
        <w:t xml:space="preserve">Standardowe </w:t>
      </w:r>
      <w:r w:rsidR="00EF7AAD" w:rsidRPr="00E11754">
        <w:rPr>
          <w:rFonts w:ascii="Times New Roman" w:eastAsiaTheme="majorEastAsia" w:hAnsi="Times New Roman" w:cs="Times New Roman"/>
          <w:color w:val="0D0D0D" w:themeColor="text1" w:themeTint="F2"/>
          <w:sz w:val="24"/>
          <w:szCs w:val="24"/>
          <w:shd w:val="clear" w:color="auto" w:fill="FFFFFF"/>
        </w:rPr>
        <w:t xml:space="preserve">leczenie </w:t>
      </w:r>
      <w:r w:rsidR="008153B4" w:rsidRPr="00E11754">
        <w:rPr>
          <w:rFonts w:ascii="Times New Roman" w:eastAsiaTheme="majorEastAsia" w:hAnsi="Times New Roman" w:cs="Times New Roman"/>
          <w:color w:val="0D0D0D" w:themeColor="text1" w:themeTint="F2"/>
          <w:sz w:val="24"/>
          <w:szCs w:val="24"/>
          <w:shd w:val="clear" w:color="auto" w:fill="FFFFFF"/>
        </w:rPr>
        <w:t xml:space="preserve">RMS </w:t>
      </w:r>
      <w:r w:rsidR="00EF7AAD" w:rsidRPr="00E11754">
        <w:rPr>
          <w:rFonts w:ascii="Times New Roman" w:eastAsiaTheme="majorEastAsia" w:hAnsi="Times New Roman" w:cs="Times New Roman"/>
          <w:color w:val="0D0D0D" w:themeColor="text1" w:themeTint="F2"/>
          <w:sz w:val="24"/>
          <w:szCs w:val="24"/>
          <w:shd w:val="clear" w:color="auto" w:fill="FFFFFF"/>
        </w:rPr>
        <w:t xml:space="preserve">polega na </w:t>
      </w:r>
      <w:r w:rsidR="00DA04A6" w:rsidRPr="00E11754">
        <w:rPr>
          <w:rFonts w:ascii="Times New Roman" w:eastAsiaTheme="majorEastAsia" w:hAnsi="Times New Roman" w:cs="Times New Roman"/>
          <w:color w:val="0D0D0D" w:themeColor="text1" w:themeTint="F2"/>
          <w:sz w:val="24"/>
          <w:szCs w:val="24"/>
          <w:shd w:val="clear" w:color="auto" w:fill="FFFFFF"/>
        </w:rPr>
        <w:t>zastosowaniu</w:t>
      </w:r>
      <w:r w:rsidR="00D73B09" w:rsidRPr="00E11754">
        <w:rPr>
          <w:rFonts w:ascii="Times New Roman" w:eastAsiaTheme="majorEastAsia" w:hAnsi="Times New Roman" w:cs="Times New Roman"/>
          <w:color w:val="0D0D0D" w:themeColor="text1" w:themeTint="F2"/>
          <w:sz w:val="24"/>
          <w:szCs w:val="24"/>
          <w:shd w:val="clear" w:color="auto" w:fill="FFFFFF"/>
        </w:rPr>
        <w:t xml:space="preserve"> chemioter</w:t>
      </w:r>
      <w:r w:rsidR="00665100" w:rsidRPr="00E11754">
        <w:rPr>
          <w:rFonts w:ascii="Times New Roman" w:eastAsiaTheme="majorEastAsia" w:hAnsi="Times New Roman" w:cs="Times New Roman"/>
          <w:color w:val="0D0D0D" w:themeColor="text1" w:themeTint="F2"/>
          <w:sz w:val="24"/>
          <w:szCs w:val="24"/>
          <w:shd w:val="clear" w:color="auto" w:fill="FFFFFF"/>
        </w:rPr>
        <w:t>a</w:t>
      </w:r>
      <w:r w:rsidR="00D73B09" w:rsidRPr="00E11754">
        <w:rPr>
          <w:rFonts w:ascii="Times New Roman" w:eastAsiaTheme="majorEastAsia" w:hAnsi="Times New Roman" w:cs="Times New Roman"/>
          <w:color w:val="0D0D0D" w:themeColor="text1" w:themeTint="F2"/>
          <w:sz w:val="24"/>
          <w:szCs w:val="24"/>
          <w:shd w:val="clear" w:color="auto" w:fill="FFFFFF"/>
        </w:rPr>
        <w:t>pii z ra</w:t>
      </w:r>
      <w:r w:rsidR="0005175B" w:rsidRPr="00E11754">
        <w:rPr>
          <w:rFonts w:ascii="Times New Roman" w:eastAsiaTheme="majorEastAsia" w:hAnsi="Times New Roman" w:cs="Times New Roman"/>
          <w:color w:val="0D0D0D" w:themeColor="text1" w:themeTint="F2"/>
          <w:sz w:val="24"/>
          <w:szCs w:val="24"/>
          <w:shd w:val="clear" w:color="auto" w:fill="FFFFFF"/>
        </w:rPr>
        <w:t>dio</w:t>
      </w:r>
      <w:r w:rsidR="00D73B09" w:rsidRPr="00E11754">
        <w:rPr>
          <w:rFonts w:ascii="Times New Roman" w:eastAsiaTheme="majorEastAsia" w:hAnsi="Times New Roman" w:cs="Times New Roman"/>
          <w:color w:val="0D0D0D" w:themeColor="text1" w:themeTint="F2"/>
          <w:sz w:val="24"/>
          <w:szCs w:val="24"/>
          <w:shd w:val="clear" w:color="auto" w:fill="FFFFFF"/>
        </w:rPr>
        <w:t>ter</w:t>
      </w:r>
      <w:r w:rsidR="00665100" w:rsidRPr="00E11754">
        <w:rPr>
          <w:rFonts w:ascii="Times New Roman" w:eastAsiaTheme="majorEastAsia" w:hAnsi="Times New Roman" w:cs="Times New Roman"/>
          <w:color w:val="0D0D0D" w:themeColor="text1" w:themeTint="F2"/>
          <w:sz w:val="24"/>
          <w:szCs w:val="24"/>
          <w:shd w:val="clear" w:color="auto" w:fill="FFFFFF"/>
        </w:rPr>
        <w:t>a</w:t>
      </w:r>
      <w:r w:rsidR="00D73B09" w:rsidRPr="00E11754">
        <w:rPr>
          <w:rFonts w:ascii="Times New Roman" w:eastAsiaTheme="majorEastAsia" w:hAnsi="Times New Roman" w:cs="Times New Roman"/>
          <w:color w:val="0D0D0D" w:themeColor="text1" w:themeTint="F2"/>
          <w:sz w:val="24"/>
          <w:szCs w:val="24"/>
          <w:shd w:val="clear" w:color="auto" w:fill="FFFFFF"/>
        </w:rPr>
        <w:t xml:space="preserve">pią oraz </w:t>
      </w:r>
      <w:r w:rsidR="00DA04A6" w:rsidRPr="00E11754">
        <w:rPr>
          <w:rFonts w:ascii="Times New Roman" w:eastAsiaTheme="majorEastAsia" w:hAnsi="Times New Roman" w:cs="Times New Roman"/>
          <w:color w:val="0D0D0D" w:themeColor="text1" w:themeTint="F2"/>
          <w:sz w:val="24"/>
          <w:szCs w:val="24"/>
          <w:shd w:val="clear" w:color="auto" w:fill="FFFFFF"/>
        </w:rPr>
        <w:t>leczeni</w:t>
      </w:r>
      <w:r w:rsidR="000F680C" w:rsidRPr="00E11754">
        <w:rPr>
          <w:rFonts w:ascii="Times New Roman" w:hAnsi="Times New Roman" w:cs="Times New Roman"/>
          <w:sz w:val="24"/>
          <w:szCs w:val="24"/>
          <w:shd w:val="clear" w:color="auto" w:fill="FFFFFF"/>
        </w:rPr>
        <w:t>a</w:t>
      </w:r>
      <w:r w:rsidR="00DA04A6" w:rsidRPr="00E11754">
        <w:rPr>
          <w:rFonts w:ascii="Times New Roman" w:eastAsiaTheme="majorEastAsia" w:hAnsi="Times New Roman" w:cs="Times New Roman"/>
          <w:color w:val="0D0D0D" w:themeColor="text1" w:themeTint="F2"/>
          <w:sz w:val="24"/>
          <w:szCs w:val="24"/>
          <w:shd w:val="clear" w:color="auto" w:fill="FFFFFF"/>
        </w:rPr>
        <w:t xml:space="preserve"> </w:t>
      </w:r>
      <w:r w:rsidR="00B211CF" w:rsidRPr="00E11754">
        <w:rPr>
          <w:rFonts w:ascii="Times New Roman" w:eastAsiaTheme="majorEastAsia" w:hAnsi="Times New Roman" w:cs="Times New Roman"/>
          <w:color w:val="0D0D0D" w:themeColor="text1" w:themeTint="F2"/>
          <w:sz w:val="24"/>
          <w:szCs w:val="24"/>
          <w:shd w:val="clear" w:color="auto" w:fill="FFFFFF"/>
        </w:rPr>
        <w:t>chirurgicz</w:t>
      </w:r>
      <w:r w:rsidR="000F680C" w:rsidRPr="00E11754">
        <w:rPr>
          <w:rFonts w:ascii="Times New Roman" w:hAnsi="Times New Roman" w:cs="Times New Roman"/>
          <w:sz w:val="24"/>
          <w:szCs w:val="24"/>
          <w:shd w:val="clear" w:color="auto" w:fill="FFFFFF"/>
        </w:rPr>
        <w:t>nego</w:t>
      </w:r>
      <w:r w:rsidR="00B211CF" w:rsidRPr="00E11754">
        <w:rPr>
          <w:rFonts w:ascii="Times New Roman" w:eastAsiaTheme="majorEastAsia" w:hAnsi="Times New Roman" w:cs="Times New Roman"/>
          <w:color w:val="0D0D0D" w:themeColor="text1" w:themeTint="F2"/>
          <w:sz w:val="24"/>
          <w:szCs w:val="24"/>
          <w:shd w:val="clear" w:color="auto" w:fill="FFFFFF"/>
        </w:rPr>
        <w:t>.</w:t>
      </w:r>
      <w:r w:rsidR="00D6755B" w:rsidRPr="00E11754">
        <w:rPr>
          <w:rFonts w:ascii="Times New Roman" w:eastAsiaTheme="majorEastAsia" w:hAnsi="Times New Roman" w:cs="Times New Roman"/>
          <w:color w:val="0D0D0D" w:themeColor="text1" w:themeTint="F2"/>
          <w:sz w:val="24"/>
          <w:szCs w:val="24"/>
          <w:shd w:val="clear" w:color="auto" w:fill="FFFFFF"/>
        </w:rPr>
        <w:t xml:space="preserve"> Według </w:t>
      </w:r>
      <w:r w:rsidR="005F0EFB" w:rsidRPr="00E11754">
        <w:rPr>
          <w:rFonts w:ascii="Times New Roman" w:eastAsiaTheme="majorEastAsia" w:hAnsi="Times New Roman" w:cs="Times New Roman"/>
          <w:color w:val="0D0D0D" w:themeColor="text1" w:themeTint="F2"/>
          <w:sz w:val="24"/>
          <w:szCs w:val="24"/>
          <w:shd w:val="clear" w:color="auto" w:fill="FFFFFF"/>
        </w:rPr>
        <w:t xml:space="preserve">dostępnych </w:t>
      </w:r>
      <w:r w:rsidR="00D6755B" w:rsidRPr="00E11754">
        <w:rPr>
          <w:rFonts w:ascii="Times New Roman" w:eastAsiaTheme="majorEastAsia" w:hAnsi="Times New Roman" w:cs="Times New Roman"/>
          <w:color w:val="0D0D0D" w:themeColor="text1" w:themeTint="F2"/>
          <w:sz w:val="24"/>
          <w:szCs w:val="24"/>
          <w:shd w:val="clear" w:color="auto" w:fill="FFFFFF"/>
        </w:rPr>
        <w:t>źródeł</w:t>
      </w:r>
      <w:r w:rsidR="005F0EFB" w:rsidRPr="00E11754">
        <w:rPr>
          <w:rFonts w:ascii="Times New Roman" w:eastAsiaTheme="majorEastAsia" w:hAnsi="Times New Roman" w:cs="Times New Roman"/>
          <w:color w:val="0D0D0D" w:themeColor="text1" w:themeTint="F2"/>
          <w:sz w:val="24"/>
          <w:szCs w:val="24"/>
          <w:shd w:val="clear" w:color="auto" w:fill="FFFFFF"/>
        </w:rPr>
        <w:t xml:space="preserve"> literaturowych</w:t>
      </w:r>
      <w:r w:rsidR="009A0D37" w:rsidRPr="00E11754">
        <w:rPr>
          <w:rFonts w:ascii="Times New Roman" w:eastAsiaTheme="majorEastAsia" w:hAnsi="Times New Roman" w:cs="Times New Roman"/>
          <w:color w:val="0D0D0D" w:themeColor="text1" w:themeTint="F2"/>
          <w:sz w:val="24"/>
          <w:szCs w:val="24"/>
          <w:shd w:val="clear" w:color="auto" w:fill="FFFFFF"/>
        </w:rPr>
        <w:t>,</w:t>
      </w:r>
      <w:r w:rsidR="00D6755B" w:rsidRPr="00E11754">
        <w:rPr>
          <w:rFonts w:ascii="Times New Roman" w:eastAsiaTheme="majorEastAsia" w:hAnsi="Times New Roman" w:cs="Times New Roman"/>
          <w:color w:val="0D0D0D" w:themeColor="text1" w:themeTint="F2"/>
          <w:sz w:val="24"/>
          <w:szCs w:val="24"/>
          <w:shd w:val="clear" w:color="auto" w:fill="FFFFFF"/>
        </w:rPr>
        <w:t xml:space="preserve"> 70 % przypadków </w:t>
      </w:r>
      <w:r w:rsidR="002025BF" w:rsidRPr="00E11754">
        <w:rPr>
          <w:rFonts w:ascii="Times New Roman" w:eastAsiaTheme="majorEastAsia" w:hAnsi="Times New Roman" w:cs="Times New Roman"/>
          <w:color w:val="0D0D0D" w:themeColor="text1" w:themeTint="F2"/>
          <w:sz w:val="24"/>
          <w:szCs w:val="24"/>
          <w:shd w:val="clear" w:color="auto" w:fill="FFFFFF"/>
        </w:rPr>
        <w:t>leczenia</w:t>
      </w:r>
      <w:r w:rsidR="007626C9" w:rsidRPr="00E11754">
        <w:rPr>
          <w:rFonts w:ascii="Times New Roman" w:eastAsiaTheme="majorEastAsia" w:hAnsi="Times New Roman" w:cs="Times New Roman"/>
          <w:color w:val="0D0D0D" w:themeColor="text1" w:themeTint="F2"/>
          <w:sz w:val="24"/>
          <w:szCs w:val="24"/>
          <w:shd w:val="clear" w:color="auto" w:fill="FFFFFF"/>
        </w:rPr>
        <w:t xml:space="preserve"> dzieci</w:t>
      </w:r>
      <w:r w:rsidR="002025BF" w:rsidRPr="00E11754">
        <w:rPr>
          <w:rFonts w:ascii="Times New Roman" w:eastAsiaTheme="majorEastAsia" w:hAnsi="Times New Roman" w:cs="Times New Roman"/>
          <w:color w:val="0D0D0D" w:themeColor="text1" w:themeTint="F2"/>
          <w:sz w:val="24"/>
          <w:szCs w:val="24"/>
          <w:shd w:val="clear" w:color="auto" w:fill="FFFFFF"/>
        </w:rPr>
        <w:t xml:space="preserve"> kończy się sukcesem</w:t>
      </w:r>
      <w:r w:rsidR="00665100" w:rsidRPr="00E11754">
        <w:rPr>
          <w:rFonts w:ascii="Times New Roman" w:eastAsiaTheme="majorEastAsia" w:hAnsi="Times New Roman" w:cs="Times New Roman"/>
          <w:color w:val="0D0D0D" w:themeColor="text1" w:themeTint="F2"/>
          <w:sz w:val="24"/>
          <w:szCs w:val="24"/>
          <w:shd w:val="clear" w:color="auto" w:fill="FFFFFF"/>
        </w:rPr>
        <w:t>,</w:t>
      </w:r>
      <w:r w:rsidR="007626C9" w:rsidRPr="00E11754">
        <w:rPr>
          <w:rFonts w:ascii="Times New Roman" w:eastAsiaTheme="majorEastAsia" w:hAnsi="Times New Roman" w:cs="Times New Roman"/>
          <w:color w:val="0D0D0D" w:themeColor="text1" w:themeTint="F2"/>
          <w:sz w:val="24"/>
          <w:szCs w:val="24"/>
          <w:shd w:val="clear" w:color="auto" w:fill="FFFFFF"/>
        </w:rPr>
        <w:t xml:space="preserve"> a w przypadku dorosłych jedynie 27 %</w:t>
      </w:r>
      <w:r w:rsidR="007978A7" w:rsidRPr="00E11754">
        <w:rPr>
          <w:rFonts w:ascii="Times New Roman" w:eastAsiaTheme="majorEastAsia" w:hAnsi="Times New Roman" w:cs="Times New Roman"/>
          <w:color w:val="0D0D0D" w:themeColor="text1" w:themeTint="F2"/>
          <w:sz w:val="24"/>
          <w:szCs w:val="24"/>
          <w:shd w:val="clear" w:color="auto" w:fill="FFFFFF"/>
        </w:rPr>
        <w:t xml:space="preserve"> </w:t>
      </w:r>
      <w:r w:rsidR="007978A7" w:rsidRPr="00E11754">
        <w:rPr>
          <w:rFonts w:ascii="Times New Roman" w:eastAsiaTheme="majorEastAsia" w:hAnsi="Times New Roman" w:cs="Times New Roman"/>
          <w:color w:val="0D0D0D" w:themeColor="text1" w:themeTint="F2"/>
          <w:sz w:val="24"/>
          <w:szCs w:val="24"/>
          <w:shd w:val="clear" w:color="auto" w:fill="FFFFFF"/>
        </w:rPr>
        <w:fldChar w:fldCharType="begin" w:fldLock="1"/>
      </w:r>
      <w:r w:rsidR="00223473">
        <w:rPr>
          <w:rFonts w:ascii="Times New Roman" w:eastAsiaTheme="majorEastAsia" w:hAnsi="Times New Roman" w:cs="Times New Roman"/>
          <w:color w:val="0D0D0D" w:themeColor="text1" w:themeTint="F2"/>
          <w:sz w:val="24"/>
          <w:szCs w:val="24"/>
          <w:shd w:val="clear" w:color="auto" w:fill="FFFFFF"/>
        </w:rPr>
        <w:instrText>ADDIN CSL_CITATION {"citationItems":[{"id":"ITEM-1","itemData":{"DOI":"10.15557/CGO.2015.0006","ISSN":"20811632","abstract":"Introduction: Soft tissue sarcoma accounts for 1% of malignant neoplasms detected in adult patients in Poland. Their primary localization in the urogenital system is rare. Aim of the paper: To present a case of rhabdomyosarcoma alveolare of the urogenital region in a 40-year-old female patient and conduct a literature review. Material and methods: The retrospective analysis involved medical records of the patient hospitalized in the Oncology Center in Krakow. The available literature on soft tissue sarcoma in the urogenital region was reviewed. Results: A 40-year-old patient presented at the Oncology Center with a lesion in the area of the external opening of the urethra. The histopathological examination of the specimen confirmed the presence of rhabdomyosarcoma alveolare. Since the surgical procedure was not radical, postoperative brachytherapy was conducted. Thirteen months later, a local relapse was diagnosed and removed together with a fragment of the urethra. In the edges of surgical cuts, neoplastic tissue was detected. Postoperative chemo- and teleradiotherapy were started. The literature review demonstrated few case reports of alveolar rhabdomyosarcoma of the urogenital region in adult women. Discussion: Rhabdomyosarcoma is a childhood sarcoma. The results of retrospective studies indicate poor prognosis in adult patients, and the alveolar type is characterized by an aggressive course. This case report confirms the tendency of the neoplasm to recur locally. Conclusions: Rhabdomyosarcoma alveolare of the urogenital region in adult women is a very rare and highly aggressive neoplasm that tends to recur. The rare occurrence of this disease indicates that it should be diagnosed and treated in specialized centers. The urogenital localization does not allow radical surgical treatment and limits postoperative radiotherapy. Individualized combined treatment is therefore necessary.","author":[{"dropping-particle":"","family":"Kojs","given":"Zbigniew","non-dropping-particle":"","parse-names":false,"suffix":""},{"dropping-particle":"","family":"Jankiewicz","given":"Michał","non-dropping-particle":"","parse-names":false,"suffix":""},{"dropping-particle":"","family":"Kojs-Pasińska","given":"Ewelina","non-dropping-particle":"","parse-names":false,"suffix":""},{"dropping-particle":"","family":"Jaszczyński","given":"Janusz","non-dropping-particle":"","parse-names":false,"suffix":""}],"container-title":"Current Gynecologic Oncology","id":"ITEM-1","issue":"1","issued":{"date-parts":[["2015"]]},"page":"51-58","title":"Miȩśniakomiȩsak prążkowanokomórkowy o typie pȩcherzykowym okolicy okołocewkowej - Opis przypadku i przegląd literatury","type":"article-journal","volume":"13"},"uris":["http://www.mendeley.com/documents/?uuid=80b370d1-d40a-4457-8f24-d98855570088"]}],"mendeley":{"formattedCitation":"[23]","plainTextFormattedCitation":"[23]","previouslyFormattedCitation":"[23]"},"properties":{"noteIndex":0},"schema":"https://github.com/citation-style-language/schema/raw/master/csl-citation.json"}</w:instrText>
      </w:r>
      <w:r w:rsidR="007978A7" w:rsidRPr="00E11754">
        <w:rPr>
          <w:rFonts w:ascii="Times New Roman" w:eastAsiaTheme="majorEastAsia" w:hAnsi="Times New Roman" w:cs="Times New Roman"/>
          <w:color w:val="0D0D0D" w:themeColor="text1" w:themeTint="F2"/>
          <w:sz w:val="24"/>
          <w:szCs w:val="24"/>
          <w:shd w:val="clear" w:color="auto" w:fill="FFFFFF"/>
        </w:rPr>
        <w:fldChar w:fldCharType="separate"/>
      </w:r>
      <w:r w:rsidR="00794BBE" w:rsidRPr="00794BBE">
        <w:rPr>
          <w:rFonts w:ascii="Times New Roman" w:eastAsiaTheme="majorEastAsia" w:hAnsi="Times New Roman" w:cs="Times New Roman"/>
          <w:noProof/>
          <w:color w:val="0D0D0D" w:themeColor="text1" w:themeTint="F2"/>
          <w:sz w:val="24"/>
          <w:szCs w:val="24"/>
          <w:shd w:val="clear" w:color="auto" w:fill="FFFFFF"/>
        </w:rPr>
        <w:t>[23]</w:t>
      </w:r>
      <w:r w:rsidR="007978A7" w:rsidRPr="00E11754">
        <w:rPr>
          <w:rFonts w:ascii="Times New Roman" w:eastAsiaTheme="majorEastAsia" w:hAnsi="Times New Roman" w:cs="Times New Roman"/>
          <w:color w:val="0D0D0D" w:themeColor="text1" w:themeTint="F2"/>
          <w:sz w:val="24"/>
          <w:szCs w:val="24"/>
          <w:shd w:val="clear" w:color="auto" w:fill="FFFFFF"/>
        </w:rPr>
        <w:fldChar w:fldCharType="end"/>
      </w:r>
      <w:r w:rsidR="00C04E6D" w:rsidRPr="00E11754">
        <w:rPr>
          <w:rFonts w:ascii="Times New Roman" w:eastAsiaTheme="majorEastAsia" w:hAnsi="Times New Roman" w:cs="Times New Roman"/>
          <w:color w:val="0D0D0D" w:themeColor="text1" w:themeTint="F2"/>
          <w:sz w:val="24"/>
          <w:szCs w:val="24"/>
          <w:shd w:val="clear" w:color="auto" w:fill="FFFFFF"/>
        </w:rPr>
        <w:t xml:space="preserve">, </w:t>
      </w:r>
      <w:r w:rsidR="00C04E6D" w:rsidRPr="00E11754">
        <w:rPr>
          <w:rFonts w:ascii="Times New Roman" w:eastAsiaTheme="majorEastAsia" w:hAnsi="Times New Roman" w:cs="Times New Roman"/>
          <w:color w:val="0D0D0D" w:themeColor="text1" w:themeTint="F2"/>
          <w:sz w:val="24"/>
          <w:szCs w:val="24"/>
          <w:shd w:val="clear" w:color="auto" w:fill="FFFFFF"/>
        </w:rPr>
        <w:fldChar w:fldCharType="begin" w:fldLock="1"/>
      </w:r>
      <w:r w:rsidR="00223473">
        <w:rPr>
          <w:rFonts w:ascii="Times New Roman" w:eastAsiaTheme="majorEastAsia" w:hAnsi="Times New Roman" w:cs="Times New Roman"/>
          <w:color w:val="0D0D0D" w:themeColor="text1" w:themeTint="F2"/>
          <w:sz w:val="24"/>
          <w:szCs w:val="24"/>
          <w:shd w:val="clear" w:color="auto" w:fill="FFFFFF"/>
        </w:rPr>
        <w:instrText>ADDIN CSL_CITATION {"citationItems":[{"id":"ITEM-1","itemData":{"DOI":"10.3390/cancers12071758","ISSN":"20726694","abstract":"Rhabdomyosarcoma, the most common soft tissue sarcoma noted in childhood, requires multimodality treatment, including chemotherapy, surgical resection, and/or radiation therapy. The majority of the patients with localized rhabdomyosarcoma can be cured; however, the long-term outcomes in patients with metastatic rhabdomyosarcoma remain poor. The standard chemotherapy regimen for patients with rhabdomyosarcoma is the combination of vincristine, actinomycin, and cyclophosphamide/ifosfamide. In recent clinical trials, modifications of the standard chemotherapy protocol have shown improvements in the outcomes in patients with rhabdomyosarcoma. In various type of malignancies, new treatments, such as molecular targeted drugs and immunotherapies, have shown superior clinical outcomes compared to those of standard treatments. Therefore, it is necessary to assess the benefits of these treatments in patients with rhabdomyosarcoma. Moreover, recent basic and clinical studies on rhabdomyosarcoma have reported promising therapeutic targets and novel therapeutic approaches. This article reviews the recent challenges and advances in the management of rhabdomyosarcoma.","author":[{"dropping-particle":"","family":"Miwa","given":"Shinji","non-dropping-particle":"","parse-names":false,"suffix":""},{"dropping-particle":"","family":"Yamamoto","given":"Norio","non-dropping-particle":"","parse-names":false,"suffix":""},{"dropping-particle":"","family":"Hayashi","given":"Katsuhiro","non-dropping-particle":"","parse-names":false,"suffix":""},{"dropping-particle":"","family":"Takeuchi","given":"Akihiko","non-dropping-particle":"","parse-names":false,"suffix":""},{"dropping-particle":"","family":"Igarashi","given":"Kentaro","non-dropping-particle":"","parse-names":false,"suffix":""},{"dropping-particle":"","family":"Tsuchiya","given":"Hiroyuki","non-dropping-particle":"","parse-names":false,"suffix":""}],"container-title":"Cancers","id":"ITEM-1","issue":"7","issued":{"date-parts":[["2020"]]},"page":"1-18","title":"Recent advances and challenges in the treatment of rhabdomyosarcoma","type":"article-journal","volume":"12"},"uris":["http://www.mendeley.com/documents/?uuid=fc09164f-01ce-4541-876b-9baab16980d0"]}],"mendeley":{"formattedCitation":"[24]","plainTextFormattedCitation":"[24]","previouslyFormattedCitation":"[24]"},"properties":{"noteIndex":0},"schema":"https://github.com/citation-style-language/schema/raw/master/csl-citation.json"}</w:instrText>
      </w:r>
      <w:r w:rsidR="00C04E6D" w:rsidRPr="00E11754">
        <w:rPr>
          <w:rFonts w:ascii="Times New Roman" w:eastAsiaTheme="majorEastAsia" w:hAnsi="Times New Roman" w:cs="Times New Roman"/>
          <w:color w:val="0D0D0D" w:themeColor="text1" w:themeTint="F2"/>
          <w:sz w:val="24"/>
          <w:szCs w:val="24"/>
          <w:shd w:val="clear" w:color="auto" w:fill="FFFFFF"/>
        </w:rPr>
        <w:fldChar w:fldCharType="separate"/>
      </w:r>
      <w:r w:rsidR="00794BBE" w:rsidRPr="00794BBE">
        <w:rPr>
          <w:rFonts w:ascii="Times New Roman" w:eastAsiaTheme="majorEastAsia" w:hAnsi="Times New Roman" w:cs="Times New Roman"/>
          <w:noProof/>
          <w:color w:val="0D0D0D" w:themeColor="text1" w:themeTint="F2"/>
          <w:sz w:val="24"/>
          <w:szCs w:val="24"/>
          <w:shd w:val="clear" w:color="auto" w:fill="FFFFFF"/>
        </w:rPr>
        <w:t>[24]</w:t>
      </w:r>
      <w:r w:rsidR="00C04E6D" w:rsidRPr="00E11754">
        <w:rPr>
          <w:rFonts w:ascii="Times New Roman" w:eastAsiaTheme="majorEastAsia" w:hAnsi="Times New Roman" w:cs="Times New Roman"/>
          <w:color w:val="0D0D0D" w:themeColor="text1" w:themeTint="F2"/>
          <w:sz w:val="24"/>
          <w:szCs w:val="24"/>
          <w:shd w:val="clear" w:color="auto" w:fill="FFFFFF"/>
        </w:rPr>
        <w:fldChar w:fldCharType="end"/>
      </w:r>
      <w:r w:rsidR="007978A7" w:rsidRPr="00E11754">
        <w:rPr>
          <w:rFonts w:ascii="Times New Roman" w:eastAsiaTheme="majorEastAsia" w:hAnsi="Times New Roman" w:cs="Times New Roman"/>
          <w:color w:val="0D0D0D" w:themeColor="text1" w:themeTint="F2"/>
          <w:sz w:val="24"/>
          <w:szCs w:val="24"/>
          <w:shd w:val="clear" w:color="auto" w:fill="FFFFFF"/>
        </w:rPr>
        <w:t>.</w:t>
      </w:r>
      <w:r w:rsidR="00B211CF" w:rsidRPr="00E11754">
        <w:rPr>
          <w:rFonts w:ascii="Times New Roman" w:eastAsiaTheme="majorEastAsia" w:hAnsi="Times New Roman" w:cs="Times New Roman"/>
          <w:color w:val="FF0000"/>
          <w:sz w:val="24"/>
          <w:szCs w:val="24"/>
          <w:shd w:val="clear" w:color="auto" w:fill="FFFFFF"/>
        </w:rPr>
        <w:t xml:space="preserve"> </w:t>
      </w:r>
    </w:p>
    <w:p w14:paraId="2ABBBF21" w14:textId="73827466" w:rsidR="00DC0BDD" w:rsidRPr="00E11754" w:rsidRDefault="00B211CF" w:rsidP="006C6CAA">
      <w:pPr>
        <w:pStyle w:val="Akapitzlist"/>
        <w:numPr>
          <w:ilvl w:val="1"/>
          <w:numId w:val="30"/>
        </w:numPr>
        <w:spacing w:line="360" w:lineRule="auto"/>
        <w:jc w:val="both"/>
        <w:rPr>
          <w:rFonts w:ascii="Times New Roman" w:hAnsi="Times New Roman" w:cs="Times New Roman"/>
          <w:sz w:val="24"/>
          <w:szCs w:val="24"/>
        </w:rPr>
      </w:pPr>
      <w:proofErr w:type="spellStart"/>
      <w:r w:rsidRPr="00E11754">
        <w:rPr>
          <w:rFonts w:ascii="Times New Roman" w:hAnsi="Times New Roman" w:cs="Times New Roman"/>
          <w:b/>
          <w:bCs/>
          <w:sz w:val="24"/>
          <w:szCs w:val="24"/>
          <w:shd w:val="clear" w:color="auto" w:fill="FFFFFF"/>
        </w:rPr>
        <w:t>Mięśniakomięsak</w:t>
      </w:r>
      <w:proofErr w:type="spellEnd"/>
      <w:r w:rsidRPr="00E11754">
        <w:rPr>
          <w:rFonts w:ascii="Times New Roman" w:hAnsi="Times New Roman" w:cs="Times New Roman"/>
          <w:b/>
          <w:bCs/>
          <w:sz w:val="24"/>
          <w:szCs w:val="24"/>
          <w:shd w:val="clear" w:color="auto" w:fill="FFFFFF"/>
        </w:rPr>
        <w:t xml:space="preserve"> </w:t>
      </w:r>
      <w:proofErr w:type="spellStart"/>
      <w:r w:rsidRPr="00E11754">
        <w:rPr>
          <w:rFonts w:ascii="Times New Roman" w:hAnsi="Times New Roman" w:cs="Times New Roman"/>
          <w:b/>
          <w:bCs/>
          <w:sz w:val="24"/>
          <w:szCs w:val="24"/>
          <w:shd w:val="clear" w:color="auto" w:fill="FFFFFF"/>
        </w:rPr>
        <w:t>prążkowanokomórkowy</w:t>
      </w:r>
      <w:proofErr w:type="spellEnd"/>
      <w:r w:rsidRPr="00E11754">
        <w:rPr>
          <w:rFonts w:ascii="Times New Roman" w:hAnsi="Times New Roman" w:cs="Times New Roman"/>
          <w:sz w:val="24"/>
          <w:szCs w:val="24"/>
          <w:shd w:val="clear" w:color="auto" w:fill="FFFFFF"/>
        </w:rPr>
        <w:t> (</w:t>
      </w:r>
      <w:r w:rsidR="003D6F94" w:rsidRPr="00E11754">
        <w:rPr>
          <w:rFonts w:ascii="Times New Roman" w:hAnsi="Times New Roman" w:cs="Times New Roman"/>
          <w:sz w:val="24"/>
          <w:szCs w:val="24"/>
          <w:shd w:val="clear" w:color="auto" w:fill="FFFFFF"/>
        </w:rPr>
        <w:t>RMA</w:t>
      </w:r>
      <w:r w:rsidRPr="7918CE45">
        <w:rPr>
          <w:rFonts w:ascii="Times New Roman" w:hAnsi="Times New Roman" w:cs="Times New Roman"/>
          <w:sz w:val="24"/>
          <w:szCs w:val="24"/>
          <w:shd w:val="clear" w:color="auto" w:fill="FFFFFF"/>
        </w:rPr>
        <w:t>) –</w:t>
      </w:r>
      <w:r w:rsidR="000F680C" w:rsidRPr="7918CE45">
        <w:rPr>
          <w:rFonts w:ascii="Times New Roman" w:hAnsi="Times New Roman" w:cs="Times New Roman"/>
          <w:sz w:val="24"/>
          <w:szCs w:val="24"/>
          <w:shd w:val="clear" w:color="auto" w:fill="FFFFFF"/>
        </w:rPr>
        <w:t xml:space="preserve"> </w:t>
      </w:r>
      <w:r w:rsidR="00665100" w:rsidRPr="7918CE45">
        <w:rPr>
          <w:rFonts w:ascii="Times New Roman" w:hAnsi="Times New Roman" w:cs="Times New Roman"/>
          <w:sz w:val="24"/>
          <w:szCs w:val="24"/>
          <w:shd w:val="clear" w:color="auto" w:fill="FFFFFF"/>
        </w:rPr>
        <w:t xml:space="preserve">jak </w:t>
      </w:r>
      <w:r w:rsidR="007A7981" w:rsidRPr="7918CE45">
        <w:rPr>
          <w:rFonts w:ascii="Times New Roman" w:hAnsi="Times New Roman" w:cs="Times New Roman"/>
          <w:sz w:val="24"/>
          <w:szCs w:val="24"/>
          <w:shd w:val="clear" w:color="auto" w:fill="FFFFFF"/>
        </w:rPr>
        <w:t xml:space="preserve">już </w:t>
      </w:r>
      <w:r w:rsidR="001075DB" w:rsidRPr="7918CE45">
        <w:rPr>
          <w:rFonts w:ascii="Times New Roman" w:hAnsi="Times New Roman" w:cs="Times New Roman"/>
          <w:sz w:val="24"/>
          <w:szCs w:val="24"/>
          <w:shd w:val="clear" w:color="auto" w:fill="FFFFFF"/>
        </w:rPr>
        <w:t xml:space="preserve">powyżej </w:t>
      </w:r>
      <w:r w:rsidR="00665100" w:rsidRPr="7918CE45">
        <w:rPr>
          <w:rFonts w:ascii="Times New Roman" w:hAnsi="Times New Roman" w:cs="Times New Roman"/>
          <w:sz w:val="24"/>
          <w:szCs w:val="24"/>
          <w:shd w:val="clear" w:color="auto" w:fill="FFFFFF"/>
        </w:rPr>
        <w:t>wspomniano</w:t>
      </w:r>
      <w:r w:rsidR="001075DB" w:rsidRPr="7918CE45">
        <w:rPr>
          <w:rFonts w:ascii="Times New Roman" w:hAnsi="Times New Roman" w:cs="Times New Roman"/>
          <w:sz w:val="24"/>
          <w:szCs w:val="24"/>
          <w:shd w:val="clear" w:color="auto" w:fill="FFFFFF"/>
        </w:rPr>
        <w:t>,</w:t>
      </w:r>
      <w:r w:rsidR="00665100" w:rsidRPr="7918CE45">
        <w:rPr>
          <w:rFonts w:ascii="Times New Roman" w:hAnsi="Times New Roman" w:cs="Times New Roman"/>
          <w:sz w:val="24"/>
          <w:szCs w:val="24"/>
          <w:shd w:val="clear" w:color="auto" w:fill="FFFFFF"/>
        </w:rPr>
        <w:t xml:space="preserve"> </w:t>
      </w:r>
      <w:r w:rsidR="000F680C" w:rsidRPr="00E11754">
        <w:rPr>
          <w:rFonts w:ascii="Times New Roman" w:hAnsi="Times New Roman" w:cs="Times New Roman"/>
          <w:sz w:val="24"/>
          <w:szCs w:val="24"/>
          <w:shd w:val="clear" w:color="auto" w:fill="FFFFFF"/>
        </w:rPr>
        <w:t>jest to</w:t>
      </w:r>
      <w:r w:rsidR="00CF13F9" w:rsidRPr="00E11754">
        <w:rPr>
          <w:rFonts w:ascii="Times New Roman" w:hAnsi="Times New Roman" w:cs="Times New Roman"/>
          <w:sz w:val="24"/>
          <w:szCs w:val="24"/>
          <w:shd w:val="clear" w:color="auto" w:fill="FFFFFF"/>
        </w:rPr>
        <w:t xml:space="preserve"> </w:t>
      </w:r>
      <w:r w:rsidRPr="00E11754">
        <w:rPr>
          <w:rFonts w:ascii="Times New Roman" w:hAnsi="Times New Roman" w:cs="Times New Roman"/>
          <w:sz w:val="24"/>
          <w:szCs w:val="24"/>
          <w:shd w:val="clear" w:color="auto" w:fill="FFFFFF"/>
        </w:rPr>
        <w:t>nowot</w:t>
      </w:r>
      <w:r w:rsidR="0005175B" w:rsidRPr="00E11754">
        <w:rPr>
          <w:rFonts w:ascii="Times New Roman" w:hAnsi="Times New Roman" w:cs="Times New Roman"/>
          <w:sz w:val="24"/>
          <w:szCs w:val="24"/>
          <w:shd w:val="clear" w:color="auto" w:fill="FFFFFF"/>
        </w:rPr>
        <w:t>w</w:t>
      </w:r>
      <w:r w:rsidR="007A7981" w:rsidRPr="00E11754">
        <w:rPr>
          <w:rFonts w:ascii="Times New Roman" w:hAnsi="Times New Roman" w:cs="Times New Roman"/>
          <w:sz w:val="24"/>
          <w:szCs w:val="24"/>
          <w:shd w:val="clear" w:color="auto" w:fill="FFFFFF"/>
        </w:rPr>
        <w:t>ó</w:t>
      </w:r>
      <w:r w:rsidR="00CF13F9" w:rsidRPr="00E11754">
        <w:rPr>
          <w:rFonts w:ascii="Times New Roman" w:hAnsi="Times New Roman" w:cs="Times New Roman"/>
          <w:sz w:val="24"/>
          <w:szCs w:val="24"/>
          <w:shd w:val="clear" w:color="auto" w:fill="FFFFFF"/>
        </w:rPr>
        <w:t xml:space="preserve">r </w:t>
      </w:r>
      <w:r w:rsidR="00A866DC" w:rsidRPr="00E11754">
        <w:rPr>
          <w:rFonts w:ascii="Times New Roman" w:hAnsi="Times New Roman" w:cs="Times New Roman"/>
          <w:sz w:val="24"/>
          <w:szCs w:val="24"/>
          <w:shd w:val="clear" w:color="auto" w:fill="FFFFFF"/>
        </w:rPr>
        <w:t xml:space="preserve">z rodzaju </w:t>
      </w:r>
      <w:r w:rsidR="00CF13F9" w:rsidRPr="00E11754">
        <w:rPr>
          <w:rFonts w:ascii="Times New Roman" w:hAnsi="Times New Roman" w:cs="Times New Roman"/>
          <w:sz w:val="24"/>
          <w:szCs w:val="24"/>
          <w:shd w:val="clear" w:color="auto" w:fill="FFFFFF"/>
        </w:rPr>
        <w:t>RMS</w:t>
      </w:r>
      <w:r w:rsidR="7918CE45" w:rsidRPr="7918CE45">
        <w:rPr>
          <w:rFonts w:ascii="Times New Roman" w:hAnsi="Times New Roman" w:cs="Times New Roman"/>
          <w:sz w:val="24"/>
          <w:szCs w:val="24"/>
        </w:rPr>
        <w:t xml:space="preserve"> najczęściej diagnozowany u dzieci, który </w:t>
      </w:r>
      <w:r w:rsidR="007F74AC" w:rsidRPr="00E11754">
        <w:rPr>
          <w:rFonts w:ascii="Times New Roman" w:hAnsi="Times New Roman" w:cs="Times New Roman"/>
          <w:sz w:val="24"/>
          <w:szCs w:val="24"/>
          <w:shd w:val="clear" w:color="auto" w:fill="FFFFFF"/>
        </w:rPr>
        <w:t>należy do</w:t>
      </w:r>
      <w:r w:rsidRPr="00E11754">
        <w:rPr>
          <w:rFonts w:ascii="Times New Roman" w:hAnsi="Times New Roman" w:cs="Times New Roman"/>
          <w:sz w:val="24"/>
          <w:szCs w:val="24"/>
          <w:shd w:val="clear" w:color="auto" w:fill="FFFFFF"/>
        </w:rPr>
        <w:t xml:space="preserve"> </w:t>
      </w:r>
      <w:r w:rsidR="00285736" w:rsidRPr="00E11754">
        <w:rPr>
          <w:rFonts w:ascii="Times New Roman" w:hAnsi="Times New Roman" w:cs="Times New Roman"/>
          <w:sz w:val="24"/>
          <w:szCs w:val="24"/>
          <w:shd w:val="clear" w:color="auto" w:fill="FFFFFF"/>
        </w:rPr>
        <w:t xml:space="preserve">mięsaków </w:t>
      </w:r>
      <w:r w:rsidRPr="00E11754">
        <w:rPr>
          <w:rFonts w:ascii="Times New Roman" w:hAnsi="Times New Roman" w:cs="Times New Roman"/>
          <w:sz w:val="24"/>
          <w:szCs w:val="24"/>
          <w:shd w:val="clear" w:color="auto" w:fill="FFFFFF"/>
        </w:rPr>
        <w:t>tkanek miękkich</w:t>
      </w:r>
      <w:r w:rsidR="00F0765C" w:rsidRPr="00E11754">
        <w:rPr>
          <w:rFonts w:ascii="Times New Roman" w:hAnsi="Times New Roman" w:cs="Times New Roman"/>
          <w:sz w:val="24"/>
          <w:szCs w:val="24"/>
          <w:shd w:val="clear" w:color="auto" w:fill="FFFFFF"/>
        </w:rPr>
        <w:t xml:space="preserve"> (MTM)</w:t>
      </w:r>
      <w:r w:rsidR="00285736" w:rsidRPr="00E11754">
        <w:rPr>
          <w:rFonts w:ascii="Times New Roman" w:hAnsi="Times New Roman" w:cs="Times New Roman"/>
          <w:sz w:val="24"/>
          <w:szCs w:val="24"/>
          <w:shd w:val="clear" w:color="auto" w:fill="FFFFFF"/>
        </w:rPr>
        <w:t xml:space="preserve"> (</w:t>
      </w:r>
      <w:r w:rsidR="005F0EFB" w:rsidRPr="00E11754">
        <w:rPr>
          <w:rFonts w:ascii="Times New Roman" w:hAnsi="Times New Roman" w:cs="Times New Roman"/>
          <w:sz w:val="24"/>
          <w:szCs w:val="24"/>
          <w:shd w:val="clear" w:color="auto" w:fill="FFFFFF"/>
        </w:rPr>
        <w:t>ang.</w:t>
      </w:r>
      <w:r w:rsidR="00F20458" w:rsidRPr="00E11754">
        <w:rPr>
          <w:rFonts w:ascii="Times New Roman" w:hAnsi="Times New Roman" w:cs="Times New Roman"/>
          <w:sz w:val="24"/>
          <w:szCs w:val="24"/>
          <w:shd w:val="clear" w:color="auto" w:fill="FFFFFF"/>
        </w:rPr>
        <w:t xml:space="preserve"> </w:t>
      </w:r>
      <w:proofErr w:type="spellStart"/>
      <w:r w:rsidR="00F20458" w:rsidRPr="7918CE45">
        <w:rPr>
          <w:rFonts w:ascii="Times New Roman" w:hAnsi="Times New Roman" w:cs="Times New Roman"/>
          <w:i/>
          <w:iCs/>
          <w:sz w:val="24"/>
          <w:szCs w:val="24"/>
          <w:shd w:val="clear" w:color="auto" w:fill="FFFFFF"/>
        </w:rPr>
        <w:t>Soft</w:t>
      </w:r>
      <w:proofErr w:type="spellEnd"/>
      <w:r w:rsidR="00F20458" w:rsidRPr="7918CE45">
        <w:rPr>
          <w:rFonts w:ascii="Times New Roman" w:hAnsi="Times New Roman" w:cs="Times New Roman"/>
          <w:i/>
          <w:iCs/>
          <w:sz w:val="24"/>
          <w:szCs w:val="24"/>
          <w:shd w:val="clear" w:color="auto" w:fill="FFFFFF"/>
        </w:rPr>
        <w:t xml:space="preserve"> </w:t>
      </w:r>
      <w:proofErr w:type="spellStart"/>
      <w:r w:rsidR="00F20458" w:rsidRPr="7918CE45">
        <w:rPr>
          <w:rFonts w:ascii="Times New Roman" w:hAnsi="Times New Roman" w:cs="Times New Roman"/>
          <w:i/>
          <w:iCs/>
          <w:sz w:val="24"/>
          <w:szCs w:val="24"/>
          <w:shd w:val="clear" w:color="auto" w:fill="FFFFFF"/>
        </w:rPr>
        <w:t>Tissue</w:t>
      </w:r>
      <w:proofErr w:type="spellEnd"/>
      <w:r w:rsidR="00F20458" w:rsidRPr="7918CE45">
        <w:rPr>
          <w:rFonts w:ascii="Times New Roman" w:hAnsi="Times New Roman" w:cs="Times New Roman"/>
          <w:i/>
          <w:iCs/>
          <w:sz w:val="24"/>
          <w:szCs w:val="24"/>
          <w:shd w:val="clear" w:color="auto" w:fill="FFFFFF"/>
        </w:rPr>
        <w:t xml:space="preserve"> </w:t>
      </w:r>
      <w:proofErr w:type="spellStart"/>
      <w:r w:rsidR="00F20458" w:rsidRPr="7918CE45">
        <w:rPr>
          <w:rFonts w:ascii="Times New Roman" w:hAnsi="Times New Roman" w:cs="Times New Roman"/>
          <w:i/>
          <w:iCs/>
          <w:sz w:val="24"/>
          <w:szCs w:val="24"/>
          <w:shd w:val="clear" w:color="auto" w:fill="FFFFFF"/>
        </w:rPr>
        <w:t>Sarcoma</w:t>
      </w:r>
      <w:proofErr w:type="spellEnd"/>
      <w:r w:rsidR="00F20458" w:rsidRPr="7918CE45">
        <w:rPr>
          <w:rFonts w:ascii="Times New Roman" w:hAnsi="Times New Roman" w:cs="Times New Roman"/>
          <w:i/>
          <w:iCs/>
          <w:sz w:val="24"/>
          <w:szCs w:val="24"/>
          <w:shd w:val="clear" w:color="auto" w:fill="FFFFFF"/>
        </w:rPr>
        <w:t>,</w:t>
      </w:r>
      <w:r w:rsidR="005F0EFB" w:rsidRPr="00E11754">
        <w:rPr>
          <w:rFonts w:ascii="Times New Roman" w:hAnsi="Times New Roman" w:cs="Times New Roman"/>
          <w:sz w:val="24"/>
          <w:szCs w:val="24"/>
          <w:shd w:val="clear" w:color="auto" w:fill="FFFFFF"/>
        </w:rPr>
        <w:t xml:space="preserve"> </w:t>
      </w:r>
      <w:r w:rsidR="00F0765C" w:rsidRPr="00E11754">
        <w:rPr>
          <w:rFonts w:ascii="Times New Roman" w:hAnsi="Times New Roman" w:cs="Times New Roman"/>
          <w:sz w:val="24"/>
          <w:szCs w:val="24"/>
          <w:shd w:val="clear" w:color="auto" w:fill="FFFFFF"/>
        </w:rPr>
        <w:t>S</w:t>
      </w:r>
      <w:r w:rsidR="00285736" w:rsidRPr="00E11754">
        <w:rPr>
          <w:rFonts w:ascii="Times New Roman" w:hAnsi="Times New Roman" w:cs="Times New Roman"/>
          <w:sz w:val="24"/>
          <w:szCs w:val="24"/>
          <w:shd w:val="clear" w:color="auto" w:fill="FFFFFF"/>
        </w:rPr>
        <w:t>T</w:t>
      </w:r>
      <w:r w:rsidR="00F0765C" w:rsidRPr="00E11754">
        <w:rPr>
          <w:rFonts w:ascii="Times New Roman" w:hAnsi="Times New Roman" w:cs="Times New Roman"/>
          <w:sz w:val="24"/>
          <w:szCs w:val="24"/>
          <w:shd w:val="clear" w:color="auto" w:fill="FFFFFF"/>
        </w:rPr>
        <w:t>S</w:t>
      </w:r>
      <w:r w:rsidR="00285736" w:rsidRPr="00E11754">
        <w:rPr>
          <w:rFonts w:ascii="Times New Roman" w:hAnsi="Times New Roman" w:cs="Times New Roman"/>
          <w:sz w:val="24"/>
          <w:szCs w:val="24"/>
          <w:shd w:val="clear" w:color="auto" w:fill="FFFFFF"/>
        </w:rPr>
        <w:t>)</w:t>
      </w:r>
      <w:r w:rsidR="00C62476" w:rsidRPr="00E11754">
        <w:rPr>
          <w:rStyle w:val="Odwoaniedokomentarza"/>
          <w:rFonts w:ascii="Times New Roman" w:hAnsi="Times New Roman" w:cs="Times New Roman"/>
          <w:sz w:val="24"/>
          <w:szCs w:val="24"/>
        </w:rPr>
        <w:t xml:space="preserve">. Ten typ </w:t>
      </w:r>
      <w:r w:rsidR="007543E3" w:rsidRPr="00E11754">
        <w:rPr>
          <w:rStyle w:val="Odwoaniedokomentarza"/>
          <w:rFonts w:ascii="Times New Roman" w:hAnsi="Times New Roman" w:cs="Times New Roman"/>
          <w:sz w:val="24"/>
          <w:szCs w:val="24"/>
        </w:rPr>
        <w:t>nowotworu</w:t>
      </w:r>
      <w:r w:rsidR="00353A1B" w:rsidRPr="00E11754">
        <w:rPr>
          <w:rStyle w:val="Odwoaniedokomentarza"/>
          <w:rFonts w:ascii="Times New Roman" w:hAnsi="Times New Roman" w:cs="Times New Roman"/>
          <w:sz w:val="24"/>
          <w:szCs w:val="24"/>
        </w:rPr>
        <w:t xml:space="preserve"> często</w:t>
      </w:r>
      <w:r w:rsidR="00C62476" w:rsidRPr="00E11754">
        <w:rPr>
          <w:rStyle w:val="Odwoaniedokomentarza"/>
          <w:rFonts w:ascii="Times New Roman" w:hAnsi="Times New Roman" w:cs="Times New Roman"/>
          <w:sz w:val="24"/>
          <w:szCs w:val="24"/>
        </w:rPr>
        <w:t xml:space="preserve"> </w:t>
      </w:r>
      <w:r w:rsidR="00353A1B" w:rsidRPr="00E11754">
        <w:rPr>
          <w:rStyle w:val="Odwoaniedokomentarza"/>
          <w:rFonts w:ascii="Times New Roman" w:hAnsi="Times New Roman" w:cs="Times New Roman"/>
          <w:sz w:val="24"/>
          <w:szCs w:val="24"/>
        </w:rPr>
        <w:t>ma bardzo</w:t>
      </w:r>
      <w:r w:rsidR="00C62476" w:rsidRPr="00E11754">
        <w:rPr>
          <w:rStyle w:val="Odwoaniedokomentarza"/>
          <w:rFonts w:ascii="Times New Roman" w:hAnsi="Times New Roman" w:cs="Times New Roman"/>
          <w:sz w:val="24"/>
          <w:szCs w:val="24"/>
        </w:rPr>
        <w:t xml:space="preserve"> </w:t>
      </w:r>
      <w:r w:rsidR="006606B2" w:rsidRPr="00E11754">
        <w:rPr>
          <w:rStyle w:val="Odwoaniedokomentarza"/>
          <w:rFonts w:ascii="Times New Roman" w:hAnsi="Times New Roman" w:cs="Times New Roman"/>
          <w:sz w:val="24"/>
          <w:szCs w:val="24"/>
        </w:rPr>
        <w:t>agresywny przebieg.</w:t>
      </w:r>
      <w:r w:rsidR="00DC0BDD" w:rsidRPr="00E11754">
        <w:rPr>
          <w:rStyle w:val="Odwoaniedokomentarza"/>
          <w:rFonts w:ascii="Times New Roman" w:hAnsi="Times New Roman" w:cs="Times New Roman"/>
          <w:sz w:val="24"/>
          <w:szCs w:val="24"/>
        </w:rPr>
        <w:t xml:space="preserve"> </w:t>
      </w:r>
      <w:r w:rsidR="00D036D0" w:rsidRPr="00E11754">
        <w:rPr>
          <w:rStyle w:val="Odwoaniedokomentarza"/>
          <w:rFonts w:ascii="Times New Roman" w:hAnsi="Times New Roman" w:cs="Times New Roman"/>
          <w:sz w:val="24"/>
          <w:szCs w:val="24"/>
        </w:rPr>
        <w:t>W wyniku szybkiego rozrostu</w:t>
      </w:r>
      <w:r w:rsidR="00953F21" w:rsidRPr="00E11754">
        <w:rPr>
          <w:rStyle w:val="Odwoaniedokomentarza"/>
          <w:rFonts w:ascii="Times New Roman" w:hAnsi="Times New Roman" w:cs="Times New Roman"/>
          <w:sz w:val="24"/>
          <w:szCs w:val="24"/>
        </w:rPr>
        <w:t xml:space="preserve">, często powoduje przerzuty </w:t>
      </w:r>
      <w:r w:rsidR="001C52D9" w:rsidRPr="00E11754">
        <w:rPr>
          <w:rStyle w:val="Odwoaniedokomentarza"/>
          <w:rFonts w:ascii="Times New Roman" w:hAnsi="Times New Roman" w:cs="Times New Roman"/>
          <w:sz w:val="24"/>
          <w:szCs w:val="24"/>
        </w:rPr>
        <w:t>do węzłów chłonnych</w:t>
      </w:r>
      <w:r w:rsidR="00EE4F52" w:rsidRPr="00E11754">
        <w:rPr>
          <w:rStyle w:val="Odwoaniedokomentarza"/>
          <w:rFonts w:ascii="Times New Roman" w:hAnsi="Times New Roman" w:cs="Times New Roman"/>
          <w:sz w:val="24"/>
          <w:szCs w:val="24"/>
        </w:rPr>
        <w:t xml:space="preserve"> i dalszych narządów.</w:t>
      </w:r>
      <w:r w:rsidR="001C52D9" w:rsidRPr="00E11754">
        <w:rPr>
          <w:rStyle w:val="Odwoaniedokomentarza"/>
          <w:rFonts w:ascii="Times New Roman" w:hAnsi="Times New Roman" w:cs="Times New Roman"/>
          <w:sz w:val="24"/>
          <w:szCs w:val="24"/>
        </w:rPr>
        <w:t xml:space="preserve"> </w:t>
      </w:r>
      <w:r w:rsidR="0028226D" w:rsidRPr="00E11754">
        <w:rPr>
          <w:rStyle w:val="Odwoaniedokomentarza"/>
          <w:rFonts w:ascii="Times New Roman" w:hAnsi="Times New Roman" w:cs="Times New Roman"/>
          <w:sz w:val="24"/>
          <w:szCs w:val="24"/>
        </w:rPr>
        <w:t>Po zdiagnozowaniu</w:t>
      </w:r>
      <w:r w:rsidR="00E43DAF" w:rsidRPr="00E11754">
        <w:rPr>
          <w:rStyle w:val="Odwoaniedokomentarza"/>
          <w:rFonts w:ascii="Times New Roman" w:hAnsi="Times New Roman" w:cs="Times New Roman"/>
          <w:sz w:val="24"/>
          <w:szCs w:val="24"/>
        </w:rPr>
        <w:t xml:space="preserve"> RMA</w:t>
      </w:r>
      <w:r w:rsidR="0028226D" w:rsidRPr="00E11754">
        <w:rPr>
          <w:rStyle w:val="Odwoaniedokomentarza"/>
          <w:rFonts w:ascii="Times New Roman" w:hAnsi="Times New Roman" w:cs="Times New Roman"/>
          <w:sz w:val="24"/>
          <w:szCs w:val="24"/>
        </w:rPr>
        <w:t>, w zależności od stadium choroby oraz lokalizacji nowotworu, zaleca się resekcję chirurgiczną połączoną z chemioterapi</w:t>
      </w:r>
      <w:r w:rsidR="005F0EFB" w:rsidRPr="00E11754">
        <w:rPr>
          <w:rStyle w:val="Odwoaniedokomentarza"/>
          <w:rFonts w:ascii="Times New Roman" w:hAnsi="Times New Roman" w:cs="Times New Roman"/>
          <w:sz w:val="24"/>
          <w:szCs w:val="24"/>
        </w:rPr>
        <w:t>ą</w:t>
      </w:r>
      <w:r w:rsidR="0028226D" w:rsidRPr="00E11754">
        <w:rPr>
          <w:rStyle w:val="Odwoaniedokomentarza"/>
          <w:rFonts w:ascii="Times New Roman" w:hAnsi="Times New Roman" w:cs="Times New Roman"/>
          <w:sz w:val="24"/>
          <w:szCs w:val="24"/>
        </w:rPr>
        <w:t xml:space="preserve"> oraz radioterapią. </w:t>
      </w:r>
      <w:r w:rsidR="00AA1FF9" w:rsidRPr="00E11754">
        <w:rPr>
          <w:rStyle w:val="Odwoaniedokomentarza"/>
          <w:rFonts w:ascii="Times New Roman" w:hAnsi="Times New Roman" w:cs="Times New Roman"/>
          <w:sz w:val="24"/>
          <w:szCs w:val="24"/>
        </w:rPr>
        <w:t xml:space="preserve">Często, pomimo zastosowanego leczenia, </w:t>
      </w:r>
      <w:r w:rsidR="008446AA" w:rsidRPr="00E11754">
        <w:rPr>
          <w:rStyle w:val="Odwoaniedokomentarza"/>
          <w:rFonts w:ascii="Times New Roman" w:hAnsi="Times New Roman" w:cs="Times New Roman"/>
          <w:sz w:val="24"/>
          <w:szCs w:val="24"/>
        </w:rPr>
        <w:t xml:space="preserve">pojawiają się nawroty choroby a </w:t>
      </w:r>
      <w:r w:rsidR="00AA1FF9" w:rsidRPr="00E11754">
        <w:rPr>
          <w:rStyle w:val="Odwoaniedokomentarza"/>
          <w:rFonts w:ascii="Times New Roman" w:hAnsi="Times New Roman" w:cs="Times New Roman"/>
          <w:sz w:val="24"/>
          <w:szCs w:val="24"/>
        </w:rPr>
        <w:t xml:space="preserve">rokowania są bardzo </w:t>
      </w:r>
      <w:r w:rsidR="008446AA" w:rsidRPr="00E11754">
        <w:rPr>
          <w:rStyle w:val="Odwoaniedokomentarza"/>
          <w:rFonts w:ascii="Times New Roman" w:hAnsi="Times New Roman" w:cs="Times New Roman"/>
          <w:sz w:val="24"/>
          <w:szCs w:val="24"/>
        </w:rPr>
        <w:t>złe</w:t>
      </w:r>
      <w:r w:rsidR="00BC7736" w:rsidRPr="00E11754">
        <w:rPr>
          <w:rStyle w:val="Odwoaniedokomentarza"/>
          <w:rFonts w:ascii="Times New Roman" w:hAnsi="Times New Roman" w:cs="Times New Roman"/>
          <w:sz w:val="24"/>
          <w:szCs w:val="24"/>
        </w:rPr>
        <w:t xml:space="preserve"> </w:t>
      </w:r>
      <w:r w:rsidR="00BC7736" w:rsidRPr="00E11754">
        <w:rPr>
          <w:rStyle w:val="Odwoaniedokomentarza"/>
          <w:rFonts w:ascii="Times New Roman" w:hAnsi="Times New Roman" w:cs="Times New Roman"/>
          <w:sz w:val="24"/>
          <w:szCs w:val="24"/>
        </w:rPr>
        <w:fldChar w:fldCharType="begin" w:fldLock="1"/>
      </w:r>
      <w:r w:rsidR="00223473">
        <w:rPr>
          <w:rStyle w:val="Odwoaniedokomentarza"/>
          <w:rFonts w:ascii="Times New Roman" w:hAnsi="Times New Roman" w:cs="Times New Roman"/>
          <w:sz w:val="24"/>
          <w:szCs w:val="24"/>
        </w:rPr>
        <w:instrText>ADDIN CSL_CITATION {"citationItems":[{"id":"ITEM-1","itemData":{"DOI":"10.15557/CGO.2015.0006","ISSN":"20811632","abstract":"Introduction: Soft tissue sarcoma accounts for 1% of malignant neoplasms detected in adult patients in Poland. Their primary localization in the urogenital system is rare. Aim of the paper: To present a case of rhabdomyosarcoma alveolare of the urogenital region in a 40-year-old female patient and conduct a literature review. Material and methods: The retrospective analysis involved medical records of the patient hospitalized in the Oncology Center in Krakow. The available literature on soft tissue sarcoma in the urogenital region was reviewed. Results: A 40-year-old patient presented at the Oncology Center with a lesion in the area of the external opening of the urethra. The histopathological examination of the specimen confirmed the presence of rhabdomyosarcoma alveolare. Since the surgical procedure was not radical, postoperative brachytherapy was conducted. Thirteen months later, a local relapse was diagnosed and removed together with a fragment of the urethra. In the edges of surgical cuts, neoplastic tissue was detected. Postoperative chemo- and teleradiotherapy were started. The literature review demonstrated few case reports of alveolar rhabdomyosarcoma of the urogenital region in adult women. Discussion: Rhabdomyosarcoma is a childhood sarcoma. The results of retrospective studies indicate poor prognosis in adult patients, and the alveolar type is characterized by an aggressive course. This case report confirms the tendency of the neoplasm to recur locally. Conclusions: Rhabdomyosarcoma alveolare of the urogenital region in adult women is a very rare and highly aggressive neoplasm that tends to recur. The rare occurrence of this disease indicates that it should be diagnosed and treated in specialized centers. The urogenital localization does not allow radical surgical treatment and limits postoperative radiotherapy. Individualized combined treatment is therefore necessary.","author":[{"dropping-particle":"","family":"Kojs","given":"Zbigniew","non-dropping-particle":"","parse-names":false,"suffix":""},{"dropping-particle":"","family":"Jankiewicz","given":"Michał","non-dropping-particle":"","parse-names":false,"suffix":""},{"dropping-particle":"","family":"Kojs-Pasińska","given":"Ewelina","non-dropping-particle":"","parse-names":false,"suffix":""},{"dropping-particle":"","family":"Jaszczyński","given":"Janusz","non-dropping-particle":"","parse-names":false,"suffix":""}],"container-title":"Current Gynecologic Oncology","id":"ITEM-1","issue":"1","issued":{"date-parts":[["2015"]]},"page":"51-58","title":"Miȩśniakomiȩsak prążkowanokomórkowy o typie pȩcherzykowym okolicy okołocewkowej - Opis przypadku i przegląd literatury","type":"article-journal","volume":"13"},"uris":["http://www.mendeley.com/documents/?uuid=80b370d1-d40a-4457-8f24-d98855570088"]}],"mendeley":{"formattedCitation":"[23]","plainTextFormattedCitation":"[23]","previouslyFormattedCitation":"[23]"},"properties":{"noteIndex":0},"schema":"https://github.com/citation-style-language/schema/raw/master/csl-citation.json"}</w:instrText>
      </w:r>
      <w:r w:rsidR="00BC7736" w:rsidRPr="00E11754">
        <w:rPr>
          <w:rStyle w:val="Odwoaniedokomentarza"/>
          <w:rFonts w:ascii="Times New Roman" w:hAnsi="Times New Roman" w:cs="Times New Roman"/>
          <w:sz w:val="24"/>
          <w:szCs w:val="24"/>
        </w:rPr>
        <w:fldChar w:fldCharType="separate"/>
      </w:r>
      <w:r w:rsidR="00794BBE" w:rsidRPr="00794BBE">
        <w:rPr>
          <w:rStyle w:val="Odwoaniedokomentarza"/>
          <w:rFonts w:ascii="Times New Roman" w:hAnsi="Times New Roman" w:cs="Times New Roman"/>
          <w:noProof/>
          <w:sz w:val="24"/>
          <w:szCs w:val="24"/>
        </w:rPr>
        <w:t>[23]</w:t>
      </w:r>
      <w:r w:rsidR="00BC7736" w:rsidRPr="00E11754">
        <w:rPr>
          <w:rStyle w:val="Odwoaniedokomentarza"/>
          <w:rFonts w:ascii="Times New Roman" w:hAnsi="Times New Roman" w:cs="Times New Roman"/>
          <w:sz w:val="24"/>
          <w:szCs w:val="24"/>
        </w:rPr>
        <w:fldChar w:fldCharType="end"/>
      </w:r>
      <w:r w:rsidR="00BC7736" w:rsidRPr="7918CE45">
        <w:rPr>
          <w:rFonts w:ascii="Times New Roman" w:eastAsiaTheme="majorEastAsia" w:hAnsi="Times New Roman" w:cs="Times New Roman"/>
          <w:color w:val="0D0D0D" w:themeColor="text1" w:themeTint="F2"/>
          <w:sz w:val="24"/>
          <w:szCs w:val="24"/>
          <w:shd w:val="clear" w:color="auto" w:fill="FFFFFF"/>
        </w:rPr>
        <w:t>.</w:t>
      </w:r>
    </w:p>
    <w:p w14:paraId="2C46CF4B" w14:textId="3FB5DC9C" w:rsidR="00380983" w:rsidRPr="00E11754" w:rsidRDefault="00B211CF">
      <w:pPr>
        <w:pStyle w:val="Akapitzlist"/>
        <w:numPr>
          <w:ilvl w:val="0"/>
          <w:numId w:val="31"/>
        </w:numPr>
        <w:spacing w:after="0" w:line="360" w:lineRule="auto"/>
        <w:jc w:val="both"/>
        <w:rPr>
          <w:rFonts w:ascii="Times New Roman" w:hAnsi="Times New Roman" w:cs="Times New Roman"/>
          <w:sz w:val="24"/>
          <w:szCs w:val="24"/>
        </w:rPr>
      </w:pPr>
      <w:proofErr w:type="spellStart"/>
      <w:r w:rsidRPr="00E11754">
        <w:rPr>
          <w:rFonts w:ascii="Times New Roman" w:hAnsi="Times New Roman" w:cs="Times New Roman"/>
          <w:b/>
          <w:bCs/>
          <w:sz w:val="24"/>
          <w:szCs w:val="24"/>
          <w:shd w:val="clear" w:color="auto" w:fill="FFFFFF"/>
        </w:rPr>
        <w:t>Naczyniakomięsak</w:t>
      </w:r>
      <w:proofErr w:type="spellEnd"/>
      <w:r w:rsidRPr="00E11754">
        <w:rPr>
          <w:rFonts w:ascii="Times New Roman" w:hAnsi="Times New Roman" w:cs="Times New Roman"/>
          <w:b/>
          <w:bCs/>
          <w:sz w:val="24"/>
          <w:szCs w:val="24"/>
          <w:shd w:val="clear" w:color="auto" w:fill="FFFFFF"/>
        </w:rPr>
        <w:t xml:space="preserve"> serca</w:t>
      </w:r>
      <w:r w:rsidR="00C653BB" w:rsidRPr="00E11754">
        <w:rPr>
          <w:rFonts w:ascii="Times New Roman" w:hAnsi="Times New Roman" w:cs="Times New Roman"/>
          <w:sz w:val="24"/>
          <w:szCs w:val="24"/>
        </w:rPr>
        <w:t xml:space="preserve"> </w:t>
      </w:r>
      <w:r w:rsidRPr="00E11754">
        <w:rPr>
          <w:rFonts w:ascii="Times New Roman" w:hAnsi="Times New Roman" w:cs="Times New Roman"/>
          <w:sz w:val="24"/>
          <w:szCs w:val="24"/>
        </w:rPr>
        <w:t>(</w:t>
      </w:r>
      <w:r w:rsidR="0005175B" w:rsidRPr="00E11754">
        <w:rPr>
          <w:rFonts w:ascii="Times New Roman" w:hAnsi="Times New Roman" w:cs="Times New Roman"/>
          <w:sz w:val="24"/>
          <w:szCs w:val="24"/>
        </w:rPr>
        <w:t xml:space="preserve">ang. </w:t>
      </w:r>
      <w:proofErr w:type="spellStart"/>
      <w:r w:rsidR="0005175B" w:rsidRPr="52C15979">
        <w:rPr>
          <w:rFonts w:ascii="Times New Roman" w:hAnsi="Times New Roman" w:cs="Times New Roman"/>
          <w:i/>
          <w:iCs/>
          <w:sz w:val="24"/>
          <w:szCs w:val="24"/>
        </w:rPr>
        <w:t>C</w:t>
      </w:r>
      <w:r w:rsidR="00C653BB" w:rsidRPr="52C15979">
        <w:rPr>
          <w:rFonts w:ascii="Times New Roman" w:hAnsi="Times New Roman" w:cs="Times New Roman"/>
          <w:i/>
          <w:iCs/>
          <w:sz w:val="24"/>
          <w:szCs w:val="24"/>
        </w:rPr>
        <w:t>ardiac</w:t>
      </w:r>
      <w:proofErr w:type="spellEnd"/>
      <w:r w:rsidR="00C653BB" w:rsidRPr="52C15979">
        <w:rPr>
          <w:rFonts w:ascii="Times New Roman" w:hAnsi="Times New Roman" w:cs="Times New Roman"/>
          <w:i/>
          <w:iCs/>
          <w:sz w:val="24"/>
          <w:szCs w:val="24"/>
        </w:rPr>
        <w:t xml:space="preserve"> </w:t>
      </w:r>
      <w:proofErr w:type="spellStart"/>
      <w:r w:rsidR="0005175B" w:rsidRPr="52C15979">
        <w:rPr>
          <w:rFonts w:ascii="Times New Roman" w:hAnsi="Times New Roman" w:cs="Times New Roman"/>
          <w:i/>
          <w:iCs/>
          <w:sz w:val="24"/>
          <w:szCs w:val="24"/>
        </w:rPr>
        <w:t>A</w:t>
      </w:r>
      <w:r w:rsidR="00C653BB" w:rsidRPr="52C15979">
        <w:rPr>
          <w:rFonts w:ascii="Times New Roman" w:hAnsi="Times New Roman" w:cs="Times New Roman"/>
          <w:i/>
          <w:iCs/>
          <w:sz w:val="24"/>
          <w:szCs w:val="24"/>
        </w:rPr>
        <w:t>ngiosarcoma</w:t>
      </w:r>
      <w:proofErr w:type="spellEnd"/>
      <w:r w:rsidR="002A6E95" w:rsidRPr="00E11754">
        <w:rPr>
          <w:rFonts w:ascii="Times New Roman" w:hAnsi="Times New Roman" w:cs="Times New Roman"/>
          <w:sz w:val="24"/>
          <w:szCs w:val="24"/>
        </w:rPr>
        <w:t>,</w:t>
      </w:r>
      <w:r w:rsidRPr="00E11754">
        <w:rPr>
          <w:rFonts w:ascii="Times New Roman" w:hAnsi="Times New Roman" w:cs="Times New Roman"/>
          <w:sz w:val="24"/>
          <w:szCs w:val="24"/>
        </w:rPr>
        <w:t xml:space="preserve"> AS)</w:t>
      </w:r>
      <w:r w:rsidR="005F0EFB" w:rsidRPr="00E11754">
        <w:rPr>
          <w:rFonts w:ascii="Times New Roman" w:hAnsi="Times New Roman" w:cs="Times New Roman"/>
          <w:sz w:val="24"/>
          <w:szCs w:val="24"/>
        </w:rPr>
        <w:t xml:space="preserve"> –</w:t>
      </w:r>
      <w:r w:rsidRPr="00E11754">
        <w:rPr>
          <w:rFonts w:ascii="Times New Roman" w:hAnsi="Times New Roman" w:cs="Times New Roman"/>
          <w:sz w:val="24"/>
          <w:szCs w:val="24"/>
        </w:rPr>
        <w:t xml:space="preserve"> nowotwór </w:t>
      </w:r>
      <w:r w:rsidR="005F0EFB" w:rsidRPr="00E11754">
        <w:rPr>
          <w:rFonts w:ascii="Times New Roman" w:hAnsi="Times New Roman" w:cs="Times New Roman"/>
          <w:sz w:val="24"/>
          <w:szCs w:val="24"/>
        </w:rPr>
        <w:t xml:space="preserve">najbardziej rzadkich nowotworów </w:t>
      </w:r>
      <w:r w:rsidRPr="00E11754">
        <w:rPr>
          <w:rFonts w:ascii="Times New Roman" w:hAnsi="Times New Roman" w:cs="Times New Roman"/>
          <w:sz w:val="24"/>
          <w:szCs w:val="24"/>
        </w:rPr>
        <w:t>należący</w:t>
      </w:r>
      <w:r w:rsidR="005F0EFB" w:rsidRPr="00E11754">
        <w:rPr>
          <w:rFonts w:ascii="Times New Roman" w:hAnsi="Times New Roman" w:cs="Times New Roman"/>
          <w:sz w:val="24"/>
          <w:szCs w:val="24"/>
        </w:rPr>
        <w:t>ch</w:t>
      </w:r>
      <w:r w:rsidRPr="00E11754">
        <w:rPr>
          <w:rFonts w:ascii="Times New Roman" w:hAnsi="Times New Roman" w:cs="Times New Roman"/>
          <w:sz w:val="24"/>
          <w:szCs w:val="24"/>
        </w:rPr>
        <w:t xml:space="preserve"> do grupy </w:t>
      </w:r>
      <w:r w:rsidR="00285736" w:rsidRPr="00E11754">
        <w:rPr>
          <w:rFonts w:ascii="Times New Roman" w:hAnsi="Times New Roman" w:cs="Times New Roman"/>
          <w:sz w:val="24"/>
          <w:szCs w:val="24"/>
        </w:rPr>
        <w:t>MTM</w:t>
      </w:r>
      <w:r w:rsidR="00C95725" w:rsidRPr="00E11754">
        <w:rPr>
          <w:rFonts w:ascii="Times New Roman" w:hAnsi="Times New Roman" w:cs="Times New Roman"/>
          <w:sz w:val="24"/>
          <w:szCs w:val="24"/>
        </w:rPr>
        <w:t>.</w:t>
      </w:r>
      <w:r w:rsidR="00B56C04" w:rsidRPr="00E11754">
        <w:rPr>
          <w:rFonts w:ascii="Times New Roman" w:hAnsi="Times New Roman" w:cs="Times New Roman"/>
          <w:sz w:val="24"/>
          <w:szCs w:val="24"/>
        </w:rPr>
        <w:t xml:space="preserve"> </w:t>
      </w:r>
      <w:r w:rsidR="00C95725" w:rsidRPr="00E11754">
        <w:rPr>
          <w:rFonts w:ascii="Times New Roman" w:hAnsi="Times New Roman" w:cs="Times New Roman"/>
          <w:sz w:val="24"/>
          <w:szCs w:val="24"/>
        </w:rPr>
        <w:t>Według statystyk</w:t>
      </w:r>
      <w:r w:rsidR="00614556" w:rsidRPr="00E11754">
        <w:rPr>
          <w:rFonts w:ascii="Times New Roman" w:hAnsi="Times New Roman" w:cs="Times New Roman"/>
          <w:sz w:val="24"/>
          <w:szCs w:val="24"/>
        </w:rPr>
        <w:t xml:space="preserve"> AS</w:t>
      </w:r>
      <w:r w:rsidR="00F33453" w:rsidRPr="00E11754">
        <w:rPr>
          <w:rFonts w:ascii="Times New Roman" w:hAnsi="Times New Roman" w:cs="Times New Roman"/>
          <w:sz w:val="24"/>
          <w:szCs w:val="24"/>
        </w:rPr>
        <w:t xml:space="preserve"> </w:t>
      </w:r>
      <w:r w:rsidR="004B50A4" w:rsidRPr="00E11754">
        <w:rPr>
          <w:rFonts w:ascii="Times New Roman" w:hAnsi="Times New Roman" w:cs="Times New Roman"/>
          <w:sz w:val="24"/>
          <w:szCs w:val="24"/>
        </w:rPr>
        <w:t>stanowi ok. 2 % wszystkich MTM</w:t>
      </w:r>
      <w:r w:rsidR="005959E2" w:rsidRPr="00E11754">
        <w:rPr>
          <w:rFonts w:ascii="Times New Roman" w:hAnsi="Times New Roman" w:cs="Times New Roman"/>
          <w:sz w:val="24"/>
          <w:szCs w:val="24"/>
        </w:rPr>
        <w:t xml:space="preserve"> u dorosłych</w:t>
      </w:r>
      <w:r w:rsidR="00401BEA" w:rsidRPr="00E11754">
        <w:rPr>
          <w:rFonts w:ascii="Times New Roman" w:hAnsi="Times New Roman" w:cs="Times New Roman"/>
          <w:sz w:val="24"/>
          <w:szCs w:val="24"/>
        </w:rPr>
        <w:t>, a w</w:t>
      </w:r>
      <w:r w:rsidR="00A833F6" w:rsidRPr="00E11754">
        <w:rPr>
          <w:rFonts w:ascii="Times New Roman" w:hAnsi="Times New Roman" w:cs="Times New Roman"/>
          <w:sz w:val="24"/>
          <w:szCs w:val="24"/>
        </w:rPr>
        <w:t xml:space="preserve"> przypadku </w:t>
      </w:r>
      <w:r w:rsidR="005959E2" w:rsidRPr="00E11754">
        <w:rPr>
          <w:rFonts w:ascii="Times New Roman" w:hAnsi="Times New Roman" w:cs="Times New Roman"/>
          <w:sz w:val="24"/>
          <w:szCs w:val="24"/>
        </w:rPr>
        <w:t>dzieci</w:t>
      </w:r>
      <w:r w:rsidR="00F329C0" w:rsidRPr="00E11754">
        <w:rPr>
          <w:rFonts w:ascii="Times New Roman" w:hAnsi="Times New Roman" w:cs="Times New Roman"/>
          <w:sz w:val="24"/>
          <w:szCs w:val="24"/>
        </w:rPr>
        <w:t xml:space="preserve"> </w:t>
      </w:r>
      <w:r w:rsidR="00805A5D" w:rsidRPr="00E11754">
        <w:rPr>
          <w:rFonts w:ascii="Times New Roman" w:hAnsi="Times New Roman" w:cs="Times New Roman"/>
          <w:sz w:val="24"/>
          <w:szCs w:val="24"/>
        </w:rPr>
        <w:t>występuje jeszcze rzadziej</w:t>
      </w:r>
      <w:r w:rsidR="00F14514" w:rsidRPr="00E11754">
        <w:rPr>
          <w:rFonts w:ascii="Times New Roman" w:hAnsi="Times New Roman" w:cs="Times New Roman"/>
          <w:sz w:val="24"/>
          <w:szCs w:val="24"/>
        </w:rPr>
        <w:t>.</w:t>
      </w:r>
      <w:r w:rsidR="007F169C" w:rsidRPr="00E11754">
        <w:rPr>
          <w:rFonts w:ascii="Times New Roman" w:hAnsi="Times New Roman" w:cs="Times New Roman"/>
          <w:sz w:val="24"/>
          <w:szCs w:val="24"/>
        </w:rPr>
        <w:t xml:space="preserve"> </w:t>
      </w:r>
      <w:r w:rsidR="003B4F6C" w:rsidRPr="00E11754">
        <w:rPr>
          <w:rFonts w:ascii="Times New Roman" w:hAnsi="Times New Roman" w:cs="Times New Roman"/>
          <w:sz w:val="24"/>
          <w:szCs w:val="24"/>
        </w:rPr>
        <w:t>Ponadto, j</w:t>
      </w:r>
      <w:r w:rsidR="00C1526B" w:rsidRPr="00E11754">
        <w:rPr>
          <w:rFonts w:ascii="Times New Roman" w:hAnsi="Times New Roman" w:cs="Times New Roman"/>
          <w:sz w:val="24"/>
          <w:szCs w:val="24"/>
        </w:rPr>
        <w:t>e</w:t>
      </w:r>
      <w:r w:rsidR="00DC7D3D" w:rsidRPr="00E11754">
        <w:rPr>
          <w:rFonts w:ascii="Times New Roman" w:hAnsi="Times New Roman" w:cs="Times New Roman"/>
          <w:sz w:val="24"/>
          <w:szCs w:val="24"/>
        </w:rPr>
        <w:t>st to schorzenie, które</w:t>
      </w:r>
      <w:r w:rsidR="00C1526B" w:rsidRPr="00E11754">
        <w:rPr>
          <w:rFonts w:ascii="Times New Roman" w:hAnsi="Times New Roman" w:cs="Times New Roman"/>
          <w:sz w:val="24"/>
          <w:szCs w:val="24"/>
        </w:rPr>
        <w:t xml:space="preserve"> jest bardzo trudne do zdiagnozowania</w:t>
      </w:r>
      <w:r w:rsidR="00786FB3" w:rsidRPr="00E11754">
        <w:rPr>
          <w:rFonts w:ascii="Times New Roman" w:hAnsi="Times New Roman" w:cs="Times New Roman"/>
          <w:sz w:val="24"/>
          <w:szCs w:val="24"/>
        </w:rPr>
        <w:t xml:space="preserve">. </w:t>
      </w:r>
      <w:r w:rsidR="00483DC8" w:rsidRPr="00E11754">
        <w:rPr>
          <w:rFonts w:ascii="Times New Roman" w:hAnsi="Times New Roman" w:cs="Times New Roman"/>
          <w:sz w:val="24"/>
          <w:szCs w:val="24"/>
        </w:rPr>
        <w:t xml:space="preserve">MTM lokalizują się w różnych obszarach ciała m.in. </w:t>
      </w:r>
      <w:r w:rsidR="00B938D7" w:rsidRPr="00E11754">
        <w:rPr>
          <w:rFonts w:ascii="Times New Roman" w:hAnsi="Times New Roman" w:cs="Times New Roman"/>
          <w:sz w:val="24"/>
          <w:szCs w:val="24"/>
        </w:rPr>
        <w:t xml:space="preserve">skóra, obszar głowy i szyi, </w:t>
      </w:r>
      <w:r w:rsidR="00483DC8" w:rsidRPr="00E11754">
        <w:rPr>
          <w:rFonts w:ascii="Times New Roman" w:hAnsi="Times New Roman" w:cs="Times New Roman"/>
          <w:sz w:val="24"/>
          <w:szCs w:val="24"/>
        </w:rPr>
        <w:t>w</w:t>
      </w:r>
      <w:r w:rsidR="00F30EF6" w:rsidRPr="00E11754">
        <w:rPr>
          <w:rFonts w:ascii="Times New Roman" w:hAnsi="Times New Roman" w:cs="Times New Roman"/>
          <w:sz w:val="24"/>
          <w:szCs w:val="24"/>
        </w:rPr>
        <w:t>ątroba,</w:t>
      </w:r>
      <w:r w:rsidR="00483DC8" w:rsidRPr="00E11754">
        <w:rPr>
          <w:rFonts w:ascii="Times New Roman" w:hAnsi="Times New Roman" w:cs="Times New Roman"/>
          <w:sz w:val="24"/>
          <w:szCs w:val="24"/>
        </w:rPr>
        <w:t xml:space="preserve"> serc</w:t>
      </w:r>
      <w:r w:rsidR="00F30EF6" w:rsidRPr="00E11754">
        <w:rPr>
          <w:rFonts w:ascii="Times New Roman" w:hAnsi="Times New Roman" w:cs="Times New Roman"/>
          <w:sz w:val="24"/>
          <w:szCs w:val="24"/>
        </w:rPr>
        <w:t>e.</w:t>
      </w:r>
      <w:r w:rsidR="00E71759" w:rsidRPr="00E11754">
        <w:rPr>
          <w:rFonts w:ascii="Times New Roman" w:hAnsi="Times New Roman" w:cs="Times New Roman"/>
          <w:sz w:val="24"/>
          <w:szCs w:val="24"/>
        </w:rPr>
        <w:t xml:space="preserve"> </w:t>
      </w:r>
      <w:r w:rsidR="00F01CF7" w:rsidRPr="00E11754">
        <w:rPr>
          <w:rFonts w:ascii="Times New Roman" w:hAnsi="Times New Roman" w:cs="Times New Roman"/>
          <w:sz w:val="24"/>
          <w:szCs w:val="24"/>
        </w:rPr>
        <w:t>Charakteryzuje się bardzo gwałtownym i agresywnym przebiegiem choroby</w:t>
      </w:r>
      <w:r w:rsidR="00071BA6" w:rsidRPr="00E11754">
        <w:rPr>
          <w:rFonts w:ascii="Times New Roman" w:hAnsi="Times New Roman" w:cs="Times New Roman"/>
          <w:sz w:val="24"/>
          <w:szCs w:val="24"/>
        </w:rPr>
        <w:t xml:space="preserve">. </w:t>
      </w:r>
      <w:r w:rsidR="00F01CF7" w:rsidRPr="00E11754">
        <w:rPr>
          <w:rFonts w:ascii="Times New Roman" w:hAnsi="Times New Roman" w:cs="Times New Roman"/>
          <w:sz w:val="24"/>
          <w:szCs w:val="24"/>
        </w:rPr>
        <w:t xml:space="preserve"> </w:t>
      </w:r>
      <w:r w:rsidR="005F0EFB" w:rsidRPr="00E11754">
        <w:rPr>
          <w:rFonts w:ascii="Times New Roman" w:hAnsi="Times New Roman" w:cs="Times New Roman"/>
          <w:sz w:val="24"/>
          <w:szCs w:val="24"/>
        </w:rPr>
        <w:t>Jeżeli jest to możliwe, p</w:t>
      </w:r>
      <w:r w:rsidR="00CB2292" w:rsidRPr="00E11754">
        <w:rPr>
          <w:rFonts w:ascii="Times New Roman" w:hAnsi="Times New Roman" w:cs="Times New Roman"/>
          <w:sz w:val="24"/>
          <w:szCs w:val="24"/>
        </w:rPr>
        <w:t xml:space="preserve">odstawą leczenia jest leczenie </w:t>
      </w:r>
      <w:r w:rsidR="00C4075D" w:rsidRPr="00E11754">
        <w:rPr>
          <w:rFonts w:ascii="Times New Roman" w:hAnsi="Times New Roman" w:cs="Times New Roman"/>
          <w:sz w:val="24"/>
          <w:szCs w:val="24"/>
        </w:rPr>
        <w:t>chirurgiczne</w:t>
      </w:r>
      <w:r w:rsidR="00854AFD" w:rsidRPr="00E11754">
        <w:rPr>
          <w:rFonts w:ascii="Times New Roman" w:hAnsi="Times New Roman" w:cs="Times New Roman"/>
          <w:sz w:val="24"/>
          <w:szCs w:val="24"/>
        </w:rPr>
        <w:t xml:space="preserve"> w połączeniu z chemioterapi</w:t>
      </w:r>
      <w:r w:rsidR="005F0EFB" w:rsidRPr="00E11754">
        <w:rPr>
          <w:rFonts w:ascii="Times New Roman" w:hAnsi="Times New Roman" w:cs="Times New Roman"/>
          <w:sz w:val="24"/>
          <w:szCs w:val="24"/>
        </w:rPr>
        <w:t>ą</w:t>
      </w:r>
      <w:r w:rsidR="00793363" w:rsidRPr="00E11754">
        <w:rPr>
          <w:rFonts w:ascii="Times New Roman" w:hAnsi="Times New Roman" w:cs="Times New Roman"/>
          <w:sz w:val="24"/>
          <w:szCs w:val="24"/>
        </w:rPr>
        <w:t xml:space="preserve"> bądź tylko chemioterapia, </w:t>
      </w:r>
      <w:r w:rsidR="00854AFD" w:rsidRPr="00E11754">
        <w:rPr>
          <w:rFonts w:ascii="Times New Roman" w:hAnsi="Times New Roman" w:cs="Times New Roman"/>
          <w:sz w:val="24"/>
          <w:szCs w:val="24"/>
        </w:rPr>
        <w:t xml:space="preserve">gdy </w:t>
      </w:r>
      <w:r w:rsidR="00C4075D" w:rsidRPr="00E11754">
        <w:rPr>
          <w:rFonts w:ascii="Times New Roman" w:hAnsi="Times New Roman" w:cs="Times New Roman"/>
          <w:sz w:val="24"/>
          <w:szCs w:val="24"/>
        </w:rPr>
        <w:t>zmiana nie jest operacyjna</w:t>
      </w:r>
      <w:r w:rsidR="00854AFD" w:rsidRPr="00E11754">
        <w:rPr>
          <w:rFonts w:ascii="Times New Roman" w:hAnsi="Times New Roman" w:cs="Times New Roman"/>
          <w:sz w:val="24"/>
          <w:szCs w:val="24"/>
        </w:rPr>
        <w:t xml:space="preserve">. </w:t>
      </w:r>
      <w:r w:rsidR="00786FB3" w:rsidRPr="00E11754">
        <w:rPr>
          <w:rFonts w:ascii="Times New Roman" w:hAnsi="Times New Roman" w:cs="Times New Roman"/>
          <w:sz w:val="24"/>
          <w:szCs w:val="24"/>
        </w:rPr>
        <w:t>Rokowania dla pacjentów</w:t>
      </w:r>
      <w:r w:rsidR="007B56F3" w:rsidRPr="00E11754">
        <w:rPr>
          <w:rFonts w:ascii="Times New Roman" w:hAnsi="Times New Roman" w:cs="Times New Roman"/>
          <w:sz w:val="24"/>
          <w:szCs w:val="24"/>
        </w:rPr>
        <w:t xml:space="preserve"> z AS</w:t>
      </w:r>
      <w:r w:rsidR="00786FB3" w:rsidRPr="00E11754">
        <w:rPr>
          <w:rFonts w:ascii="Times New Roman" w:hAnsi="Times New Roman" w:cs="Times New Roman"/>
          <w:sz w:val="24"/>
          <w:szCs w:val="24"/>
        </w:rPr>
        <w:t xml:space="preserve"> są bardzo</w:t>
      </w:r>
      <w:r w:rsidR="007B56F3" w:rsidRPr="00E11754">
        <w:rPr>
          <w:rFonts w:ascii="Times New Roman" w:hAnsi="Times New Roman" w:cs="Times New Roman"/>
          <w:sz w:val="24"/>
          <w:szCs w:val="24"/>
        </w:rPr>
        <w:t xml:space="preserve"> złe</w:t>
      </w:r>
      <w:r w:rsidR="00665100" w:rsidRPr="00E11754">
        <w:rPr>
          <w:rFonts w:ascii="Times New Roman" w:hAnsi="Times New Roman" w:cs="Times New Roman"/>
          <w:sz w:val="24"/>
          <w:szCs w:val="24"/>
        </w:rPr>
        <w:t>,</w:t>
      </w:r>
      <w:r w:rsidR="005B4E73" w:rsidRPr="00E11754">
        <w:rPr>
          <w:rFonts w:ascii="Times New Roman" w:hAnsi="Times New Roman" w:cs="Times New Roman"/>
          <w:sz w:val="24"/>
          <w:szCs w:val="24"/>
        </w:rPr>
        <w:t xml:space="preserve"> co przekłada się na znaczną śmiertelność w przypadku zdiagnozowania u pacjentów tego nowotworu</w:t>
      </w:r>
      <w:r w:rsidR="007B691F" w:rsidRPr="00E11754">
        <w:rPr>
          <w:rFonts w:ascii="Times New Roman" w:hAnsi="Times New Roman" w:cs="Times New Roman"/>
          <w:sz w:val="24"/>
          <w:szCs w:val="24"/>
        </w:rPr>
        <w:t xml:space="preserve"> </w:t>
      </w:r>
      <w:r w:rsidR="007B691F" w:rsidRPr="00E11754">
        <w:rPr>
          <w:rFonts w:ascii="Times New Roman" w:hAnsi="Times New Roman" w:cs="Times New Roman"/>
          <w:sz w:val="24"/>
          <w:szCs w:val="24"/>
        </w:rPr>
        <w:fldChar w:fldCharType="begin" w:fldLock="1"/>
      </w:r>
      <w:r w:rsidR="002858F6">
        <w:rPr>
          <w:rFonts w:ascii="Times New Roman" w:hAnsi="Times New Roman" w:cs="Times New Roman"/>
          <w:sz w:val="24"/>
          <w:szCs w:val="24"/>
        </w:rPr>
        <w:instrText>ADDIN CSL_CITATION {"citationItems":[{"id":"ITEM-1","itemData":{"DOI":"10.1111/j.1365-2354.2008.01063.x","ISSN":"13652354","PMID":"19490008","abstract":"BIEN E., STACHOWICZ-STENCEL T., BALCERSKA A., GODZINSKI J., KAZANOWSKA B., PEREK-POLNIK M., MADZIARA W., RYBCZYNSKA A., KURYLAK A., ZALEWSKA-SZEWCZYK B. &amp; PEREGUD-POGORZELSKI J. (2009) European Journal of Cancer Care 18, 411-420Angiosarcoma in children - still uncontrollable oncological problem. The report of the Polish Paediatric Rare Tumours Study Angiosarcoma is a rare, highly malignant vascular neoplasm with little data available on its clinical course and management in children. Ten children with angiosarcoma (M/F: 6/4; aged 2, 3-16 years) registered in Polish Paediatric Rare Tumours and Soft Tissue Sarcomas Studies between 1992 and 2006. Primary tumour exceeded 5 cm in seven patients and affected mainly deep tissues (heart-2, head/neck, bladder, brain, liver and upper limb - one patient each). Four patients had regional and two metastatic diseases (lungs and bones). Three patients were initially misdiagnosed as haemangioma. Complete primary excision was unfeasible even in local stages. All patients received supplementing chemotherapy with no response in four. Radiotherapy was given to five children, including three after relapse. Three of five secondary tumour resections proved complete. Seven patients experienced relapses (mainly metastatic) and two continuous progression. Relapsed patients received chemotherapy ± radiotherapy and surgery (three). Nine patients died of disease (overall survival 6-66 months), and one child after mutilating secondary resection is alive. Angiosarcoma in children is highly aggressive with an extremely poor prognosis. Complete primary excision is unfeasible, even in seemingly local stages. The response to chemotherapy is poor and the large number of metastatic recurrences suggests a need for systemic therapy modifications. © 2009 Blackwell Publishing Ltd.","author":[{"dropping-particle":"","family":"Bien","given":"E.","non-dropping-particle":"","parse-names":false,"suffix":""},{"dropping-particle":"","family":"Stachowicz-Stencel","given":"T.","non-dropping-particle":"","parse-names":false,"suffix":""},{"dropping-particle":"","family":"Balcerska","given":"A.","non-dropping-particle":"","parse-names":false,"suffix":""},{"dropping-particle":"","family":"Godzinski","given":"J.","non-dropping-particle":"","parse-names":false,"suffix":""},{"dropping-particle":"","family":"Kazanowska","given":"B.","non-dropping-particle":"","parse-names":false,"suffix":""},{"dropping-particle":"","family":"Perek-Polnik","given":"M.","non-dropping-particle":"","parse-names":false,"suffix":""},{"dropping-particle":"","family":"Madziara","given":"W.","non-dropping-particle":"","parse-names":false,"suffix":""},{"dropping-particle":"","family":"Rybczynska","given":"A.","non-dropping-particle":"","parse-names":false,"suffix":""},{"dropping-particle":"","family":"Kurylak","given":"A.","non-dropping-particle":"","parse-names":false,"suffix":""},{"dropping-particle":"","family":"Zalewska-Szewczyk","given":"B.","non-dropping-particle":"","parse-names":false,"suffix":""},{"dropping-particle":"","family":"Peregud-Pogorzelski","given":"J.","non-dropping-particle":"","parse-names":false,"suffix":""}],"container-title":"European Journal of Cancer Care","id":"ITEM-1","issue":"4","issued":{"date-parts":[["2009"]]},"page":"411-420","title":"Angiosarcoma in children still uncontrollable oncological problem. the report of the Polish Paediatric Rare Tumours Study","type":"article-journal","volume":"18"},"uris":["http://www.mendeley.com/documents/?uuid=121a3674-579f-41d4-b8a7-1b447f09168e"]},{"id":"ITEM-2","itemData":{"DOI":"10.5114/aoms.2014.40741","ISSN":"17341922","abstract":"Cardiac tumors are assumed to be a rare entity. Metastases to the heart are more frequent than primary lesions. Sarcomas make up the majority of cardiac malignant neoplasms. Among them angiosarcoma is the most common and associated with the worst prognosis. Malignant fibrous histiocytoma comprises the minority of cardiac sarcomas and has uncertain etiology as well as pathogenesis. Transthoracic echocardiography remains the widely available screening examination for the initial diagnosis of a cardiac tumor. The clinical presentation is non-specific and the diagnosis is established usually at an advanced stage of the disease. Sarcomas spread preferentially through blood due to their immature vessels without endothelial lining. Surgery remains the method of choice for treatment. Radicalness of the excision is still the most valuable prognostic factor. Adjuvant therapy is unlikely to be effective. The management of cardiac sarcomas must be individualized due to their rarity and significant differences in the course of disease.","author":[{"dropping-particle":"","family":"Ostrowski","given":"Stanisław","non-dropping-particle":"","parse-names":false,"suffix":""},{"dropping-particle":"","family":"Marcinkiewicz","given":"Anna","non-dropping-particle":"","parse-names":false,"suffix":""},{"dropping-particle":"","family":"Kośmider","given":"Anna","non-dropping-particle":"","parse-names":false,"suffix":""},{"dropping-particle":"","family":"Jaszewski","given":"Ryszard","non-dropping-particle":"","parse-names":false,"suffix":""}],"container-title":"Archives of Medical Science","id":"ITEM-2","issue":"1","issued":{"date-parts":[["2014"]]},"page":"135-148","title":"Sarcomas of the heart as a difficult interdisciplinary problem","type":"article-journal","volume":"10"},"uris":["http://www.mendeley.com/documents/?uuid=2a4435a2-9f81-4cb8-ae92-e581485349e6"]}],"mendeley":{"formattedCitation":"[25], [26]","manualFormatting":"[22], [23]","plainTextFormattedCitation":"[25], [26]","previouslyFormattedCitation":"[25], [26]"},"properties":{"noteIndex":0},"schema":"https://github.com/citation-style-language/schema/raw/master/csl-citation.json"}</w:instrText>
      </w:r>
      <w:r w:rsidR="007B691F" w:rsidRPr="00E11754">
        <w:rPr>
          <w:rFonts w:ascii="Times New Roman" w:hAnsi="Times New Roman" w:cs="Times New Roman"/>
          <w:sz w:val="24"/>
          <w:szCs w:val="24"/>
        </w:rPr>
        <w:fldChar w:fldCharType="separate"/>
      </w:r>
      <w:r w:rsidR="00172CA2" w:rsidRPr="00E11754">
        <w:rPr>
          <w:rFonts w:ascii="Times New Roman" w:hAnsi="Times New Roman" w:cs="Times New Roman"/>
          <w:noProof/>
          <w:sz w:val="24"/>
          <w:szCs w:val="24"/>
        </w:rPr>
        <w:t>[22], [23]</w:t>
      </w:r>
      <w:r w:rsidR="007B691F" w:rsidRPr="00E11754">
        <w:rPr>
          <w:rFonts w:ascii="Times New Roman" w:hAnsi="Times New Roman" w:cs="Times New Roman"/>
          <w:sz w:val="24"/>
          <w:szCs w:val="24"/>
        </w:rPr>
        <w:fldChar w:fldCharType="end"/>
      </w:r>
      <w:r w:rsidR="007B56F3" w:rsidRPr="00E11754">
        <w:rPr>
          <w:rFonts w:ascii="Times New Roman" w:hAnsi="Times New Roman" w:cs="Times New Roman"/>
          <w:sz w:val="24"/>
          <w:szCs w:val="24"/>
        </w:rPr>
        <w:t>.</w:t>
      </w:r>
    </w:p>
    <w:p w14:paraId="1F3CF86C" w14:textId="77777777" w:rsidR="00994217" w:rsidRPr="00E11754" w:rsidRDefault="00994217" w:rsidP="006C6CAA">
      <w:pPr>
        <w:pStyle w:val="Akapitzlist"/>
        <w:spacing w:after="0" w:line="360" w:lineRule="auto"/>
        <w:ind w:left="643"/>
        <w:jc w:val="both"/>
        <w:rPr>
          <w:rFonts w:ascii="Times New Roman" w:hAnsi="Times New Roman" w:cs="Times New Roman"/>
          <w:sz w:val="24"/>
          <w:szCs w:val="24"/>
        </w:rPr>
      </w:pPr>
    </w:p>
    <w:p w14:paraId="7C98C1DD" w14:textId="7FAF3FAA" w:rsidR="000757A5" w:rsidRPr="00E11754" w:rsidRDefault="00EC7792" w:rsidP="008C14E2">
      <w:pPr>
        <w:pStyle w:val="Nagwek2"/>
        <w:numPr>
          <w:ilvl w:val="1"/>
          <w:numId w:val="13"/>
        </w:numPr>
        <w:spacing w:before="240" w:after="120"/>
        <w:ind w:left="715" w:hanging="431"/>
        <w:rPr>
          <w:rFonts w:ascii="Times New Roman" w:hAnsi="Times New Roman" w:cs="Times New Roman"/>
          <w:b/>
          <w:bCs/>
          <w:color w:val="auto"/>
          <w:sz w:val="24"/>
          <w:szCs w:val="24"/>
        </w:rPr>
      </w:pPr>
      <w:bookmarkStart w:id="11" w:name="_Toc137702472"/>
      <w:r w:rsidRPr="00E11754">
        <w:rPr>
          <w:rFonts w:ascii="Times New Roman" w:hAnsi="Times New Roman" w:cs="Times New Roman"/>
          <w:b/>
          <w:bCs/>
          <w:color w:val="auto"/>
          <w:sz w:val="24"/>
          <w:szCs w:val="24"/>
        </w:rPr>
        <w:t xml:space="preserve">Sposoby leczenia </w:t>
      </w:r>
      <w:r w:rsidR="00665100" w:rsidRPr="00E11754">
        <w:rPr>
          <w:rFonts w:ascii="Times New Roman" w:hAnsi="Times New Roman" w:cs="Times New Roman"/>
          <w:b/>
          <w:bCs/>
          <w:color w:val="auto"/>
          <w:sz w:val="24"/>
          <w:szCs w:val="24"/>
        </w:rPr>
        <w:t>onkologicznego</w:t>
      </w:r>
      <w:bookmarkEnd w:id="11"/>
    </w:p>
    <w:p w14:paraId="4075BAF7" w14:textId="77777777" w:rsidR="008C14E2" w:rsidRPr="00E11754" w:rsidRDefault="008C14E2" w:rsidP="008C14E2">
      <w:pPr>
        <w:rPr>
          <w:rFonts w:ascii="Times New Roman" w:hAnsi="Times New Roman" w:cs="Times New Roman"/>
          <w:sz w:val="24"/>
          <w:szCs w:val="24"/>
        </w:rPr>
      </w:pPr>
    </w:p>
    <w:p w14:paraId="0DF0204A" w14:textId="73780621" w:rsidR="006F14E0" w:rsidRPr="00E11754" w:rsidRDefault="00BC1172" w:rsidP="00994217">
      <w:pPr>
        <w:spacing w:line="360" w:lineRule="auto"/>
        <w:jc w:val="both"/>
        <w:rPr>
          <w:rStyle w:val="Odwoaniedokomentarza"/>
          <w:rFonts w:ascii="Times New Roman" w:hAnsi="Times New Roman" w:cs="Times New Roman"/>
          <w:sz w:val="24"/>
          <w:szCs w:val="24"/>
        </w:rPr>
      </w:pPr>
      <w:r w:rsidRPr="00E11754">
        <w:rPr>
          <w:rFonts w:ascii="Times New Roman" w:hAnsi="Times New Roman" w:cs="Times New Roman"/>
          <w:sz w:val="24"/>
          <w:szCs w:val="24"/>
        </w:rPr>
        <w:tab/>
      </w:r>
      <w:r w:rsidR="002A6E95" w:rsidRPr="00E11754">
        <w:rPr>
          <w:rFonts w:ascii="Times New Roman" w:hAnsi="Times New Roman" w:cs="Times New Roman"/>
          <w:sz w:val="24"/>
          <w:szCs w:val="24"/>
        </w:rPr>
        <w:t xml:space="preserve">Podstawowym </w:t>
      </w:r>
      <w:r w:rsidR="00A326BB" w:rsidRPr="00E11754">
        <w:rPr>
          <w:rFonts w:ascii="Times New Roman" w:hAnsi="Times New Roman" w:cs="Times New Roman"/>
          <w:sz w:val="24"/>
          <w:szCs w:val="24"/>
        </w:rPr>
        <w:t>celem</w:t>
      </w:r>
      <w:r w:rsidR="002A6E95" w:rsidRPr="00E11754">
        <w:rPr>
          <w:rFonts w:ascii="Times New Roman" w:hAnsi="Times New Roman" w:cs="Times New Roman"/>
          <w:sz w:val="24"/>
          <w:szCs w:val="24"/>
        </w:rPr>
        <w:t xml:space="preserve"> leczenia onkologicznego jest zatrzymanie </w:t>
      </w:r>
      <w:r w:rsidR="00CC6819" w:rsidRPr="00E11754">
        <w:rPr>
          <w:rFonts w:ascii="Times New Roman" w:hAnsi="Times New Roman" w:cs="Times New Roman"/>
          <w:sz w:val="24"/>
          <w:szCs w:val="24"/>
        </w:rPr>
        <w:t xml:space="preserve">rozwoju </w:t>
      </w:r>
      <w:r w:rsidR="002A6E95" w:rsidRPr="00E11754">
        <w:rPr>
          <w:rFonts w:ascii="Times New Roman" w:hAnsi="Times New Roman" w:cs="Times New Roman"/>
          <w:sz w:val="24"/>
          <w:szCs w:val="24"/>
        </w:rPr>
        <w:t>choroby</w:t>
      </w:r>
      <w:r w:rsidR="00CC6819" w:rsidRPr="00E11754">
        <w:rPr>
          <w:rFonts w:ascii="Times New Roman" w:hAnsi="Times New Roman" w:cs="Times New Roman"/>
          <w:sz w:val="24"/>
          <w:szCs w:val="24"/>
        </w:rPr>
        <w:t xml:space="preserve">, a w przypadku, gdy nie jest to możliwe, </w:t>
      </w:r>
      <w:r w:rsidRPr="00E11754">
        <w:rPr>
          <w:rFonts w:ascii="Times New Roman" w:hAnsi="Times New Roman" w:cs="Times New Roman"/>
          <w:sz w:val="24"/>
          <w:szCs w:val="24"/>
        </w:rPr>
        <w:t>przedłużenie życia chorego</w:t>
      </w:r>
      <w:r w:rsidR="00A326BB" w:rsidRPr="00E11754">
        <w:rPr>
          <w:rFonts w:ascii="Times New Roman" w:hAnsi="Times New Roman" w:cs="Times New Roman"/>
          <w:sz w:val="24"/>
          <w:szCs w:val="24"/>
        </w:rPr>
        <w:t xml:space="preserve">. Obecny postęp medycyny a także liczne badania diagnostyczne pozwalają na wykrycie wielu </w:t>
      </w:r>
      <w:r w:rsidR="00665100" w:rsidRPr="00E11754">
        <w:rPr>
          <w:rFonts w:ascii="Times New Roman" w:hAnsi="Times New Roman" w:cs="Times New Roman"/>
          <w:sz w:val="24"/>
          <w:szCs w:val="24"/>
        </w:rPr>
        <w:t>nowotworów</w:t>
      </w:r>
      <w:r w:rsidR="00A326BB" w:rsidRPr="00E11754">
        <w:rPr>
          <w:rFonts w:ascii="Times New Roman" w:hAnsi="Times New Roman" w:cs="Times New Roman"/>
          <w:sz w:val="24"/>
          <w:szCs w:val="24"/>
        </w:rPr>
        <w:t xml:space="preserve"> już w bardzo wczesnym stadium</w:t>
      </w:r>
      <w:r w:rsidR="00CC6819" w:rsidRPr="00E11754">
        <w:rPr>
          <w:rFonts w:ascii="Times New Roman" w:hAnsi="Times New Roman" w:cs="Times New Roman"/>
          <w:sz w:val="24"/>
          <w:szCs w:val="24"/>
        </w:rPr>
        <w:t xml:space="preserve">, gdy jako podstawowe stosowane jest </w:t>
      </w:r>
      <w:r w:rsidR="007A7981" w:rsidRPr="00E11754">
        <w:rPr>
          <w:rFonts w:ascii="Times New Roman" w:hAnsi="Times New Roman" w:cs="Times New Roman"/>
          <w:sz w:val="24"/>
          <w:szCs w:val="24"/>
        </w:rPr>
        <w:t>l</w:t>
      </w:r>
      <w:r w:rsidR="00CC6819" w:rsidRPr="00E11754">
        <w:rPr>
          <w:rFonts w:ascii="Times New Roman" w:hAnsi="Times New Roman" w:cs="Times New Roman"/>
          <w:sz w:val="24"/>
          <w:szCs w:val="24"/>
        </w:rPr>
        <w:t>eczenie</w:t>
      </w:r>
      <w:r w:rsidR="00BB43A2" w:rsidRPr="00E11754">
        <w:rPr>
          <w:rFonts w:ascii="Times New Roman" w:hAnsi="Times New Roman" w:cs="Times New Roman"/>
          <w:sz w:val="24"/>
          <w:szCs w:val="24"/>
        </w:rPr>
        <w:t xml:space="preserve"> chirurgiczne</w:t>
      </w:r>
      <w:r w:rsidR="00A326BB" w:rsidRPr="00E11754">
        <w:rPr>
          <w:rFonts w:ascii="Times New Roman" w:hAnsi="Times New Roman" w:cs="Times New Roman"/>
          <w:sz w:val="24"/>
          <w:szCs w:val="24"/>
        </w:rPr>
        <w:t>.</w:t>
      </w:r>
      <w:r w:rsidR="00034AB0" w:rsidRPr="00E11754">
        <w:rPr>
          <w:rFonts w:ascii="Times New Roman" w:hAnsi="Times New Roman" w:cs="Times New Roman"/>
          <w:sz w:val="24"/>
          <w:szCs w:val="24"/>
        </w:rPr>
        <w:t xml:space="preserve"> Jest to </w:t>
      </w:r>
      <w:r w:rsidR="00034AB0" w:rsidRPr="00E11754">
        <w:rPr>
          <w:rFonts w:ascii="Times New Roman" w:hAnsi="Times New Roman" w:cs="Times New Roman"/>
          <w:sz w:val="24"/>
          <w:szCs w:val="24"/>
        </w:rPr>
        <w:lastRenderedPageBreak/>
        <w:t>leczenie miejscowe, które ma na celu całościową eliminację guza lub częściowe zmniejszenie jego rozmiarów</w:t>
      </w:r>
      <w:r w:rsidR="006F14E0" w:rsidRPr="00E11754">
        <w:rPr>
          <w:rFonts w:ascii="Times New Roman" w:hAnsi="Times New Roman" w:cs="Times New Roman"/>
          <w:sz w:val="24"/>
          <w:szCs w:val="24"/>
        </w:rPr>
        <w:t xml:space="preserve"> wówczas, gdy jest to składowa </w:t>
      </w:r>
      <w:r w:rsidR="00034AB0" w:rsidRPr="00E11754">
        <w:rPr>
          <w:rFonts w:ascii="Times New Roman" w:hAnsi="Times New Roman" w:cs="Times New Roman"/>
          <w:sz w:val="24"/>
          <w:szCs w:val="24"/>
        </w:rPr>
        <w:t>leczeni</w:t>
      </w:r>
      <w:r w:rsidR="006F14E0" w:rsidRPr="00E11754">
        <w:rPr>
          <w:rFonts w:ascii="Times New Roman" w:hAnsi="Times New Roman" w:cs="Times New Roman"/>
          <w:sz w:val="24"/>
          <w:szCs w:val="24"/>
        </w:rPr>
        <w:t>a</w:t>
      </w:r>
      <w:r w:rsidR="00034AB0" w:rsidRPr="00E11754">
        <w:rPr>
          <w:rFonts w:ascii="Times New Roman" w:hAnsi="Times New Roman" w:cs="Times New Roman"/>
          <w:sz w:val="24"/>
          <w:szCs w:val="24"/>
        </w:rPr>
        <w:t xml:space="preserve"> skojarzon</w:t>
      </w:r>
      <w:r w:rsidR="006F14E0" w:rsidRPr="00E11754">
        <w:rPr>
          <w:rFonts w:ascii="Times New Roman" w:hAnsi="Times New Roman" w:cs="Times New Roman"/>
          <w:sz w:val="24"/>
          <w:szCs w:val="24"/>
        </w:rPr>
        <w:t>ego</w:t>
      </w:r>
      <w:r w:rsidR="00034AB0" w:rsidRPr="00E11754">
        <w:rPr>
          <w:rFonts w:ascii="Times New Roman" w:hAnsi="Times New Roman" w:cs="Times New Roman"/>
          <w:sz w:val="24"/>
          <w:szCs w:val="24"/>
        </w:rPr>
        <w:t xml:space="preserve"> z chemioterapią lub/i radioterapią. </w:t>
      </w:r>
      <w:r w:rsidR="006F14E0" w:rsidRPr="00E11754">
        <w:rPr>
          <w:rFonts w:ascii="Times New Roman" w:hAnsi="Times New Roman" w:cs="Times New Roman"/>
          <w:sz w:val="24"/>
          <w:szCs w:val="24"/>
        </w:rPr>
        <w:t>Radioterapia polega na</w:t>
      </w:r>
      <w:r w:rsidR="00034AB0" w:rsidRPr="00E11754">
        <w:rPr>
          <w:rFonts w:ascii="Times New Roman" w:hAnsi="Times New Roman" w:cs="Times New Roman"/>
          <w:sz w:val="24"/>
          <w:szCs w:val="24"/>
        </w:rPr>
        <w:t xml:space="preserve"> napromieniowani</w:t>
      </w:r>
      <w:r w:rsidR="006F14E0" w:rsidRPr="00E11754">
        <w:rPr>
          <w:rFonts w:ascii="Times New Roman" w:hAnsi="Times New Roman" w:cs="Times New Roman"/>
          <w:sz w:val="24"/>
          <w:szCs w:val="24"/>
        </w:rPr>
        <w:t>u</w:t>
      </w:r>
      <w:r w:rsidR="00034AB0" w:rsidRPr="00E11754">
        <w:rPr>
          <w:rFonts w:ascii="Times New Roman" w:hAnsi="Times New Roman" w:cs="Times New Roman"/>
          <w:sz w:val="24"/>
          <w:szCs w:val="24"/>
        </w:rPr>
        <w:t xml:space="preserve"> miejsca ze zmianą nowotworową promieni</w:t>
      </w:r>
      <w:r w:rsidR="006F14E0" w:rsidRPr="00E11754">
        <w:rPr>
          <w:rFonts w:ascii="Times New Roman" w:hAnsi="Times New Roman" w:cs="Times New Roman"/>
          <w:sz w:val="24"/>
          <w:szCs w:val="24"/>
        </w:rPr>
        <w:t>ami</w:t>
      </w:r>
      <w:r w:rsidR="00034AB0" w:rsidRPr="00E11754">
        <w:rPr>
          <w:rFonts w:ascii="Times New Roman" w:hAnsi="Times New Roman" w:cs="Times New Roman"/>
          <w:sz w:val="24"/>
          <w:szCs w:val="24"/>
        </w:rPr>
        <w:t xml:space="preserve"> X. Zabieg nie trwa długo, mimo to, aby był skuteczny wymaga wielu powtórzeń</w:t>
      </w:r>
      <w:r w:rsidR="006F14E0" w:rsidRPr="00E11754">
        <w:rPr>
          <w:rFonts w:ascii="Times New Roman" w:hAnsi="Times New Roman" w:cs="Times New Roman"/>
          <w:sz w:val="24"/>
          <w:szCs w:val="24"/>
        </w:rPr>
        <w:t>,</w:t>
      </w:r>
      <w:r w:rsidR="00034AB0" w:rsidRPr="00E11754">
        <w:rPr>
          <w:rFonts w:ascii="Times New Roman" w:hAnsi="Times New Roman" w:cs="Times New Roman"/>
          <w:sz w:val="24"/>
          <w:szCs w:val="24"/>
        </w:rPr>
        <w:t xml:space="preserve"> czego efektem ubocznym jest często ostry odczyn popromienny</w:t>
      </w:r>
      <w:r w:rsidR="00D77166">
        <w:rPr>
          <w:rFonts w:ascii="Times New Roman" w:hAnsi="Times New Roman" w:cs="Times New Roman"/>
          <w:sz w:val="24"/>
          <w:szCs w:val="24"/>
        </w:rPr>
        <w:t xml:space="preserve"> </w:t>
      </w:r>
      <w:r w:rsidR="00D77166">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{"citationItems":[{"id":"ITEM-1","itemData":{"DOI":"10.18632/oncotarget.18409","ISSN":"19492553","PMID":"28977985","abstract":"Effective radiotherapy for cancer has relied on the promise of maximally eradicating tumor cells while minimally killing normal cells. Technological advancement has provided state-of-the-art instrumentation that enables delivery of radiotherapy with great precision to tumor lesions with substantial reduced injury to normal tissues. Moreover, better understanding of radiobiology, particularly the mechanisms of radiation sensitivity and resistance in tumor lesions and toxicity in normal tissues, has improved the treatment efficacy of radiotherapy. Previous mechanism-based studies have identified many cellular targets that can affect radiation sensitivity, notably reactive oxygen species, DNA-damaging response signals, and tumor microenvironments. Several radiation sensitizers and protectors have been developed and clinically evaluated; however, many of these results are inconclusive, indicating that improvement remains needed. In this era of personalized medicine in which patients' genetic variations, transcriptome and proteomics, tumor metabolism and microenvironment, and tumor immunity are available. These new developments have provided opportunity for new target discovery. Several radiotherapy sensitivity-associated \"gene signatures\" have been reported although clinical validations are needed. Recently, several immune modifiers have been shown to associate with improved radiotherapy in preclinical models and in early clinical trials. Combination of radiotherapy and immunocheckpoint blockade has shown promising results especially in targeting metastatic tumors through abscopal response. In this article, we succinctly review recent advancements in the areas of mechanism-driven targets and exploitation of new targets from current radio-oncogenomic and radiation-immunotherapeutic approaches that bear clinical implications for improving the treatment efficacy of radiotherapy.","author":[{"dropping-particle":"","family":"Chen","given":"Helen H.W.","non-dropping-particle":"","parse-names":false,"suffix":""},{"dropping-particle":"","family":"Kuo","given":"Macus Tien","non-dropping-particle":"","parse-names":false,"suffix":""}],"container-title":"Oncotarget","id":"ITEM-1","issue":"37","issued":{"date-parts":[["2017"]]},"page":"62742-62758","title":"Improving radiotherapy in cancer treatment: Promises and challenges","type":"article-journal","volume":"8"},"uris":["http://www.mendeley.com/documents/?uuid=fc120400-43eb-4abb-89b1-114109a5af44"]}],"mendeley":{"formattedCitation":"[27]","plainTextFormattedCitation":"[27]","previouslyFormattedCitation":"[27]"},"properties":{"noteIndex":0},"schema":"https://github.com/citation-style-language/schema/raw/master/csl-citation.json"}</w:instrText>
      </w:r>
      <w:r w:rsidR="00D77166">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[27]</w:t>
      </w:r>
      <w:r w:rsidR="00D77166">
        <w:rPr>
          <w:rFonts w:ascii="Times New Roman" w:hAnsi="Times New Roman" w:cs="Times New Roman"/>
          <w:sz w:val="24"/>
          <w:szCs w:val="24"/>
        </w:rPr>
        <w:fldChar w:fldCharType="end"/>
      </w:r>
      <w:r w:rsidR="00034AB0" w:rsidRPr="00E11754">
        <w:rPr>
          <w:rFonts w:ascii="Times New Roman" w:hAnsi="Times New Roman" w:cs="Times New Roman"/>
          <w:sz w:val="24"/>
          <w:szCs w:val="24"/>
        </w:rPr>
        <w:t xml:space="preserve">. </w:t>
      </w:r>
      <w:r w:rsidR="00357980" w:rsidRPr="00E11754">
        <w:rPr>
          <w:rFonts w:ascii="Times New Roman" w:hAnsi="Times New Roman" w:cs="Times New Roman"/>
          <w:sz w:val="24"/>
          <w:szCs w:val="24"/>
        </w:rPr>
        <w:t>C</w:t>
      </w:r>
      <w:r w:rsidR="00A326BB" w:rsidRPr="00E11754">
        <w:rPr>
          <w:rFonts w:ascii="Times New Roman" w:hAnsi="Times New Roman" w:cs="Times New Roman"/>
          <w:sz w:val="24"/>
          <w:szCs w:val="24"/>
        </w:rPr>
        <w:t>hemioterapi</w:t>
      </w:r>
      <w:r w:rsidR="00357980" w:rsidRPr="00E11754">
        <w:rPr>
          <w:rFonts w:ascii="Times New Roman" w:hAnsi="Times New Roman" w:cs="Times New Roman"/>
          <w:sz w:val="24"/>
          <w:szCs w:val="24"/>
        </w:rPr>
        <w:t xml:space="preserve">a opiera się na </w:t>
      </w:r>
      <w:r w:rsidR="00A326BB" w:rsidRPr="00E11754">
        <w:rPr>
          <w:rFonts w:ascii="Times New Roman" w:hAnsi="Times New Roman" w:cs="Times New Roman"/>
          <w:sz w:val="24"/>
          <w:szCs w:val="24"/>
        </w:rPr>
        <w:t>stos</w:t>
      </w:r>
      <w:r w:rsidR="00357980" w:rsidRPr="00E11754">
        <w:rPr>
          <w:rFonts w:ascii="Times New Roman" w:hAnsi="Times New Roman" w:cs="Times New Roman"/>
          <w:sz w:val="24"/>
          <w:szCs w:val="24"/>
        </w:rPr>
        <w:t>owaniu</w:t>
      </w:r>
      <w:r w:rsidR="00A326BB" w:rsidRPr="00E11754">
        <w:rPr>
          <w:rFonts w:ascii="Times New Roman" w:hAnsi="Times New Roman" w:cs="Times New Roman"/>
          <w:sz w:val="24"/>
          <w:szCs w:val="24"/>
        </w:rPr>
        <w:t xml:space="preserve"> lek</w:t>
      </w:r>
      <w:r w:rsidR="00357980" w:rsidRPr="00E11754">
        <w:rPr>
          <w:rFonts w:ascii="Times New Roman" w:hAnsi="Times New Roman" w:cs="Times New Roman"/>
          <w:sz w:val="24"/>
          <w:szCs w:val="24"/>
        </w:rPr>
        <w:t>ów</w:t>
      </w:r>
      <w:r w:rsidR="00A326BB" w:rsidRPr="00E11754">
        <w:rPr>
          <w:rFonts w:ascii="Times New Roman" w:hAnsi="Times New Roman" w:cs="Times New Roman"/>
          <w:sz w:val="24"/>
          <w:szCs w:val="24"/>
        </w:rPr>
        <w:t xml:space="preserve"> </w:t>
      </w:r>
      <w:r w:rsidR="00CC6819" w:rsidRPr="00E11754">
        <w:rPr>
          <w:rFonts w:ascii="Times New Roman" w:hAnsi="Times New Roman" w:cs="Times New Roman"/>
          <w:sz w:val="24"/>
          <w:szCs w:val="24"/>
        </w:rPr>
        <w:t>przeciw</w:t>
      </w:r>
      <w:r w:rsidR="00B11732" w:rsidRPr="00E11754">
        <w:rPr>
          <w:rFonts w:ascii="Times New Roman" w:hAnsi="Times New Roman" w:cs="Times New Roman"/>
          <w:sz w:val="24"/>
          <w:szCs w:val="24"/>
        </w:rPr>
        <w:t>nowotworow</w:t>
      </w:r>
      <w:r w:rsidR="00357980" w:rsidRPr="00E11754">
        <w:rPr>
          <w:rFonts w:ascii="Times New Roman" w:hAnsi="Times New Roman" w:cs="Times New Roman"/>
          <w:sz w:val="24"/>
          <w:szCs w:val="24"/>
        </w:rPr>
        <w:t>ych</w:t>
      </w:r>
      <w:r w:rsidR="000E5F4C" w:rsidRPr="00E11754">
        <w:rPr>
          <w:rFonts w:ascii="Times New Roman" w:hAnsi="Times New Roman" w:cs="Times New Roman"/>
          <w:sz w:val="24"/>
          <w:szCs w:val="24"/>
        </w:rPr>
        <w:t>.</w:t>
      </w:r>
      <w:r w:rsidR="000E5F4C" w:rsidRPr="00E11754">
        <w:rPr>
          <w:rFonts w:ascii="Times New Roman" w:hAnsi="Times New Roman" w:cs="Times New Roman"/>
          <w:color w:val="FF0000"/>
          <w:sz w:val="24"/>
          <w:szCs w:val="24"/>
        </w:rPr>
        <w:t xml:space="preserve"> </w:t>
      </w:r>
      <w:r w:rsidR="006F14E0" w:rsidRPr="00E11754">
        <w:rPr>
          <w:rFonts w:ascii="Times New Roman" w:hAnsi="Times New Roman" w:cs="Times New Roman"/>
          <w:sz w:val="24"/>
          <w:szCs w:val="24"/>
        </w:rPr>
        <w:t>O</w:t>
      </w:r>
      <w:r w:rsidR="000E5F4C" w:rsidRPr="00E11754">
        <w:rPr>
          <w:rFonts w:ascii="Times New Roman" w:hAnsi="Times New Roman" w:cs="Times New Roman"/>
          <w:sz w:val="24"/>
          <w:szCs w:val="24"/>
        </w:rPr>
        <w:t>becnie</w:t>
      </w:r>
      <w:r w:rsidR="006F14E0" w:rsidRPr="00E11754">
        <w:rPr>
          <w:rFonts w:ascii="Times New Roman" w:hAnsi="Times New Roman" w:cs="Times New Roman"/>
          <w:sz w:val="24"/>
          <w:szCs w:val="24"/>
        </w:rPr>
        <w:t xml:space="preserve">, </w:t>
      </w:r>
      <w:r w:rsidR="008C64AF" w:rsidRPr="00E11754">
        <w:rPr>
          <w:rFonts w:ascii="Times New Roman" w:hAnsi="Times New Roman" w:cs="Times New Roman"/>
          <w:sz w:val="24"/>
          <w:szCs w:val="24"/>
        </w:rPr>
        <w:t>dostępnych jest</w:t>
      </w:r>
      <w:r w:rsidR="000E5F4C" w:rsidRPr="00E11754">
        <w:rPr>
          <w:rFonts w:ascii="Times New Roman" w:hAnsi="Times New Roman" w:cs="Times New Roman"/>
          <w:sz w:val="24"/>
          <w:szCs w:val="24"/>
        </w:rPr>
        <w:t xml:space="preserve"> szereg substancji </w:t>
      </w:r>
      <w:r w:rsidR="008C64AF" w:rsidRPr="00E11754">
        <w:rPr>
          <w:rFonts w:ascii="Times New Roman" w:hAnsi="Times New Roman" w:cs="Times New Roman"/>
          <w:sz w:val="24"/>
          <w:szCs w:val="24"/>
        </w:rPr>
        <w:t>wykazują</w:t>
      </w:r>
      <w:r w:rsidR="006F14E0" w:rsidRPr="00E11754">
        <w:rPr>
          <w:rFonts w:ascii="Times New Roman" w:hAnsi="Times New Roman" w:cs="Times New Roman"/>
          <w:sz w:val="24"/>
          <w:szCs w:val="24"/>
        </w:rPr>
        <w:t>cych</w:t>
      </w:r>
      <w:r w:rsidR="000E5F4C" w:rsidRPr="00E11754">
        <w:rPr>
          <w:rFonts w:ascii="Times New Roman" w:hAnsi="Times New Roman" w:cs="Times New Roman"/>
          <w:sz w:val="24"/>
          <w:szCs w:val="24"/>
        </w:rPr>
        <w:t xml:space="preserve"> </w:t>
      </w:r>
      <w:r w:rsidR="008C64AF" w:rsidRPr="00E11754">
        <w:rPr>
          <w:rFonts w:ascii="Times New Roman" w:hAnsi="Times New Roman" w:cs="Times New Roman"/>
          <w:sz w:val="24"/>
          <w:szCs w:val="24"/>
        </w:rPr>
        <w:t>działanie</w:t>
      </w:r>
      <w:r w:rsidR="000E5F4C" w:rsidRPr="00E11754">
        <w:rPr>
          <w:rFonts w:ascii="Times New Roman" w:hAnsi="Times New Roman" w:cs="Times New Roman"/>
          <w:sz w:val="24"/>
          <w:szCs w:val="24"/>
        </w:rPr>
        <w:t xml:space="preserve"> </w:t>
      </w:r>
      <w:r w:rsidR="005F02E9" w:rsidRPr="00E11754">
        <w:rPr>
          <w:rFonts w:ascii="Times New Roman" w:hAnsi="Times New Roman" w:cs="Times New Roman"/>
          <w:sz w:val="24"/>
          <w:szCs w:val="24"/>
        </w:rPr>
        <w:t>przeciwnowotworowe</w:t>
      </w:r>
      <w:r w:rsidR="00CC6819" w:rsidRPr="00E11754">
        <w:rPr>
          <w:rFonts w:ascii="Times New Roman" w:hAnsi="Times New Roman" w:cs="Times New Roman"/>
          <w:sz w:val="24"/>
          <w:szCs w:val="24"/>
        </w:rPr>
        <w:t xml:space="preserve"> o zróżnicowanych mechanizmach działania farmakologicznego</w:t>
      </w:r>
      <w:r w:rsidR="000E5F4C" w:rsidRPr="00E11754">
        <w:rPr>
          <w:rFonts w:ascii="Times New Roman" w:hAnsi="Times New Roman" w:cs="Times New Roman"/>
          <w:sz w:val="24"/>
          <w:szCs w:val="24"/>
        </w:rPr>
        <w:t>.</w:t>
      </w:r>
      <w:r w:rsidR="000757A5" w:rsidRPr="00E11754">
        <w:rPr>
          <w:rFonts w:ascii="Times New Roman" w:hAnsi="Times New Roman" w:cs="Times New Roman"/>
          <w:sz w:val="24"/>
          <w:szCs w:val="24"/>
        </w:rPr>
        <w:t xml:space="preserve"> Leki te można stosować pojedynczo lub w połączeniu z lekami o odmiennych mechanizmach, co z uwagi na ich różnicowany profil działania farmakologicznego pozwala osiągnąć wyższą skuteczność terapeutyczną</w:t>
      </w:r>
      <w:r w:rsidR="00A5227D" w:rsidRPr="00E11754">
        <w:rPr>
          <w:rFonts w:ascii="Times New Roman" w:hAnsi="Times New Roman" w:cs="Times New Roman"/>
          <w:sz w:val="24"/>
          <w:szCs w:val="24"/>
        </w:rPr>
        <w:t xml:space="preserve">, a jednocześnie obniżyć skutki działań niepożądanych, gdyż dawki pojedynczych leków są wówczas niższe niż w przypadku </w:t>
      </w:r>
      <w:proofErr w:type="spellStart"/>
      <w:r w:rsidR="00A5227D" w:rsidRPr="00E11754">
        <w:rPr>
          <w:rFonts w:ascii="Times New Roman" w:hAnsi="Times New Roman" w:cs="Times New Roman"/>
          <w:sz w:val="24"/>
          <w:szCs w:val="24"/>
        </w:rPr>
        <w:t>monoterapii</w:t>
      </w:r>
      <w:proofErr w:type="spellEnd"/>
      <w:r w:rsidR="00625E87">
        <w:rPr>
          <w:rFonts w:ascii="Times New Roman" w:hAnsi="Times New Roman" w:cs="Times New Roman"/>
          <w:sz w:val="24"/>
          <w:szCs w:val="24"/>
        </w:rPr>
        <w:t xml:space="preserve"> </w:t>
      </w:r>
      <w:r w:rsidR="00625E87">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{"citationItems":[{"id":"ITEM-1","itemData":{"DOI":"10.1016/j.mpsur.2017.12.002","ISSN":"18781764","abstract":"Chemotherapy drugs exert their effects by interfering with the cell cycle and the process of mitosis. Their therapeutic use stems from their ability to cause a greater proportion of cell kill in cancer cells as opposed to normal cells. In this article we discuss the clinical uses of chemotherapy, their mechanism of action, important toxicities and patterns of resistance.","author":[{"dropping-particle":"","family":"Dickens","given":"Elena","non-dropping-particle":"","parse-names":false,"suffix":""},{"dropping-particle":"","family":"Ahmed","given":"Samreen","non-dropping-particle":"","parse-names":false,"suffix":""}],"container-title":"Surgery (United Kingdom)","id":"ITEM-1","issue":"3","issued":{"date-parts":[["2018"]]},"page":"134-138","publisher":"Elsevier Ltd","title":"Principles of cancer treatment by chemotherapy","type":"article-journal","volume":"36"},"uris":["http://www.mendeley.com/documents/?uuid=f8844601-8072-4169-a54c-7a9e9753e7c8"]}],"mendeley":{"formattedCitation":"[14]","plainTextFormattedCitation":"[14]","previouslyFormattedCitation":"[14]"},"properties":{"noteIndex":0},"schema":"https://github.com/citation-style-language/schema/raw/master/csl-citation.json"}</w:instrText>
      </w:r>
      <w:r w:rsidR="00625E87">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[14]</w:t>
      </w:r>
      <w:r w:rsidR="00625E87">
        <w:rPr>
          <w:rFonts w:ascii="Times New Roman" w:hAnsi="Times New Roman" w:cs="Times New Roman"/>
          <w:sz w:val="24"/>
          <w:szCs w:val="24"/>
        </w:rPr>
        <w:fldChar w:fldCharType="end"/>
      </w:r>
      <w:r w:rsidR="000757A5" w:rsidRPr="00E11754">
        <w:rPr>
          <w:rFonts w:ascii="Times New Roman" w:hAnsi="Times New Roman" w:cs="Times New Roman"/>
          <w:sz w:val="24"/>
          <w:szCs w:val="24"/>
        </w:rPr>
        <w:t>.</w:t>
      </w:r>
      <w:r w:rsidR="006F14E0" w:rsidRPr="00E11754">
        <w:rPr>
          <w:rStyle w:val="Odwoaniedokomentarza"/>
          <w:rFonts w:ascii="Times New Roman" w:hAnsi="Times New Roman" w:cs="Times New Roman"/>
          <w:sz w:val="24"/>
          <w:szCs w:val="24"/>
        </w:rPr>
        <w:t xml:space="preserve"> </w:t>
      </w:r>
    </w:p>
    <w:p w14:paraId="63C57D25" w14:textId="05755A92" w:rsidR="000757A5" w:rsidRPr="00E11754" w:rsidRDefault="006F14E0" w:rsidP="006C6CAA">
      <w:pPr>
        <w:spacing w:line="360" w:lineRule="auto"/>
        <w:ind w:firstLine="708"/>
        <w:jc w:val="both"/>
        <w:rPr>
          <w:rStyle w:val="Odwoaniedokomentarza"/>
          <w:rFonts w:ascii="Times New Roman" w:hAnsi="Times New Roman" w:cs="Times New Roman"/>
          <w:sz w:val="24"/>
          <w:szCs w:val="24"/>
        </w:rPr>
      </w:pPr>
      <w:r w:rsidRPr="00E11754">
        <w:rPr>
          <w:rStyle w:val="Odwoaniedokomentarza"/>
          <w:rFonts w:ascii="Times New Roman" w:hAnsi="Times New Roman" w:cs="Times New Roman"/>
          <w:sz w:val="24"/>
          <w:szCs w:val="24"/>
        </w:rPr>
        <w:t xml:space="preserve">Wymienione powyżej sposoby leczenia należą do podstawowych </w:t>
      </w:r>
      <w:r w:rsidR="18D94345" w:rsidRPr="00E11754">
        <w:rPr>
          <w:rStyle w:val="Odwoaniedokomentarza"/>
          <w:rFonts w:ascii="Times New Roman" w:hAnsi="Times New Roman" w:cs="Times New Roman"/>
          <w:sz w:val="24"/>
          <w:szCs w:val="24"/>
        </w:rPr>
        <w:t>modeli terapeutycznych stosowanych dla pacjentów ze zdiagnozowanymi nowotworami</w:t>
      </w:r>
      <w:r w:rsidRPr="00E11754">
        <w:rPr>
          <w:rStyle w:val="Odwoaniedokomentarza"/>
          <w:rFonts w:ascii="Times New Roman" w:hAnsi="Times New Roman" w:cs="Times New Roman"/>
          <w:sz w:val="24"/>
          <w:szCs w:val="24"/>
        </w:rPr>
        <w:t>.</w:t>
      </w:r>
    </w:p>
    <w:p w14:paraId="6F1EC9AD" w14:textId="3C271FC7" w:rsidR="7FED27BB" w:rsidRPr="00E11754" w:rsidRDefault="7FED27BB" w:rsidP="7FED27BB">
      <w:pPr>
        <w:spacing w:line="360" w:lineRule="auto"/>
        <w:ind w:firstLine="708"/>
        <w:jc w:val="both"/>
        <w:rPr>
          <w:rFonts w:ascii="Times New Roman" w:hAnsi="Times New Roman" w:cs="Times New Roman"/>
          <w:sz w:val="24"/>
          <w:szCs w:val="24"/>
        </w:rPr>
      </w:pPr>
    </w:p>
    <w:p w14:paraId="4DADE41B" w14:textId="7491EA4E" w:rsidR="00EC7792" w:rsidRPr="00E11754" w:rsidRDefault="0560FCF3" w:rsidP="0560FCF3">
      <w:pPr>
        <w:pStyle w:val="Nagwek2"/>
        <w:numPr>
          <w:ilvl w:val="1"/>
          <w:numId w:val="13"/>
        </w:numPr>
        <w:rPr>
          <w:rFonts w:ascii="Times New Roman" w:hAnsi="Times New Roman" w:cs="Times New Roman"/>
          <w:b/>
          <w:bCs/>
          <w:sz w:val="24"/>
          <w:szCs w:val="24"/>
        </w:rPr>
      </w:pPr>
      <w:bookmarkStart w:id="12" w:name="_Toc137702473"/>
      <w:r w:rsidRPr="00E11754">
        <w:rPr>
          <w:rFonts w:ascii="Times New Roman" w:hAnsi="Times New Roman" w:cs="Times New Roman"/>
          <w:b/>
          <w:bCs/>
          <w:sz w:val="24"/>
          <w:szCs w:val="24"/>
        </w:rPr>
        <w:t>Charakterystyka leków przeciwnowotworowych</w:t>
      </w:r>
      <w:bookmarkEnd w:id="12"/>
    </w:p>
    <w:p w14:paraId="2A167E91" w14:textId="77777777" w:rsidR="00AF2E6F" w:rsidRPr="00E11754" w:rsidRDefault="00AF2E6F" w:rsidP="006C6CAA">
      <w:pPr>
        <w:pStyle w:val="Akapitzlist"/>
        <w:ind w:left="1213"/>
        <w:rPr>
          <w:rFonts w:ascii="Times New Roman" w:hAnsi="Times New Roman" w:cs="Times New Roman"/>
          <w:b/>
          <w:bCs/>
          <w:i/>
          <w:iCs/>
          <w:sz w:val="24"/>
          <w:szCs w:val="24"/>
        </w:rPr>
      </w:pPr>
    </w:p>
    <w:p w14:paraId="481E29DF" w14:textId="789A5DE5" w:rsidR="00994FD5" w:rsidRPr="00E11754" w:rsidRDefault="2BA7FFDF" w:rsidP="4108A403">
      <w:pPr>
        <w:spacing w:line="360" w:lineRule="auto"/>
        <w:ind w:firstLine="567"/>
        <w:jc w:val="both"/>
        <w:rPr>
          <w:rFonts w:ascii="Times New Roman" w:hAnsi="Times New Roman" w:cs="Times New Roman"/>
          <w:sz w:val="24"/>
          <w:szCs w:val="24"/>
        </w:rPr>
      </w:pPr>
      <w:r w:rsidRPr="00E11754">
        <w:rPr>
          <w:rFonts w:ascii="Times New Roman" w:hAnsi="Times New Roman" w:cs="Times New Roman"/>
          <w:sz w:val="24"/>
          <w:szCs w:val="24"/>
        </w:rPr>
        <w:t xml:space="preserve">Jak wspomniano powyżej, stosowanie leków przeciwnowotworowych ma na celu eliminację komórek nowotworowych, które dzielą się w sposób niekontrolowany w organizmie chorego. Pomimo swojej wysokiej skuteczności onkologicznej, substancje te działają również na zdrowe komórki organizmu, które mają zdolność do szybkiego podziału. W większości przypadków leki te są podawane dożylnie bądź doustnie, ale mogą być także aplikowane domięśniowo bądź </w:t>
      </w:r>
      <w:r w:rsidR="00906C34">
        <w:rPr>
          <w:rFonts w:ascii="Times New Roman" w:hAnsi="Times New Roman" w:cs="Times New Roman"/>
          <w:sz w:val="24"/>
          <w:szCs w:val="24"/>
        </w:rPr>
        <w:t xml:space="preserve">też </w:t>
      </w:r>
      <w:r w:rsidRPr="00E11754">
        <w:rPr>
          <w:rFonts w:ascii="Times New Roman" w:hAnsi="Times New Roman" w:cs="Times New Roman"/>
          <w:sz w:val="24"/>
          <w:szCs w:val="24"/>
        </w:rPr>
        <w:t>do jam ciała np. do pęcherza moczowego.</w:t>
      </w:r>
      <w:r w:rsidRPr="00E11754">
        <w:rPr>
          <w:rFonts w:ascii="Times New Roman" w:hAnsi="Times New Roman" w:cs="Times New Roman"/>
          <w:color w:val="FF0000"/>
          <w:sz w:val="24"/>
          <w:szCs w:val="24"/>
        </w:rPr>
        <w:t xml:space="preserve"> </w:t>
      </w:r>
      <w:r w:rsidRPr="00E11754">
        <w:rPr>
          <w:rFonts w:ascii="Times New Roman" w:hAnsi="Times New Roman" w:cs="Times New Roman"/>
          <w:sz w:val="24"/>
          <w:szCs w:val="24"/>
        </w:rPr>
        <w:t xml:space="preserve">Ze względu na mechanizm działania można wyróżnić szereg ich grup tj. leki alkilujące, antymetabolity, hormonoterapia, immunoterapia oraz </w:t>
      </w:r>
      <w:proofErr w:type="spellStart"/>
      <w:r w:rsidRPr="00E11754">
        <w:rPr>
          <w:rFonts w:ascii="Times New Roman" w:hAnsi="Times New Roman" w:cs="Times New Roman"/>
          <w:sz w:val="24"/>
          <w:szCs w:val="24"/>
        </w:rPr>
        <w:t>antracykliny</w:t>
      </w:r>
      <w:proofErr w:type="spellEnd"/>
      <w:r w:rsidRPr="00E11754">
        <w:rPr>
          <w:rFonts w:ascii="Times New Roman" w:hAnsi="Times New Roman" w:cs="Times New Roman"/>
          <w:sz w:val="24"/>
          <w:szCs w:val="24"/>
        </w:rPr>
        <w:t xml:space="preserve"> i </w:t>
      </w:r>
      <w:proofErr w:type="spellStart"/>
      <w:r w:rsidRPr="00E11754">
        <w:rPr>
          <w:rFonts w:ascii="Times New Roman" w:hAnsi="Times New Roman" w:cs="Times New Roman"/>
          <w:sz w:val="24"/>
          <w:szCs w:val="24"/>
        </w:rPr>
        <w:t>taksany</w:t>
      </w:r>
      <w:proofErr w:type="spellEnd"/>
      <w:r w:rsidRPr="00E11754">
        <w:rPr>
          <w:rFonts w:ascii="Times New Roman" w:hAnsi="Times New Roman" w:cs="Times New Roman"/>
          <w:sz w:val="24"/>
          <w:szCs w:val="24"/>
        </w:rPr>
        <w:t xml:space="preserve"> </w:t>
      </w:r>
      <w:r w:rsidR="0045352A" w:rsidRPr="00E11754">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{"citationItems":[{"id":"ITEM-1","itemData":{"author":[{"dropping-particle":"","family":"Warguła","given":"Joanna","non-dropping-particle":"","parse-names":false,"suffix":""}],"container-title":"Prospects in Pharmaceutical Sciences","id":"ITEM-1","issue":"3","issued":{"date-parts":[["2022"]]},"page":"1-10","title":"Outline of the history of drug synthesis with particular emphasis on anticancer and antibacterial drugs","type":"article-journal","volume":"20"},"uris":["http://www.mendeley.com/documents/?uuid=2cb730b1-30d9-4e9b-b64e-aabed4c86e33"]}],"mendeley":{"formattedCitation":"[28]","plainTextFormattedCitation":"[28]","previouslyFormattedCitation":"[28]"},"properties":{"noteIndex":0},"schema":"https://github.com/citation-style-language/schema/raw/master/csl-citation.json"}</w:instrText>
      </w:r>
      <w:r w:rsidR="0045352A" w:rsidRPr="00E11754">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[28]</w:t>
      </w:r>
      <w:r w:rsidR="0045352A" w:rsidRPr="00E11754">
        <w:rPr>
          <w:rFonts w:ascii="Times New Roman" w:hAnsi="Times New Roman" w:cs="Times New Roman"/>
          <w:sz w:val="24"/>
          <w:szCs w:val="24"/>
        </w:rPr>
        <w:fldChar w:fldCharType="end"/>
      </w:r>
      <w:r w:rsidR="18D94345" w:rsidRPr="00E11754">
        <w:rPr>
          <w:rFonts w:ascii="Times New Roman" w:hAnsi="Times New Roman" w:cs="Times New Roman"/>
          <w:sz w:val="24"/>
          <w:szCs w:val="24"/>
        </w:rPr>
        <w:t>,</w:t>
      </w:r>
      <w:r w:rsidRPr="00E11754">
        <w:rPr>
          <w:rFonts w:ascii="Times New Roman" w:hAnsi="Times New Roman" w:cs="Times New Roman"/>
          <w:sz w:val="24"/>
          <w:szCs w:val="24"/>
        </w:rPr>
        <w:t xml:space="preserve"> których bardziej szczegółowy opis przedstawiono poniżej. </w:t>
      </w:r>
    </w:p>
    <w:p w14:paraId="3325B468" w14:textId="4B321256" w:rsidR="7FED27BB" w:rsidRPr="00E11754" w:rsidRDefault="7FED27BB" w:rsidP="7FED27BB">
      <w:pPr>
        <w:spacing w:line="360" w:lineRule="auto"/>
        <w:ind w:firstLine="567"/>
        <w:jc w:val="both"/>
        <w:rPr>
          <w:rFonts w:ascii="Times New Roman" w:hAnsi="Times New Roman" w:cs="Times New Roman"/>
          <w:sz w:val="24"/>
          <w:szCs w:val="24"/>
        </w:rPr>
      </w:pPr>
    </w:p>
    <w:p w14:paraId="5F2DA1EB" w14:textId="1FF42137" w:rsidR="00443BB3" w:rsidRPr="00E11754" w:rsidRDefault="607BFCA9" w:rsidP="000D6A5E">
      <w:pPr>
        <w:pStyle w:val="Nagwek3"/>
        <w:keepNext w:val="0"/>
        <w:keepLines w:val="0"/>
        <w:spacing w:before="120" w:after="120"/>
        <w:jc w:val="both"/>
        <w:rPr>
          <w:rStyle w:val="Nagwek3Znak"/>
          <w:rFonts w:ascii="Times New Roman" w:hAnsi="Times New Roman" w:cs="Times New Roman"/>
          <w:b/>
          <w:bCs/>
          <w:i/>
          <w:iCs/>
        </w:rPr>
      </w:pPr>
      <w:bookmarkStart w:id="13" w:name="_Toc137702474"/>
      <w:r w:rsidRPr="00E11754">
        <w:rPr>
          <w:rStyle w:val="Nagwek3Znak"/>
          <w:rFonts w:ascii="Times New Roman" w:hAnsi="Times New Roman" w:cs="Times New Roman"/>
          <w:b/>
          <w:bCs/>
          <w:i/>
          <w:iCs/>
        </w:rPr>
        <w:t xml:space="preserve">1.4.1. </w:t>
      </w:r>
      <w:proofErr w:type="spellStart"/>
      <w:r w:rsidRPr="00E11754">
        <w:rPr>
          <w:rStyle w:val="Nagwek3Znak"/>
          <w:rFonts w:ascii="Times New Roman" w:hAnsi="Times New Roman" w:cs="Times New Roman"/>
          <w:b/>
          <w:bCs/>
          <w:i/>
          <w:iCs/>
        </w:rPr>
        <w:t>Antracykliny</w:t>
      </w:r>
      <w:bookmarkEnd w:id="13"/>
      <w:proofErr w:type="spellEnd"/>
    </w:p>
    <w:p w14:paraId="318495CC" w14:textId="620583DE" w:rsidR="009C07A9" w:rsidRPr="00E11754" w:rsidRDefault="00BC390F" w:rsidP="000D6A5E">
      <w:pPr>
        <w:spacing w:before="120" w:after="120" w:line="360" w:lineRule="auto"/>
        <w:ind w:firstLine="708"/>
        <w:jc w:val="both"/>
        <w:rPr>
          <w:rFonts w:ascii="Times New Roman" w:hAnsi="Times New Roman" w:cs="Times New Roman"/>
          <w:color w:val="000000"/>
          <w:sz w:val="24"/>
          <w:szCs w:val="24"/>
        </w:rPr>
      </w:pPr>
      <w:r w:rsidRPr="00E11754">
        <w:rPr>
          <w:rFonts w:ascii="Times New Roman" w:hAnsi="Times New Roman" w:cs="Times New Roman"/>
          <w:sz w:val="24"/>
          <w:szCs w:val="24"/>
        </w:rPr>
        <w:t xml:space="preserve">Jest to grupa </w:t>
      </w:r>
      <w:r w:rsidR="002B60AA" w:rsidRPr="00E11754">
        <w:rPr>
          <w:rFonts w:ascii="Times New Roman" w:hAnsi="Times New Roman" w:cs="Times New Roman"/>
          <w:sz w:val="24"/>
          <w:szCs w:val="24"/>
        </w:rPr>
        <w:t xml:space="preserve">antybiotyków cytostatycznych </w:t>
      </w:r>
      <w:r w:rsidRPr="00E11754">
        <w:rPr>
          <w:rFonts w:ascii="Times New Roman" w:hAnsi="Times New Roman" w:cs="Times New Roman"/>
          <w:sz w:val="24"/>
          <w:szCs w:val="24"/>
        </w:rPr>
        <w:t>pochodzenia naturalnego</w:t>
      </w:r>
      <w:r w:rsidR="002B60AA" w:rsidRPr="00E11754">
        <w:rPr>
          <w:rFonts w:ascii="Times New Roman" w:hAnsi="Times New Roman" w:cs="Times New Roman"/>
          <w:sz w:val="24"/>
          <w:szCs w:val="24"/>
        </w:rPr>
        <w:t xml:space="preserve"> oraz syntetycznego. </w:t>
      </w:r>
      <w:r w:rsidRPr="00E11754">
        <w:rPr>
          <w:rFonts w:ascii="Times New Roman" w:hAnsi="Times New Roman" w:cs="Times New Roman"/>
          <w:sz w:val="24"/>
          <w:szCs w:val="24"/>
        </w:rPr>
        <w:t>Pierwszą substancją wyekstrahowaną ze szczepu bakterii</w:t>
      </w:r>
      <w:r w:rsidRPr="00E11754">
        <w:rPr>
          <w:rStyle w:val="Nagwek3Znak"/>
          <w:rFonts w:ascii="Times New Roman" w:hAnsi="Times New Roman" w:cs="Times New Roman"/>
        </w:rPr>
        <w:t xml:space="preserve"> </w:t>
      </w:r>
      <w:proofErr w:type="spellStart"/>
      <w:r w:rsidRPr="00E11754">
        <w:rPr>
          <w:rFonts w:ascii="Times New Roman" w:hAnsi="Times New Roman" w:cs="Times New Roman"/>
          <w:i/>
          <w:iCs/>
          <w:color w:val="000000"/>
          <w:sz w:val="24"/>
          <w:szCs w:val="24"/>
        </w:rPr>
        <w:t>Streptomyces</w:t>
      </w:r>
      <w:proofErr w:type="spellEnd"/>
      <w:r w:rsidRPr="00E11754">
        <w:rPr>
          <w:rFonts w:ascii="Times New Roman" w:hAnsi="Times New Roman" w:cs="Times New Roman"/>
          <w:i/>
          <w:iCs/>
          <w:color w:val="000000"/>
          <w:sz w:val="24"/>
          <w:szCs w:val="24"/>
        </w:rPr>
        <w:t xml:space="preserve"> </w:t>
      </w:r>
      <w:proofErr w:type="spellStart"/>
      <w:r w:rsidRPr="00E11754">
        <w:rPr>
          <w:rFonts w:ascii="Times New Roman" w:hAnsi="Times New Roman" w:cs="Times New Roman"/>
          <w:i/>
          <w:iCs/>
          <w:color w:val="000000"/>
          <w:sz w:val="24"/>
          <w:szCs w:val="24"/>
        </w:rPr>
        <w:t>peucetius</w:t>
      </w:r>
      <w:proofErr w:type="spellEnd"/>
      <w:r w:rsidRPr="00E11754">
        <w:rPr>
          <w:rFonts w:ascii="Times New Roman" w:hAnsi="Times New Roman" w:cs="Times New Roman"/>
          <w:i/>
          <w:iCs/>
          <w:color w:val="000000"/>
          <w:sz w:val="24"/>
          <w:szCs w:val="24"/>
        </w:rPr>
        <w:t xml:space="preserve"> </w:t>
      </w:r>
      <w:r w:rsidRPr="00E11754">
        <w:rPr>
          <w:rFonts w:ascii="Times New Roman" w:hAnsi="Times New Roman" w:cs="Times New Roman"/>
          <w:color w:val="000000"/>
          <w:sz w:val="24"/>
          <w:szCs w:val="24"/>
        </w:rPr>
        <w:t xml:space="preserve">była </w:t>
      </w:r>
      <w:proofErr w:type="spellStart"/>
      <w:r w:rsidRPr="00E11754">
        <w:rPr>
          <w:rFonts w:ascii="Times New Roman" w:hAnsi="Times New Roman" w:cs="Times New Roman"/>
          <w:b/>
          <w:bCs/>
          <w:color w:val="000000"/>
          <w:sz w:val="24"/>
          <w:szCs w:val="24"/>
        </w:rPr>
        <w:t>daunorubicyna</w:t>
      </w:r>
      <w:proofErr w:type="spellEnd"/>
      <w:r w:rsidRPr="00E11754">
        <w:rPr>
          <w:rFonts w:ascii="Times New Roman" w:hAnsi="Times New Roman" w:cs="Times New Roman"/>
          <w:color w:val="000000"/>
          <w:sz w:val="24"/>
          <w:szCs w:val="24"/>
        </w:rPr>
        <w:t>.</w:t>
      </w:r>
      <w:r w:rsidR="009D7D8A" w:rsidRPr="00E11754">
        <w:rPr>
          <w:rFonts w:ascii="Times New Roman" w:hAnsi="Times New Roman" w:cs="Times New Roman"/>
          <w:color w:val="000000"/>
          <w:sz w:val="24"/>
          <w:szCs w:val="24"/>
        </w:rPr>
        <w:t xml:space="preserve"> </w:t>
      </w:r>
      <w:r w:rsidRPr="00E11754">
        <w:rPr>
          <w:rFonts w:ascii="Times New Roman" w:hAnsi="Times New Roman" w:cs="Times New Roman"/>
          <w:color w:val="000000"/>
          <w:sz w:val="24"/>
          <w:szCs w:val="24"/>
        </w:rPr>
        <w:t xml:space="preserve">Z kolei ze szczepu </w:t>
      </w:r>
      <w:proofErr w:type="spellStart"/>
      <w:r w:rsidRPr="00E11754">
        <w:rPr>
          <w:rFonts w:ascii="Times New Roman" w:hAnsi="Times New Roman" w:cs="Times New Roman"/>
          <w:i/>
          <w:iCs/>
          <w:color w:val="000000"/>
          <w:sz w:val="24"/>
          <w:szCs w:val="24"/>
        </w:rPr>
        <w:t>Streptomyces</w:t>
      </w:r>
      <w:proofErr w:type="spellEnd"/>
      <w:r w:rsidRPr="00E11754">
        <w:rPr>
          <w:rFonts w:ascii="Times New Roman" w:hAnsi="Times New Roman" w:cs="Times New Roman"/>
          <w:i/>
          <w:iCs/>
          <w:color w:val="000000"/>
          <w:sz w:val="24"/>
          <w:szCs w:val="24"/>
        </w:rPr>
        <w:t xml:space="preserve"> </w:t>
      </w:r>
      <w:proofErr w:type="spellStart"/>
      <w:r w:rsidRPr="00E11754">
        <w:rPr>
          <w:rFonts w:ascii="Times New Roman" w:hAnsi="Times New Roman" w:cs="Times New Roman"/>
          <w:i/>
          <w:iCs/>
          <w:color w:val="000000"/>
          <w:sz w:val="24"/>
          <w:szCs w:val="24"/>
        </w:rPr>
        <w:t>caesius</w:t>
      </w:r>
      <w:proofErr w:type="spellEnd"/>
      <w:r w:rsidRPr="00E11754">
        <w:rPr>
          <w:rFonts w:ascii="Times New Roman" w:hAnsi="Times New Roman" w:cs="Times New Roman"/>
          <w:i/>
          <w:iCs/>
          <w:color w:val="000000"/>
          <w:sz w:val="24"/>
          <w:szCs w:val="24"/>
        </w:rPr>
        <w:t xml:space="preserve"> </w:t>
      </w:r>
      <w:r w:rsidRPr="00E11754">
        <w:rPr>
          <w:rFonts w:ascii="Times New Roman" w:hAnsi="Times New Roman" w:cs="Times New Roman"/>
          <w:color w:val="000000"/>
          <w:sz w:val="24"/>
          <w:szCs w:val="24"/>
        </w:rPr>
        <w:t xml:space="preserve">wyizolowano </w:t>
      </w:r>
      <w:proofErr w:type="spellStart"/>
      <w:r w:rsidRPr="00E11754">
        <w:rPr>
          <w:rFonts w:ascii="Times New Roman" w:hAnsi="Times New Roman" w:cs="Times New Roman"/>
          <w:b/>
          <w:bCs/>
          <w:color w:val="000000"/>
          <w:sz w:val="24"/>
          <w:szCs w:val="24"/>
        </w:rPr>
        <w:t>doksorubicynę</w:t>
      </w:r>
      <w:proofErr w:type="spellEnd"/>
      <w:r w:rsidR="007909F2" w:rsidRPr="00E11754">
        <w:rPr>
          <w:rFonts w:ascii="Times New Roman" w:hAnsi="Times New Roman" w:cs="Times New Roman"/>
          <w:color w:val="000000"/>
          <w:sz w:val="24"/>
          <w:szCs w:val="24"/>
        </w:rPr>
        <w:t xml:space="preserve">. </w:t>
      </w:r>
      <w:r w:rsidR="00C23ADB" w:rsidRPr="00E11754">
        <w:rPr>
          <w:rFonts w:ascii="Times New Roman" w:hAnsi="Times New Roman" w:cs="Times New Roman"/>
          <w:color w:val="000000"/>
          <w:sz w:val="24"/>
          <w:szCs w:val="24"/>
        </w:rPr>
        <w:t>D</w:t>
      </w:r>
      <w:r w:rsidRPr="00E11754">
        <w:rPr>
          <w:rFonts w:ascii="Times New Roman" w:hAnsi="Times New Roman" w:cs="Times New Roman"/>
          <w:color w:val="000000"/>
          <w:sz w:val="24"/>
          <w:szCs w:val="24"/>
        </w:rPr>
        <w:t xml:space="preserve">o tej grupy należy również </w:t>
      </w:r>
      <w:proofErr w:type="spellStart"/>
      <w:r w:rsidRPr="00E11754">
        <w:rPr>
          <w:rFonts w:ascii="Times New Roman" w:hAnsi="Times New Roman" w:cs="Times New Roman"/>
          <w:b/>
          <w:bCs/>
          <w:color w:val="000000"/>
          <w:sz w:val="24"/>
          <w:szCs w:val="24"/>
        </w:rPr>
        <w:t>epirubicyna</w:t>
      </w:r>
      <w:proofErr w:type="spellEnd"/>
      <w:r w:rsidRPr="00E11754">
        <w:rPr>
          <w:rFonts w:ascii="Times New Roman" w:hAnsi="Times New Roman" w:cs="Times New Roman"/>
          <w:color w:val="000000"/>
          <w:sz w:val="24"/>
          <w:szCs w:val="24"/>
        </w:rPr>
        <w:t xml:space="preserve"> oraz </w:t>
      </w:r>
      <w:proofErr w:type="spellStart"/>
      <w:r w:rsidRPr="00E11754">
        <w:rPr>
          <w:rFonts w:ascii="Times New Roman" w:hAnsi="Times New Roman" w:cs="Times New Roman"/>
          <w:b/>
          <w:bCs/>
          <w:color w:val="000000"/>
          <w:sz w:val="24"/>
          <w:szCs w:val="24"/>
        </w:rPr>
        <w:t>idarubicyna</w:t>
      </w:r>
      <w:proofErr w:type="spellEnd"/>
      <w:r w:rsidR="00C23ADB" w:rsidRPr="00E11754">
        <w:rPr>
          <w:rFonts w:ascii="Times New Roman" w:hAnsi="Times New Roman" w:cs="Times New Roman"/>
          <w:color w:val="000000"/>
          <w:sz w:val="24"/>
          <w:szCs w:val="24"/>
        </w:rPr>
        <w:t xml:space="preserve"> – </w:t>
      </w:r>
      <w:r w:rsidRPr="00E11754">
        <w:rPr>
          <w:rFonts w:ascii="Times New Roman" w:hAnsi="Times New Roman" w:cs="Times New Roman"/>
          <w:color w:val="000000"/>
          <w:sz w:val="24"/>
          <w:szCs w:val="24"/>
        </w:rPr>
        <w:t xml:space="preserve">półsyntetyczne analogi </w:t>
      </w:r>
      <w:r w:rsidR="00C23ADB" w:rsidRPr="00E11754">
        <w:rPr>
          <w:rFonts w:ascii="Times New Roman" w:hAnsi="Times New Roman" w:cs="Times New Roman"/>
          <w:color w:val="000000"/>
          <w:sz w:val="24"/>
          <w:szCs w:val="24"/>
        </w:rPr>
        <w:t xml:space="preserve">wcześniej </w:t>
      </w:r>
      <w:r w:rsidR="00C23ADB" w:rsidRPr="00E11754">
        <w:rPr>
          <w:rFonts w:ascii="Times New Roman" w:hAnsi="Times New Roman" w:cs="Times New Roman"/>
          <w:color w:val="000000"/>
          <w:sz w:val="24"/>
          <w:szCs w:val="24"/>
        </w:rPr>
        <w:lastRenderedPageBreak/>
        <w:t>wykrytych</w:t>
      </w:r>
      <w:r w:rsidRPr="00E11754">
        <w:rPr>
          <w:rFonts w:ascii="Times New Roman" w:hAnsi="Times New Roman" w:cs="Times New Roman"/>
          <w:color w:val="000000"/>
          <w:sz w:val="24"/>
          <w:szCs w:val="24"/>
        </w:rPr>
        <w:t xml:space="preserve"> </w:t>
      </w:r>
      <w:proofErr w:type="spellStart"/>
      <w:r w:rsidRPr="00E11754">
        <w:rPr>
          <w:rFonts w:ascii="Times New Roman" w:hAnsi="Times New Roman" w:cs="Times New Roman"/>
          <w:color w:val="000000"/>
          <w:sz w:val="24"/>
          <w:szCs w:val="24"/>
        </w:rPr>
        <w:t>antracyklin</w:t>
      </w:r>
      <w:proofErr w:type="spellEnd"/>
      <w:r w:rsidR="009C07A9" w:rsidRPr="00E11754">
        <w:rPr>
          <w:rFonts w:ascii="Times New Roman" w:hAnsi="Times New Roman" w:cs="Times New Roman"/>
          <w:color w:val="000000"/>
          <w:sz w:val="24"/>
          <w:szCs w:val="24"/>
        </w:rPr>
        <w:t xml:space="preserve"> (Ryc. 1)</w:t>
      </w:r>
      <w:r w:rsidRPr="00E11754">
        <w:rPr>
          <w:rFonts w:ascii="Times New Roman" w:hAnsi="Times New Roman" w:cs="Times New Roman"/>
          <w:color w:val="000000"/>
          <w:sz w:val="24"/>
          <w:szCs w:val="24"/>
        </w:rPr>
        <w:t xml:space="preserve">. </w:t>
      </w:r>
      <w:r w:rsidR="009C07A9" w:rsidRPr="00E11754">
        <w:rPr>
          <w:rFonts w:ascii="Times New Roman" w:hAnsi="Times New Roman" w:cs="Times New Roman"/>
          <w:color w:val="000000"/>
          <w:sz w:val="24"/>
          <w:szCs w:val="24"/>
        </w:rPr>
        <w:t xml:space="preserve">Ogólna struktura chemiczna </w:t>
      </w:r>
      <w:proofErr w:type="spellStart"/>
      <w:r w:rsidR="009C07A9" w:rsidRPr="00E11754">
        <w:rPr>
          <w:rFonts w:ascii="Times New Roman" w:hAnsi="Times New Roman" w:cs="Times New Roman"/>
          <w:color w:val="000000"/>
          <w:sz w:val="24"/>
          <w:szCs w:val="24"/>
        </w:rPr>
        <w:t>antracyklin</w:t>
      </w:r>
      <w:proofErr w:type="spellEnd"/>
      <w:r w:rsidR="009C07A9" w:rsidRPr="00E11754">
        <w:rPr>
          <w:rFonts w:ascii="Times New Roman" w:hAnsi="Times New Roman" w:cs="Times New Roman"/>
          <w:color w:val="000000"/>
          <w:sz w:val="24"/>
          <w:szCs w:val="24"/>
        </w:rPr>
        <w:t xml:space="preserve"> charakteryzuje się układem pierścieniowym, który jest pochodną antrachinonu połączonym wiązaniem </w:t>
      </w:r>
      <w:r w:rsidR="009C07A9" w:rsidRPr="00E11754">
        <w:rPr>
          <w:rFonts w:ascii="Times New Roman" w:eastAsia="Times New Roman" w:hAnsi="Times New Roman" w:cs="Times New Roman"/>
          <w:sz w:val="24"/>
          <w:szCs w:val="24"/>
        </w:rPr>
        <w:t>α-glikozydowym</w:t>
      </w:r>
      <w:r w:rsidR="009C07A9" w:rsidRPr="00E11754">
        <w:rPr>
          <w:rFonts w:ascii="Times New Roman" w:hAnsi="Times New Roman" w:cs="Times New Roman"/>
          <w:color w:val="000000"/>
          <w:sz w:val="24"/>
          <w:szCs w:val="24"/>
        </w:rPr>
        <w:t xml:space="preserve"> z resztą cukrową. </w:t>
      </w:r>
    </w:p>
    <w:p w14:paraId="61E0E812" w14:textId="5FEB4CF6" w:rsidR="00C23ADB" w:rsidRPr="00E11754" w:rsidRDefault="006C6CAA" w:rsidP="00C23ADB">
      <w:pPr>
        <w:spacing w:line="360" w:lineRule="auto"/>
        <w:jc w:val="center"/>
        <w:rPr>
          <w:rFonts w:ascii="Times New Roman" w:hAnsi="Times New Roman" w:cs="Times New Roman"/>
          <w:color w:val="000000"/>
          <w:sz w:val="24"/>
          <w:szCs w:val="24"/>
        </w:rPr>
      </w:pPr>
      <w:r w:rsidRPr="00E11754">
        <w:rPr>
          <w:rFonts w:ascii="Times New Roman" w:eastAsiaTheme="majorEastAsia" w:hAnsi="Times New Roman" w:cs="Times New Roman"/>
          <w:noProof/>
          <w:color w:val="0D0D0D" w:themeColor="text1" w:themeTint="F2"/>
          <w:sz w:val="24"/>
          <w:szCs w:val="24"/>
        </w:rPr>
        <mc:AlternateContent>
          <mc:Choice Requires="wpg">
            <w:drawing>
              <wp:anchor distT="0" distB="0" distL="114300" distR="114300" simplePos="0" relativeHeight="251658240" behindDoc="0" locked="0" layoutInCell="1" allowOverlap="1" wp14:anchorId="08794411" wp14:editId="48810331">
                <wp:simplePos x="0" y="0"/>
                <wp:positionH relativeFrom="column">
                  <wp:posOffset>972185</wp:posOffset>
                </wp:positionH>
                <wp:positionV relativeFrom="paragraph">
                  <wp:posOffset>217170</wp:posOffset>
                </wp:positionV>
                <wp:extent cx="3726180" cy="2915920"/>
                <wp:effectExtent l="0" t="0" r="7620" b="0"/>
                <wp:wrapTopAndBottom/>
                <wp:docPr id="1473358781" name="Grupa 1473358781"/>
                <wp:cNvGraphicFramePr/>
                <a:graphic xmlns:a="http://schemas.openxmlformats.org/drawingml/2006/main">
                  <a:graphicData uri="http://schemas.microsoft.com/office/word/2010/wordprocessingGroup">
                    <wpg:wgp>
                      <wpg:cNvGrpSpPr/>
                      <wpg:grpSpPr>
                        <a:xfrm>
                          <a:off x="0" y="0"/>
                          <a:ext cx="3726180" cy="2915920"/>
                          <a:chOff x="-72223" y="0"/>
                          <a:chExt cx="3531703" cy="2740660"/>
                        </a:xfrm>
                      </wpg:grpSpPr>
                      <pic:pic xmlns:pic="http://schemas.openxmlformats.org/drawingml/2006/picture">
                        <pic:nvPicPr>
                          <pic:cNvPr id="380735402" name="Obraz 380735402"/>
                          <pic:cNvPicPr>
                            <a:picLocks noChangeAspect="1"/>
                          </pic:cNvPicPr>
                        </pic:nvPicPr>
                        <pic:blipFill rotWithShape="1">
                          <a:blip r:embed="rId10" cstate="print">
                            <a:extLst>
                              <a:ext uri="{28A0092B-C50C-407E-A947-70E740481C1C}">
                                <a14:useLocalDpi xmlns:a14="http://schemas.microsoft.com/office/drawing/2010/main" val="0"/>
                              </a:ext>
                            </a:extLst>
                          </a:blip>
                          <a:srcRect l="5872" t="20392" r="44828" b="10101"/>
                          <a:stretch/>
                        </pic:blipFill>
                        <pic:spPr bwMode="auto">
                          <a:xfrm>
                            <a:off x="-72223" y="0"/>
                            <a:ext cx="3455670" cy="2740660"/>
                          </a:xfrm>
                          <a:prstGeom prst="rect">
                            <a:avLst/>
                          </a:prstGeom>
                          <a:ln>
                            <a:noFill/>
                          </a:ln>
                          <a:extLst>
                            <a:ext uri="{53640926-AAD7-44D8-BBD7-CCE9431645EC}">
                              <a14:shadowObscured xmlns:a14="http://schemas.microsoft.com/office/drawing/2010/main"/>
                            </a:ext>
                          </a:extLst>
                        </pic:spPr>
                      </pic:pic>
                      <wps:wsp>
                        <wps:cNvPr id="219854734" name="Pole tekstowe 2"/>
                        <wps:cNvSpPr txBox="1">
                          <a:spLocks noChangeArrowheads="1"/>
                        </wps:cNvSpPr>
                        <wps:spPr bwMode="auto">
                          <a:xfrm>
                            <a:off x="2956560" y="645410"/>
                            <a:ext cx="502920" cy="343535"/>
                          </a:xfrm>
                          <a:prstGeom prst="rect">
                            <a:avLst/>
                          </a:prstGeom>
                          <a:solidFill>
                            <a:srgbClr val="FFFFFF"/>
                          </a:solidFill>
                          <a:ln w="9525">
                            <a:noFill/>
                            <a:miter lim="800000"/>
                            <a:headEnd/>
                            <a:tailEnd/>
                          </a:ln>
                        </wps:spPr>
                        <wps:txbx>
                          <w:txbxContent>
                            <w:p w14:paraId="139A9AF5" w14:textId="77777777" w:rsidR="006C6CAA" w:rsidRPr="006C6CAA" w:rsidRDefault="006C6CAA" w:rsidP="006C6CAA">
                              <w:pPr>
                                <w:rPr>
                                  <w:rFonts w:ascii="Times New Roman" w:hAnsi="Times New Roman" w:cs="Times New Roman"/>
                                  <w:b/>
                                  <w:bCs/>
                                  <w:sz w:val="20"/>
                                  <w:szCs w:val="20"/>
                                </w:rPr>
                              </w:pPr>
                              <w:r w:rsidRPr="006C6CAA">
                                <w:rPr>
                                  <w:rFonts w:ascii="Times New Roman" w:hAnsi="Times New Roman" w:cs="Times New Roman"/>
                                  <w:b/>
                                  <w:bCs/>
                                  <w:sz w:val="20"/>
                                  <w:szCs w:val="20"/>
                                </w:rPr>
                                <w:t>DAU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794411" id="Grupa 1473358781" o:spid="_x0000_s1026" style="position:absolute;left:0;text-align:left;margin-left:76.55pt;margin-top:17.1pt;width:293.4pt;height:229.6pt;z-index:251658240;mso-width-relative:margin;mso-height-relative:margin" coordorigin="-722" coordsize="35317,2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80735402" o:spid="_x0000_s1027" type="#_x0000_t75" style="position:absolute;left:-722;width:34556;height:2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">
                  <v:imagedata r:id="rId11" o:title="" croptop="13364f" cropbottom="6620f" cropleft="3848f" cropright="29378f"/>
                </v:shape>
                <v:shapetype id="_x0000_t202" coordsize="21600,21600" o:spt="202" path="m,l,21600r21600,l21600,xe">
                  <v:stroke joinstyle="miter"/>
                  <v:path gradientshapeok="t" o:connecttype="rect"/>
                </v:shapetype>
                <v:shape id="Pole tekstowe 2" o:spid="_x0000_s1028" type="#_x0000_t202" style="position:absolute;left:29565;top:6454;width:50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" stroked="f">
                  <v:textbox>
                    <w:txbxContent>
                      <w:p w14:paraId="139A9AF5" w14:textId="77777777" w:rsidR="006C6CAA" w:rsidRPr="006C6CAA" w:rsidRDefault="006C6CAA" w:rsidP="006C6CAA">
                        <w:pPr>
                          <w:rPr>
                            <w:rFonts w:ascii="Times New Roman" w:hAnsi="Times New Roman" w:cs="Times New Roman"/>
                            <w:b/>
                            <w:bCs/>
                            <w:sz w:val="20"/>
                            <w:szCs w:val="20"/>
                          </w:rPr>
                        </w:pPr>
                        <w:r w:rsidRPr="006C6CAA">
                          <w:rPr>
                            <w:rFonts w:ascii="Times New Roman" w:hAnsi="Times New Roman" w:cs="Times New Roman"/>
                            <w:b/>
                            <w:bCs/>
                            <w:sz w:val="20"/>
                            <w:szCs w:val="20"/>
                          </w:rPr>
                          <w:t>DAU</w:t>
                        </w:r>
                      </w:p>
                    </w:txbxContent>
                  </v:textbox>
                </v:shape>
                <w10:wrap type="topAndBottom"/>
              </v:group>
            </w:pict>
          </mc:Fallback>
        </mc:AlternateContent>
      </w:r>
    </w:p>
    <w:p w14:paraId="0C33D894" w14:textId="03CCA797" w:rsidR="00C23ADB" w:rsidRPr="00E11754" w:rsidRDefault="7918CE45" w:rsidP="7918CE45">
      <w:pPr>
        <w:spacing w:line="360" w:lineRule="auto"/>
        <w:jc w:val="center"/>
        <w:rPr>
          <w:rFonts w:ascii="Times New Roman" w:hAnsi="Times New Roman" w:cs="Times New Roman"/>
          <w:i/>
          <w:iCs/>
          <w:color w:val="000000"/>
          <w:sz w:val="24"/>
          <w:szCs w:val="24"/>
        </w:rPr>
      </w:pPr>
      <w:r w:rsidRPr="7918CE45">
        <w:rPr>
          <w:rFonts w:ascii="Times New Roman" w:hAnsi="Times New Roman" w:cs="Times New Roman"/>
          <w:b/>
          <w:bCs/>
          <w:i/>
          <w:iCs/>
          <w:color w:val="000000" w:themeColor="text1"/>
          <w:sz w:val="24"/>
          <w:szCs w:val="24"/>
        </w:rPr>
        <w:t>Ryc. 1.</w:t>
      </w:r>
      <w:r w:rsidRPr="7918CE45">
        <w:rPr>
          <w:rFonts w:ascii="Times New Roman" w:hAnsi="Times New Roman" w:cs="Times New Roman"/>
          <w:i/>
          <w:iCs/>
          <w:color w:val="000000" w:themeColor="text1"/>
          <w:sz w:val="24"/>
          <w:szCs w:val="24"/>
        </w:rPr>
        <w:t xml:space="preserve"> Struktura chemiczna </w:t>
      </w:r>
      <w:proofErr w:type="spellStart"/>
      <w:r w:rsidRPr="7918CE45">
        <w:rPr>
          <w:rFonts w:ascii="Times New Roman" w:hAnsi="Times New Roman" w:cs="Times New Roman"/>
          <w:i/>
          <w:iCs/>
          <w:color w:val="000000" w:themeColor="text1"/>
          <w:sz w:val="24"/>
          <w:szCs w:val="24"/>
        </w:rPr>
        <w:t>antracyklin</w:t>
      </w:r>
      <w:proofErr w:type="spellEnd"/>
      <w:r w:rsidRPr="7918CE45">
        <w:rPr>
          <w:rFonts w:ascii="Times New Roman" w:hAnsi="Times New Roman" w:cs="Times New Roman"/>
          <w:i/>
          <w:iCs/>
          <w:color w:val="000000" w:themeColor="text1"/>
          <w:sz w:val="24"/>
          <w:szCs w:val="24"/>
        </w:rPr>
        <w:t xml:space="preserve"> </w:t>
      </w:r>
      <w:r w:rsidR="00C23ADB" w:rsidRPr="7918CE45">
        <w:rPr>
          <w:rFonts w:ascii="Times New Roman" w:hAnsi="Times New Roman" w:cs="Times New Roman"/>
          <w:i/>
          <w:iCs/>
          <w:color w:val="000000" w:themeColor="text1"/>
          <w:sz w:val="24"/>
          <w:szCs w:val="24"/>
        </w:rPr>
        <w:fldChar w:fldCharType="begin" w:fldLock="1"/>
      </w:r>
      <w:r w:rsidR="00794BBE">
        <w:rPr>
          <w:rFonts w:ascii="Times New Roman" w:hAnsi="Times New Roman" w:cs="Times New Roman"/>
          <w:i/>
          <w:iCs/>
          <w:color w:val="000000" w:themeColor="text1"/>
          <w:sz w:val="24"/>
          <w:szCs w:val="24"/>
        </w:rPr>
        <w:instrText>ADDIN CSL_CITATION {"citationItems":[{"id":"ITEM-1","itemData":{"DOI":"10.1124/pr.56.2.6","ISSN":"00316997","PMID":"15169927","abstract":"The clinical use of anthracyclines like doxorubicin and daunorubicin can be viewed as a sort of double-edged sword. On the one hand, anthracyclines play an undisputed key role in the treatment of many neoplastic diseases; on the other hand, clironic administration of anthracyclines induces cardiomyopathy and congestive heart failure usually refractory to common medications. Second-generation analogs like epirubicin or idarubicin exhibit improvements in their therapeutic index, but the risk of inducing cardiomyopathy is not abated. It is because of their janus behavior (activity in tumors vis-à-vis toxicity in cardiomyocytes) that anthracyclines continue to attract the interest of preclinical and clinical investigations despite their longer-than-40-year record of longevity. Here we review recent progresses that may serve as a framework. for reappraising the activity and toxicity of anthracyclines on basic and clinical pharmacology grounds. We review 1) new aspects of anthracycline-induced DNA damage in cancer cells; 2) the role of iron and free radicals as causative factors of apoptosis or other forms of cardiac damage; 3) molecular mechanisms of cardiotoidc synergism between anthracyclines and other anticancer agents; 4) the pharmacologic rationale and clinical recommendations for using cardioprotectants while not interfering with tumor response; 5) the development of tumor-targeted anthracycline formulations; and 6) the designing of third-generation analogs and their assessment in preclinical or clinical settings. An overview of these issues confirms that anthracyclines remain \"evergreen\" drugs with broad clinical indications but have still an improv. able therapeutic index.","author":[{"dropping-particle":"","family":"Minotti","given":"Giorgio","non-dropping-particle":"","parse-names":false,"suffix":""},{"dropping-particle":"","family":"Menna","given":"Pierantonio","non-dropping-particle":"","parse-names":false,"suffix":""},{"dropping-particle":"","family":"Salvatorelli","given":"Emanuela","non-dropping-particle":"","parse-names":false,"suffix":""},{"dropping-particle":"","family":"Cairo","given":"Gaetano","non-dropping-particle":"","parse-names":false,"suffix":""},{"dropping-particle":"","family":"Gianni","given":"Luca","non-dropping-particle":"","parse-names":false,"suffix":""}],"container-title":"Pharmacological Reviews","id":"ITEM-1","issue":"2","issued":{"date-parts":[["2004"]]},"page":"185-229","title":"Anthracyclines: Molecular advances and pharmacologie developments in antitumor activity and cardiotoxicity","type":"article-journal","volume":"56"},"uris":["http://www.mendeley.com/documents/?uuid=427fa50d-560b-4a87-9859-353c786a7e78"]}],"mendeley":{"formattedCitation":"[29]","plainTextFormattedCitation":"[29]","previouslyFormattedCitation":"[29]"},"properties":{"noteIndex":0},"schema":"https://github.com/citation-style-language/schema/raw/master/csl-citation.json"}</w:instrText>
      </w:r>
      <w:r w:rsidR="00C23ADB" w:rsidRPr="7918CE45">
        <w:rPr>
          <w:rFonts w:ascii="Times New Roman" w:hAnsi="Times New Roman" w:cs="Times New Roman"/>
          <w:i/>
          <w:iCs/>
          <w:color w:val="000000" w:themeColor="text1"/>
          <w:sz w:val="24"/>
          <w:szCs w:val="24"/>
        </w:rPr>
        <w:fldChar w:fldCharType="separate"/>
      </w:r>
      <w:r w:rsidR="00625E87" w:rsidRPr="00625E87">
        <w:rPr>
          <w:rFonts w:ascii="Times New Roman" w:hAnsi="Times New Roman" w:cs="Times New Roman"/>
          <w:noProof/>
          <w:color w:val="000000" w:themeColor="text1"/>
          <w:sz w:val="24"/>
          <w:szCs w:val="24"/>
        </w:rPr>
        <w:t>[29]</w:t>
      </w:r>
      <w:r w:rsidR="00C23ADB" w:rsidRPr="7918CE45">
        <w:rPr>
          <w:rFonts w:ascii="Times New Roman" w:hAnsi="Times New Roman" w:cs="Times New Roman"/>
          <w:i/>
          <w:iCs/>
          <w:color w:val="000000" w:themeColor="text1"/>
          <w:sz w:val="24"/>
          <w:szCs w:val="24"/>
        </w:rPr>
        <w:fldChar w:fldCharType="end"/>
      </w:r>
      <w:r w:rsidRPr="7918CE45">
        <w:rPr>
          <w:rFonts w:ascii="Times New Roman" w:hAnsi="Times New Roman" w:cs="Times New Roman"/>
          <w:i/>
          <w:iCs/>
          <w:color w:val="000000" w:themeColor="text1"/>
          <w:sz w:val="24"/>
          <w:szCs w:val="24"/>
        </w:rPr>
        <w:t xml:space="preserve">. </w:t>
      </w:r>
    </w:p>
    <w:p w14:paraId="1984D86C" w14:textId="77777777" w:rsidR="006F14E0" w:rsidRPr="00E11754" w:rsidRDefault="006F14E0" w:rsidP="006F14E0">
      <w:pPr>
        <w:spacing w:line="360" w:lineRule="auto"/>
        <w:jc w:val="both"/>
        <w:rPr>
          <w:rFonts w:ascii="Times New Roman" w:hAnsi="Times New Roman" w:cs="Times New Roman"/>
          <w:color w:val="000000"/>
          <w:sz w:val="24"/>
          <w:szCs w:val="24"/>
        </w:rPr>
      </w:pPr>
    </w:p>
    <w:p w14:paraId="3E30FAC7" w14:textId="4DDE435F" w:rsidR="001900E3" w:rsidRPr="00E11754" w:rsidRDefault="06781417">
      <w:pPr>
        <w:spacing w:line="360" w:lineRule="auto"/>
        <w:jc w:val="both"/>
        <w:rPr>
          <w:rFonts w:ascii="Times New Roman" w:hAnsi="Times New Roman" w:cs="Times New Roman"/>
          <w:color w:val="000000"/>
          <w:sz w:val="24"/>
          <w:szCs w:val="24"/>
        </w:rPr>
      </w:pPr>
      <w:r w:rsidRPr="00E11754">
        <w:rPr>
          <w:rFonts w:ascii="Times New Roman" w:hAnsi="Times New Roman" w:cs="Times New Roman"/>
          <w:color w:val="000000" w:themeColor="text1"/>
          <w:sz w:val="24"/>
          <w:szCs w:val="24"/>
        </w:rPr>
        <w:t xml:space="preserve">Różnice w budowie chemicznej poszczególnych substancji sprawiają, iż ich właściwości farmakokinetyczne są różnicowane (Tabela 1). </w:t>
      </w:r>
    </w:p>
    <w:p w14:paraId="47CC8784" w14:textId="4EAECA37" w:rsidR="001900E3" w:rsidRPr="00E11754" w:rsidRDefault="001900E3" w:rsidP="001900E3">
      <w:pPr>
        <w:spacing w:line="360" w:lineRule="auto"/>
        <w:jc w:val="both"/>
        <w:rPr>
          <w:rFonts w:ascii="Times New Roman" w:hAnsi="Times New Roman" w:cs="Times New Roman"/>
          <w:color w:val="000000"/>
          <w:sz w:val="24"/>
          <w:szCs w:val="24"/>
        </w:rPr>
      </w:pPr>
      <w:r w:rsidRPr="00E11754">
        <w:rPr>
          <w:rFonts w:ascii="Times New Roman" w:hAnsi="Times New Roman" w:cs="Times New Roman"/>
          <w:b/>
          <w:i/>
          <w:color w:val="000000" w:themeColor="text1"/>
          <w:sz w:val="24"/>
          <w:szCs w:val="24"/>
        </w:rPr>
        <w:t>Tabela 1.</w:t>
      </w:r>
      <w:r w:rsidRPr="00E11754">
        <w:rPr>
          <w:rFonts w:ascii="Times New Roman" w:hAnsi="Times New Roman" w:cs="Times New Roman"/>
          <w:i/>
          <w:color w:val="000000" w:themeColor="text1"/>
          <w:sz w:val="24"/>
          <w:szCs w:val="24"/>
        </w:rPr>
        <w:t xml:space="preserve"> Właściwości fizykochemiczne i farmakokinetyczne wybranych </w:t>
      </w:r>
      <w:proofErr w:type="spellStart"/>
      <w:r w:rsidRPr="00E11754">
        <w:rPr>
          <w:rFonts w:ascii="Times New Roman" w:hAnsi="Times New Roman" w:cs="Times New Roman"/>
          <w:i/>
          <w:color w:val="000000" w:themeColor="text1"/>
          <w:sz w:val="24"/>
          <w:szCs w:val="24"/>
        </w:rPr>
        <w:t>antracyklin</w:t>
      </w:r>
      <w:proofErr w:type="spellEnd"/>
    </w:p>
    <w:tbl>
      <w:tblPr>
        <w:tblStyle w:val="Tabela-Siatka"/>
        <w:tblW w:w="8777" w:type="dxa"/>
        <w:jc w:val="center"/>
        <w:tblLook w:val="04A0" w:firstRow="1" w:lastRow="0" w:firstColumn="1" w:lastColumn="0" w:noHBand="0" w:noVBand="1"/>
      </w:tblPr>
      <w:tblGrid>
        <w:gridCol w:w="1935"/>
        <w:gridCol w:w="1648"/>
        <w:gridCol w:w="1330"/>
        <w:gridCol w:w="2240"/>
        <w:gridCol w:w="1624"/>
      </w:tblGrid>
      <w:tr w:rsidR="001900E3" w:rsidRPr="00E11754" w14:paraId="165C5217" w14:textId="77777777" w:rsidTr="3998842B">
        <w:trPr>
          <w:jc w:val="center"/>
        </w:trPr>
        <w:tc>
          <w:tcPr>
            <w:tcW w:w="1935" w:type="dxa"/>
            <w:vAlign w:val="center"/>
          </w:tcPr>
          <w:p w14:paraId="0C77B57D" w14:textId="77777777" w:rsidR="001900E3" w:rsidRPr="00E11754" w:rsidRDefault="001900E3" w:rsidP="008322D3">
            <w:pPr>
              <w:spacing w:line="360" w:lineRule="auto"/>
              <w:jc w:val="center"/>
              <w:rPr>
                <w:rFonts w:ascii="Times New Roman" w:hAnsi="Times New Roman" w:cs="Times New Roman"/>
                <w:color w:val="000000"/>
                <w:sz w:val="24"/>
                <w:szCs w:val="24"/>
              </w:rPr>
            </w:pPr>
          </w:p>
        </w:tc>
        <w:tc>
          <w:tcPr>
            <w:tcW w:w="1648" w:type="dxa"/>
            <w:vAlign w:val="center"/>
          </w:tcPr>
          <w:p w14:paraId="677A2A6A" w14:textId="77777777" w:rsidR="001900E3" w:rsidRPr="00E11754" w:rsidRDefault="001900E3" w:rsidP="008322D3">
            <w:pPr>
              <w:spacing w:line="360" w:lineRule="auto"/>
              <w:jc w:val="center"/>
              <w:rPr>
                <w:rFonts w:ascii="Times New Roman" w:hAnsi="Times New Roman" w:cs="Times New Roman"/>
                <w:b/>
                <w:bCs/>
                <w:sz w:val="24"/>
                <w:szCs w:val="24"/>
              </w:rPr>
            </w:pPr>
            <w:r w:rsidRPr="00E11754">
              <w:rPr>
                <w:rFonts w:ascii="Times New Roman" w:hAnsi="Times New Roman" w:cs="Times New Roman"/>
                <w:b/>
                <w:bCs/>
                <w:sz w:val="24"/>
                <w:szCs w:val="24"/>
              </w:rPr>
              <w:t>Masa [</w:t>
            </w:r>
            <w:r w:rsidRPr="00E11754">
              <w:rPr>
                <w:rFonts w:ascii="Times New Roman" w:hAnsi="Times New Roman" w:cs="Times New Roman"/>
                <w:b/>
                <w:bCs/>
                <w:sz w:val="24"/>
                <w:szCs w:val="24"/>
                <w:shd w:val="clear" w:color="auto" w:fill="FFFFFF"/>
              </w:rPr>
              <w:t>g/mol]</w:t>
            </w:r>
          </w:p>
        </w:tc>
        <w:tc>
          <w:tcPr>
            <w:tcW w:w="1330" w:type="dxa"/>
            <w:vAlign w:val="center"/>
          </w:tcPr>
          <w:p w14:paraId="54BA1294" w14:textId="4B704DBA" w:rsidR="001900E3" w:rsidRPr="00E11754" w:rsidRDefault="005C03D5" w:rsidP="008322D3">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Wartość</w:t>
            </w:r>
            <w:r>
              <w:rPr>
                <w:rFonts w:ascii="Times New Roman" w:hAnsi="Times New Roman" w:cs="Times New Roman"/>
                <w:b/>
                <w:bCs/>
                <w:color w:val="000000"/>
                <w:sz w:val="24"/>
                <w:szCs w:val="24"/>
              </w:rPr>
              <w:br/>
            </w:r>
            <w:proofErr w:type="spellStart"/>
            <w:r w:rsidR="001900E3" w:rsidRPr="00E11754">
              <w:rPr>
                <w:rFonts w:ascii="Times New Roman" w:hAnsi="Times New Roman" w:cs="Times New Roman"/>
                <w:b/>
                <w:bCs/>
                <w:color w:val="000000"/>
                <w:sz w:val="24"/>
                <w:szCs w:val="24"/>
              </w:rPr>
              <w:t>pKa</w:t>
            </w:r>
            <w:proofErr w:type="spellEnd"/>
          </w:p>
        </w:tc>
        <w:tc>
          <w:tcPr>
            <w:tcW w:w="2240" w:type="dxa"/>
            <w:vAlign w:val="center"/>
          </w:tcPr>
          <w:p w14:paraId="01678B17" w14:textId="3AB4B489" w:rsidR="001900E3" w:rsidRPr="00E11754" w:rsidRDefault="7918CE45" w:rsidP="008322D3">
            <w:pPr>
              <w:spacing w:line="360" w:lineRule="auto"/>
              <w:jc w:val="center"/>
              <w:rPr>
                <w:rFonts w:ascii="Times New Roman" w:hAnsi="Times New Roman" w:cs="Times New Roman"/>
                <w:b/>
                <w:bCs/>
                <w:color w:val="000000"/>
                <w:sz w:val="24"/>
                <w:szCs w:val="24"/>
              </w:rPr>
            </w:pPr>
            <w:r w:rsidRPr="7918CE45">
              <w:rPr>
                <w:rFonts w:ascii="Times New Roman" w:hAnsi="Times New Roman" w:cs="Times New Roman"/>
                <w:b/>
                <w:bCs/>
                <w:color w:val="000000" w:themeColor="text1"/>
                <w:sz w:val="24"/>
                <w:szCs w:val="24"/>
              </w:rPr>
              <w:t xml:space="preserve">Biologiczny okres </w:t>
            </w:r>
            <w:r w:rsidR="001900E3">
              <w:br/>
            </w:r>
            <w:r w:rsidRPr="7918CE45">
              <w:rPr>
                <w:rFonts w:ascii="Times New Roman" w:hAnsi="Times New Roman" w:cs="Times New Roman"/>
                <w:b/>
                <w:bCs/>
                <w:color w:val="000000" w:themeColor="text1"/>
                <w:sz w:val="24"/>
                <w:szCs w:val="24"/>
              </w:rPr>
              <w:t>półtrwania [h]</w:t>
            </w:r>
          </w:p>
        </w:tc>
        <w:tc>
          <w:tcPr>
            <w:tcW w:w="1624" w:type="dxa"/>
            <w:vAlign w:val="center"/>
          </w:tcPr>
          <w:p w14:paraId="7C4FA43A" w14:textId="77777777" w:rsidR="001900E3" w:rsidRPr="00E11754" w:rsidRDefault="001900E3" w:rsidP="008322D3">
            <w:pPr>
              <w:spacing w:line="360" w:lineRule="auto"/>
              <w:jc w:val="center"/>
              <w:rPr>
                <w:rFonts w:ascii="Times New Roman" w:hAnsi="Times New Roman" w:cs="Times New Roman"/>
                <w:b/>
                <w:bCs/>
                <w:color w:val="000000"/>
                <w:sz w:val="24"/>
                <w:szCs w:val="24"/>
              </w:rPr>
            </w:pPr>
            <w:r w:rsidRPr="00E11754">
              <w:rPr>
                <w:rFonts w:ascii="Times New Roman" w:hAnsi="Times New Roman" w:cs="Times New Roman"/>
                <w:b/>
                <w:bCs/>
                <w:color w:val="000000"/>
                <w:sz w:val="24"/>
                <w:szCs w:val="24"/>
              </w:rPr>
              <w:t>Eliminacja</w:t>
            </w:r>
          </w:p>
        </w:tc>
      </w:tr>
      <w:tr w:rsidR="001900E3" w:rsidRPr="00E11754" w14:paraId="6375E67D" w14:textId="77777777" w:rsidTr="3998842B">
        <w:trPr>
          <w:trHeight w:val="435"/>
          <w:jc w:val="center"/>
        </w:trPr>
        <w:tc>
          <w:tcPr>
            <w:tcW w:w="1935" w:type="dxa"/>
            <w:vAlign w:val="center"/>
          </w:tcPr>
          <w:p w14:paraId="6EC5F586" w14:textId="0577F9CA" w:rsidR="001900E3" w:rsidRPr="00E11754" w:rsidRDefault="7918CE45" w:rsidP="7918CE45">
            <w:pPr>
              <w:bidi/>
              <w:spacing w:line="360" w:lineRule="auto"/>
              <w:jc w:val="center"/>
              <w:rPr>
                <w:rFonts w:ascii="Times New Roman" w:hAnsi="Times New Roman" w:cs="Times New Roman"/>
                <w:color w:val="000000"/>
                <w:sz w:val="24"/>
                <w:szCs w:val="24"/>
              </w:rPr>
            </w:pPr>
            <w:proofErr w:type="spellStart"/>
            <w:r w:rsidRPr="7918CE45">
              <w:rPr>
                <w:rFonts w:ascii="Times New Roman" w:hAnsi="Times New Roman" w:cs="Times New Roman"/>
                <w:color w:val="000000" w:themeColor="text1"/>
                <w:sz w:val="24"/>
                <w:szCs w:val="24"/>
              </w:rPr>
              <w:t>Daunorubicyna</w:t>
            </w:r>
            <w:proofErr w:type="spellEnd"/>
          </w:p>
        </w:tc>
        <w:tc>
          <w:tcPr>
            <w:tcW w:w="1648" w:type="dxa"/>
            <w:vAlign w:val="center"/>
          </w:tcPr>
          <w:p w14:paraId="3B690639" w14:textId="77777777" w:rsidR="001900E3" w:rsidRPr="00E11754" w:rsidRDefault="001900E3" w:rsidP="008322D3">
            <w:pPr>
              <w:spacing w:line="360" w:lineRule="auto"/>
              <w:jc w:val="center"/>
              <w:rPr>
                <w:rFonts w:ascii="Times New Roman" w:hAnsi="Times New Roman" w:cs="Times New Roman"/>
                <w:iCs/>
                <w:sz w:val="24"/>
                <w:szCs w:val="24"/>
              </w:rPr>
            </w:pPr>
            <w:r w:rsidRPr="00E11754">
              <w:rPr>
                <w:rFonts w:ascii="Times New Roman" w:hAnsi="Times New Roman" w:cs="Times New Roman"/>
                <w:sz w:val="24"/>
                <w:szCs w:val="24"/>
                <w:shd w:val="clear" w:color="auto" w:fill="FFFFFF"/>
              </w:rPr>
              <w:t>527,52 </w:t>
            </w:r>
          </w:p>
        </w:tc>
        <w:tc>
          <w:tcPr>
            <w:tcW w:w="1330" w:type="dxa"/>
            <w:vAlign w:val="center"/>
          </w:tcPr>
          <w:p w14:paraId="47208BF4" w14:textId="77777777" w:rsidR="001900E3" w:rsidRPr="00E11754" w:rsidRDefault="001900E3" w:rsidP="008322D3">
            <w:pPr>
              <w:spacing w:line="360" w:lineRule="auto"/>
              <w:jc w:val="center"/>
              <w:rPr>
                <w:rFonts w:ascii="Times New Roman" w:hAnsi="Times New Roman" w:cs="Times New Roman"/>
                <w:sz w:val="24"/>
                <w:szCs w:val="24"/>
              </w:rPr>
            </w:pPr>
            <w:r w:rsidRPr="00E11754">
              <w:rPr>
                <w:rFonts w:ascii="Times New Roman" w:hAnsi="Times New Roman" w:cs="Times New Roman"/>
                <w:iCs/>
                <w:sz w:val="24"/>
                <w:szCs w:val="24"/>
              </w:rPr>
              <w:t>7,85</w:t>
            </w:r>
          </w:p>
        </w:tc>
        <w:tc>
          <w:tcPr>
            <w:tcW w:w="2240" w:type="dxa"/>
            <w:vAlign w:val="center"/>
          </w:tcPr>
          <w:p w14:paraId="46A5E1E9" w14:textId="77777777" w:rsidR="001900E3" w:rsidRPr="00E11754" w:rsidRDefault="001900E3" w:rsidP="008322D3">
            <w:pPr>
              <w:spacing w:line="360" w:lineRule="auto"/>
              <w:jc w:val="center"/>
              <w:rPr>
                <w:rFonts w:ascii="Times New Roman" w:hAnsi="Times New Roman" w:cs="Times New Roman"/>
                <w:color w:val="000000"/>
                <w:sz w:val="24"/>
                <w:szCs w:val="24"/>
              </w:rPr>
            </w:pPr>
            <w:r w:rsidRPr="00E11754">
              <w:rPr>
                <w:rFonts w:ascii="Times New Roman" w:hAnsi="Times New Roman" w:cs="Times New Roman"/>
                <w:sz w:val="24"/>
                <w:szCs w:val="24"/>
              </w:rPr>
              <w:t xml:space="preserve">11-27 </w:t>
            </w:r>
          </w:p>
        </w:tc>
        <w:tc>
          <w:tcPr>
            <w:tcW w:w="1624" w:type="dxa"/>
            <w:vAlign w:val="center"/>
          </w:tcPr>
          <w:p w14:paraId="64D8926A" w14:textId="77777777" w:rsidR="001900E3" w:rsidRPr="00E11754" w:rsidRDefault="001900E3" w:rsidP="008322D3">
            <w:pPr>
              <w:spacing w:line="360" w:lineRule="auto"/>
              <w:jc w:val="center"/>
              <w:rPr>
                <w:rFonts w:ascii="Times New Roman" w:hAnsi="Times New Roman" w:cs="Times New Roman"/>
                <w:color w:val="000000"/>
                <w:sz w:val="24"/>
                <w:szCs w:val="24"/>
              </w:rPr>
            </w:pPr>
            <w:r w:rsidRPr="00E11754">
              <w:rPr>
                <w:rFonts w:ascii="Times New Roman" w:hAnsi="Times New Roman" w:cs="Times New Roman"/>
                <w:color w:val="000000"/>
                <w:sz w:val="24"/>
                <w:szCs w:val="24"/>
              </w:rPr>
              <w:t>Żółć i mocz</w:t>
            </w:r>
          </w:p>
        </w:tc>
      </w:tr>
      <w:tr w:rsidR="001900E3" w:rsidRPr="00E11754" w14:paraId="4D7EB933" w14:textId="77777777" w:rsidTr="3998842B">
        <w:trPr>
          <w:jc w:val="center"/>
        </w:trPr>
        <w:tc>
          <w:tcPr>
            <w:tcW w:w="1935" w:type="dxa"/>
            <w:vAlign w:val="center"/>
          </w:tcPr>
          <w:p w14:paraId="3D183E86" w14:textId="77777777" w:rsidR="001900E3" w:rsidRPr="00E11754" w:rsidRDefault="001900E3" w:rsidP="008322D3">
            <w:pPr>
              <w:spacing w:line="360" w:lineRule="auto"/>
              <w:jc w:val="center"/>
              <w:rPr>
                <w:rFonts w:ascii="Times New Roman" w:hAnsi="Times New Roman" w:cs="Times New Roman"/>
                <w:color w:val="000000"/>
                <w:sz w:val="24"/>
                <w:szCs w:val="24"/>
              </w:rPr>
            </w:pPr>
            <w:proofErr w:type="spellStart"/>
            <w:r w:rsidRPr="00E11754">
              <w:rPr>
                <w:rFonts w:ascii="Times New Roman" w:hAnsi="Times New Roman" w:cs="Times New Roman"/>
                <w:color w:val="000000"/>
                <w:sz w:val="24"/>
                <w:szCs w:val="24"/>
              </w:rPr>
              <w:t>Doksorubicyna</w:t>
            </w:r>
            <w:proofErr w:type="spellEnd"/>
          </w:p>
        </w:tc>
        <w:tc>
          <w:tcPr>
            <w:tcW w:w="1648" w:type="dxa"/>
            <w:vAlign w:val="center"/>
          </w:tcPr>
          <w:p w14:paraId="662370D8" w14:textId="77777777" w:rsidR="001900E3" w:rsidRPr="00E11754" w:rsidRDefault="001900E3" w:rsidP="008322D3">
            <w:pPr>
              <w:spacing w:line="360" w:lineRule="auto"/>
              <w:jc w:val="center"/>
              <w:rPr>
                <w:rFonts w:ascii="Times New Roman" w:hAnsi="Times New Roman" w:cs="Times New Roman"/>
                <w:iCs/>
                <w:sz w:val="24"/>
                <w:szCs w:val="24"/>
              </w:rPr>
            </w:pPr>
            <w:r w:rsidRPr="00E11754">
              <w:rPr>
                <w:rFonts w:ascii="Times New Roman" w:hAnsi="Times New Roman" w:cs="Times New Roman"/>
                <w:sz w:val="24"/>
                <w:szCs w:val="24"/>
                <w:shd w:val="clear" w:color="auto" w:fill="FFFFFF"/>
              </w:rPr>
              <w:t>543,52 </w:t>
            </w:r>
          </w:p>
        </w:tc>
        <w:tc>
          <w:tcPr>
            <w:tcW w:w="1330" w:type="dxa"/>
            <w:vAlign w:val="center"/>
          </w:tcPr>
          <w:p w14:paraId="78AD0A52" w14:textId="77777777" w:rsidR="001900E3" w:rsidRPr="00E11754" w:rsidRDefault="001900E3" w:rsidP="008322D3">
            <w:pPr>
              <w:spacing w:line="360" w:lineRule="auto"/>
              <w:jc w:val="center"/>
              <w:rPr>
                <w:rFonts w:ascii="Times New Roman" w:hAnsi="Times New Roman" w:cs="Times New Roman"/>
                <w:sz w:val="24"/>
                <w:szCs w:val="24"/>
              </w:rPr>
            </w:pPr>
            <w:r w:rsidRPr="00E11754">
              <w:rPr>
                <w:rFonts w:ascii="Times New Roman" w:hAnsi="Times New Roman" w:cs="Times New Roman"/>
                <w:iCs/>
                <w:sz w:val="24"/>
                <w:szCs w:val="24"/>
              </w:rPr>
              <w:t>8,34</w:t>
            </w:r>
          </w:p>
        </w:tc>
        <w:tc>
          <w:tcPr>
            <w:tcW w:w="2240" w:type="dxa"/>
            <w:vAlign w:val="center"/>
          </w:tcPr>
          <w:p w14:paraId="2171F5A9" w14:textId="77777777" w:rsidR="001900E3" w:rsidRPr="00E11754" w:rsidRDefault="001900E3" w:rsidP="008322D3">
            <w:pPr>
              <w:spacing w:line="360" w:lineRule="auto"/>
              <w:jc w:val="center"/>
              <w:rPr>
                <w:rFonts w:ascii="Times New Roman" w:hAnsi="Times New Roman" w:cs="Times New Roman"/>
                <w:color w:val="000000"/>
                <w:sz w:val="24"/>
                <w:szCs w:val="24"/>
              </w:rPr>
            </w:pPr>
            <w:r w:rsidRPr="00E11754">
              <w:rPr>
                <w:rFonts w:ascii="Times New Roman" w:hAnsi="Times New Roman" w:cs="Times New Roman"/>
                <w:sz w:val="24"/>
                <w:szCs w:val="24"/>
              </w:rPr>
              <w:t xml:space="preserve">30 </w:t>
            </w:r>
          </w:p>
        </w:tc>
        <w:tc>
          <w:tcPr>
            <w:tcW w:w="1624" w:type="dxa"/>
            <w:vAlign w:val="center"/>
          </w:tcPr>
          <w:p w14:paraId="2BEA1044" w14:textId="22907BFF" w:rsidR="001900E3" w:rsidRPr="00E11754" w:rsidRDefault="001900E3" w:rsidP="008322D3">
            <w:pPr>
              <w:spacing w:line="360" w:lineRule="auto"/>
              <w:jc w:val="center"/>
              <w:rPr>
                <w:rFonts w:ascii="Times New Roman" w:hAnsi="Times New Roman" w:cs="Times New Roman"/>
                <w:color w:val="000000"/>
                <w:sz w:val="24"/>
                <w:szCs w:val="24"/>
              </w:rPr>
            </w:pPr>
            <w:r w:rsidRPr="00E11754">
              <w:rPr>
                <w:rFonts w:ascii="Times New Roman" w:hAnsi="Times New Roman" w:cs="Times New Roman"/>
                <w:color w:val="000000"/>
                <w:sz w:val="24"/>
                <w:szCs w:val="24"/>
              </w:rPr>
              <w:t>Żółć i kał</w:t>
            </w:r>
          </w:p>
        </w:tc>
      </w:tr>
      <w:tr w:rsidR="001900E3" w:rsidRPr="00E11754" w14:paraId="29EC4B17" w14:textId="77777777" w:rsidTr="3998842B">
        <w:trPr>
          <w:jc w:val="center"/>
        </w:trPr>
        <w:tc>
          <w:tcPr>
            <w:tcW w:w="1935" w:type="dxa"/>
            <w:vAlign w:val="center"/>
          </w:tcPr>
          <w:p w14:paraId="1193B1B9" w14:textId="77777777" w:rsidR="001900E3" w:rsidRPr="00E11754" w:rsidRDefault="001900E3" w:rsidP="008322D3">
            <w:pPr>
              <w:spacing w:line="360" w:lineRule="auto"/>
              <w:jc w:val="center"/>
              <w:rPr>
                <w:rFonts w:ascii="Times New Roman" w:hAnsi="Times New Roman" w:cs="Times New Roman"/>
                <w:color w:val="000000"/>
                <w:sz w:val="24"/>
                <w:szCs w:val="24"/>
              </w:rPr>
            </w:pPr>
            <w:proofErr w:type="spellStart"/>
            <w:r w:rsidRPr="00E11754">
              <w:rPr>
                <w:rFonts w:ascii="Times New Roman" w:hAnsi="Times New Roman" w:cs="Times New Roman"/>
                <w:color w:val="000000"/>
                <w:sz w:val="24"/>
                <w:szCs w:val="24"/>
              </w:rPr>
              <w:t>Epirubicyna</w:t>
            </w:r>
            <w:proofErr w:type="spellEnd"/>
          </w:p>
        </w:tc>
        <w:tc>
          <w:tcPr>
            <w:tcW w:w="1648" w:type="dxa"/>
            <w:vAlign w:val="center"/>
          </w:tcPr>
          <w:p w14:paraId="6A15B1AA" w14:textId="77777777" w:rsidR="001900E3" w:rsidRPr="00E11754" w:rsidRDefault="001900E3" w:rsidP="008322D3">
            <w:pPr>
              <w:spacing w:line="360" w:lineRule="auto"/>
              <w:jc w:val="center"/>
              <w:rPr>
                <w:rFonts w:ascii="Times New Roman" w:hAnsi="Times New Roman" w:cs="Times New Roman"/>
                <w:iCs/>
                <w:sz w:val="24"/>
                <w:szCs w:val="24"/>
              </w:rPr>
            </w:pPr>
            <w:r w:rsidRPr="00E11754">
              <w:rPr>
                <w:rFonts w:ascii="Times New Roman" w:hAnsi="Times New Roman" w:cs="Times New Roman"/>
                <w:sz w:val="24"/>
                <w:szCs w:val="24"/>
                <w:shd w:val="clear" w:color="auto" w:fill="FFFFFF"/>
              </w:rPr>
              <w:t xml:space="preserve">543,52 </w:t>
            </w:r>
          </w:p>
        </w:tc>
        <w:tc>
          <w:tcPr>
            <w:tcW w:w="1330" w:type="dxa"/>
            <w:vAlign w:val="center"/>
          </w:tcPr>
          <w:p w14:paraId="5D4DAE15" w14:textId="77777777" w:rsidR="001900E3" w:rsidRPr="00E11754" w:rsidRDefault="001900E3" w:rsidP="008322D3">
            <w:pPr>
              <w:spacing w:line="360" w:lineRule="auto"/>
              <w:jc w:val="center"/>
              <w:rPr>
                <w:rFonts w:ascii="Times New Roman" w:hAnsi="Times New Roman" w:cs="Times New Roman"/>
                <w:sz w:val="24"/>
                <w:szCs w:val="24"/>
              </w:rPr>
            </w:pPr>
            <w:r w:rsidRPr="00E11754">
              <w:rPr>
                <w:rFonts w:ascii="Times New Roman" w:hAnsi="Times New Roman" w:cs="Times New Roman"/>
                <w:iCs/>
                <w:sz w:val="24"/>
                <w:szCs w:val="24"/>
              </w:rPr>
              <w:t>8,08</w:t>
            </w:r>
          </w:p>
        </w:tc>
        <w:tc>
          <w:tcPr>
            <w:tcW w:w="2240" w:type="dxa"/>
            <w:vAlign w:val="center"/>
          </w:tcPr>
          <w:p w14:paraId="081C47FB" w14:textId="77777777" w:rsidR="001900E3" w:rsidRPr="00E11754" w:rsidRDefault="001900E3" w:rsidP="008322D3">
            <w:pPr>
              <w:spacing w:line="360" w:lineRule="auto"/>
              <w:jc w:val="center"/>
              <w:rPr>
                <w:rFonts w:ascii="Times New Roman" w:hAnsi="Times New Roman" w:cs="Times New Roman"/>
                <w:color w:val="000000"/>
                <w:sz w:val="24"/>
                <w:szCs w:val="24"/>
              </w:rPr>
            </w:pPr>
            <w:r w:rsidRPr="00E11754">
              <w:rPr>
                <w:rFonts w:ascii="Times New Roman" w:hAnsi="Times New Roman" w:cs="Times New Roman"/>
                <w:sz w:val="24"/>
                <w:szCs w:val="24"/>
              </w:rPr>
              <w:t>32</w:t>
            </w:r>
          </w:p>
        </w:tc>
        <w:tc>
          <w:tcPr>
            <w:tcW w:w="1624" w:type="dxa"/>
            <w:vAlign w:val="center"/>
          </w:tcPr>
          <w:p w14:paraId="40020E53" w14:textId="77777777" w:rsidR="001900E3" w:rsidRPr="00E11754" w:rsidRDefault="001900E3" w:rsidP="008322D3">
            <w:pPr>
              <w:spacing w:line="360" w:lineRule="auto"/>
              <w:jc w:val="center"/>
              <w:rPr>
                <w:rFonts w:ascii="Times New Roman" w:hAnsi="Times New Roman" w:cs="Times New Roman"/>
                <w:color w:val="000000"/>
                <w:sz w:val="24"/>
                <w:szCs w:val="24"/>
              </w:rPr>
            </w:pPr>
            <w:r w:rsidRPr="00E11754">
              <w:rPr>
                <w:rFonts w:ascii="Times New Roman" w:hAnsi="Times New Roman" w:cs="Times New Roman"/>
                <w:color w:val="000000"/>
                <w:sz w:val="24"/>
                <w:szCs w:val="24"/>
              </w:rPr>
              <w:t>Żółć i mocz</w:t>
            </w:r>
          </w:p>
        </w:tc>
      </w:tr>
      <w:tr w:rsidR="001900E3" w:rsidRPr="00E11754" w14:paraId="753F5CF4" w14:textId="77777777" w:rsidTr="3998842B">
        <w:trPr>
          <w:jc w:val="center"/>
        </w:trPr>
        <w:tc>
          <w:tcPr>
            <w:tcW w:w="1935" w:type="dxa"/>
            <w:vAlign w:val="center"/>
          </w:tcPr>
          <w:p w14:paraId="69096906" w14:textId="77777777" w:rsidR="001900E3" w:rsidRPr="00E11754" w:rsidRDefault="001900E3" w:rsidP="008322D3">
            <w:pPr>
              <w:spacing w:line="360" w:lineRule="auto"/>
              <w:jc w:val="center"/>
              <w:rPr>
                <w:rFonts w:ascii="Times New Roman" w:hAnsi="Times New Roman" w:cs="Times New Roman"/>
                <w:color w:val="000000"/>
                <w:sz w:val="24"/>
                <w:szCs w:val="24"/>
              </w:rPr>
            </w:pPr>
            <w:proofErr w:type="spellStart"/>
            <w:r w:rsidRPr="00E11754">
              <w:rPr>
                <w:rFonts w:ascii="Times New Roman" w:hAnsi="Times New Roman" w:cs="Times New Roman"/>
                <w:color w:val="000000"/>
                <w:sz w:val="24"/>
                <w:szCs w:val="24"/>
              </w:rPr>
              <w:t>Idarubicyna</w:t>
            </w:r>
            <w:proofErr w:type="spellEnd"/>
          </w:p>
        </w:tc>
        <w:tc>
          <w:tcPr>
            <w:tcW w:w="1648" w:type="dxa"/>
            <w:vAlign w:val="center"/>
          </w:tcPr>
          <w:p w14:paraId="290F09CF" w14:textId="77777777" w:rsidR="001900E3" w:rsidRPr="00E11754" w:rsidRDefault="001900E3" w:rsidP="008322D3">
            <w:pPr>
              <w:spacing w:line="360" w:lineRule="auto"/>
              <w:jc w:val="center"/>
              <w:rPr>
                <w:rFonts w:ascii="Times New Roman" w:hAnsi="Times New Roman" w:cs="Times New Roman"/>
                <w:iCs/>
                <w:sz w:val="24"/>
                <w:szCs w:val="24"/>
              </w:rPr>
            </w:pPr>
            <w:r w:rsidRPr="00E11754">
              <w:rPr>
                <w:rFonts w:ascii="Times New Roman" w:hAnsi="Times New Roman" w:cs="Times New Roman"/>
                <w:sz w:val="24"/>
                <w:szCs w:val="24"/>
                <w:shd w:val="clear" w:color="auto" w:fill="FFFFFF"/>
              </w:rPr>
              <w:t>497,49</w:t>
            </w:r>
          </w:p>
        </w:tc>
        <w:tc>
          <w:tcPr>
            <w:tcW w:w="1330" w:type="dxa"/>
          </w:tcPr>
          <w:p w14:paraId="40F822FD" w14:textId="0A2BDE31" w:rsidR="001900E3" w:rsidRPr="00E11754" w:rsidRDefault="002F244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8,04</w:t>
            </w:r>
          </w:p>
        </w:tc>
        <w:tc>
          <w:tcPr>
            <w:tcW w:w="2240" w:type="dxa"/>
            <w:vAlign w:val="center"/>
          </w:tcPr>
          <w:p w14:paraId="0A63271E" w14:textId="77777777" w:rsidR="001900E3" w:rsidRPr="00E11754" w:rsidRDefault="001900E3" w:rsidP="008322D3">
            <w:pPr>
              <w:spacing w:line="360" w:lineRule="auto"/>
              <w:jc w:val="center"/>
              <w:rPr>
                <w:rFonts w:ascii="Times New Roman" w:hAnsi="Times New Roman" w:cs="Times New Roman"/>
                <w:color w:val="000000"/>
                <w:sz w:val="24"/>
                <w:szCs w:val="24"/>
              </w:rPr>
            </w:pPr>
            <w:r w:rsidRPr="00E11754">
              <w:rPr>
                <w:rFonts w:ascii="Times New Roman" w:hAnsi="Times New Roman" w:cs="Times New Roman"/>
                <w:sz w:val="24"/>
                <w:szCs w:val="24"/>
              </w:rPr>
              <w:t xml:space="preserve">5 do 24 </w:t>
            </w:r>
          </w:p>
        </w:tc>
        <w:tc>
          <w:tcPr>
            <w:tcW w:w="1624" w:type="dxa"/>
            <w:vAlign w:val="center"/>
          </w:tcPr>
          <w:p w14:paraId="18E07042" w14:textId="73611B2B" w:rsidR="001900E3" w:rsidRPr="00E11754" w:rsidRDefault="001900E3" w:rsidP="008322D3">
            <w:pPr>
              <w:spacing w:line="360" w:lineRule="auto"/>
              <w:jc w:val="center"/>
              <w:rPr>
                <w:rFonts w:ascii="Times New Roman" w:hAnsi="Times New Roman" w:cs="Times New Roman"/>
                <w:color w:val="000000"/>
                <w:sz w:val="24"/>
                <w:szCs w:val="24"/>
              </w:rPr>
            </w:pPr>
            <w:r w:rsidRPr="00E11754">
              <w:rPr>
                <w:rFonts w:ascii="Times New Roman" w:hAnsi="Times New Roman" w:cs="Times New Roman"/>
                <w:color w:val="000000"/>
                <w:sz w:val="24"/>
                <w:szCs w:val="24"/>
              </w:rPr>
              <w:t>Żółć</w:t>
            </w:r>
            <w:r w:rsidR="00A90C2C">
              <w:rPr>
                <w:rFonts w:ascii="Times New Roman" w:hAnsi="Times New Roman" w:cs="Times New Roman"/>
                <w:color w:val="000000"/>
                <w:sz w:val="24"/>
                <w:szCs w:val="24"/>
              </w:rPr>
              <w:t xml:space="preserve"> i mocz</w:t>
            </w:r>
          </w:p>
        </w:tc>
      </w:tr>
    </w:tbl>
    <w:p w14:paraId="7B16D0CF" w14:textId="77777777" w:rsidR="00994217" w:rsidRPr="00E11754" w:rsidRDefault="00994217">
      <w:pPr>
        <w:spacing w:line="360" w:lineRule="auto"/>
        <w:ind w:firstLine="708"/>
        <w:jc w:val="both"/>
        <w:rPr>
          <w:rFonts w:ascii="Times New Roman" w:hAnsi="Times New Roman" w:cs="Times New Roman"/>
          <w:color w:val="000000"/>
          <w:sz w:val="24"/>
          <w:szCs w:val="24"/>
        </w:rPr>
      </w:pPr>
    </w:p>
    <w:p w14:paraId="38790454" w14:textId="6CDE3066" w:rsidR="00A866DC" w:rsidRPr="00E11754" w:rsidRDefault="7918CE45" w:rsidP="006C6CAA">
      <w:pPr>
        <w:spacing w:line="360" w:lineRule="auto"/>
        <w:ind w:firstLine="708"/>
        <w:jc w:val="both"/>
        <w:rPr>
          <w:rFonts w:ascii="Times New Roman" w:hAnsi="Times New Roman" w:cs="Times New Roman"/>
          <w:color w:val="000000"/>
          <w:sz w:val="24"/>
          <w:szCs w:val="24"/>
        </w:rPr>
      </w:pPr>
      <w:r w:rsidRPr="7918CE45">
        <w:rPr>
          <w:rFonts w:ascii="Times New Roman" w:hAnsi="Times New Roman" w:cs="Times New Roman"/>
          <w:color w:val="000000" w:themeColor="text1"/>
          <w:sz w:val="24"/>
          <w:szCs w:val="24"/>
        </w:rPr>
        <w:t xml:space="preserve">Przykładowo, </w:t>
      </w:r>
      <w:proofErr w:type="spellStart"/>
      <w:r w:rsidRPr="7918CE45">
        <w:rPr>
          <w:rFonts w:ascii="Times New Roman" w:hAnsi="Times New Roman" w:cs="Times New Roman"/>
          <w:color w:val="000000" w:themeColor="text1"/>
          <w:sz w:val="24"/>
          <w:szCs w:val="24"/>
        </w:rPr>
        <w:t>idarubicyna</w:t>
      </w:r>
      <w:proofErr w:type="spellEnd"/>
      <w:r w:rsidRPr="7918CE45">
        <w:rPr>
          <w:rFonts w:ascii="Times New Roman" w:hAnsi="Times New Roman" w:cs="Times New Roman"/>
          <w:color w:val="000000" w:themeColor="text1"/>
          <w:sz w:val="24"/>
          <w:szCs w:val="24"/>
        </w:rPr>
        <w:t xml:space="preserve">, z powodu wyższej hydrofobowości i biodostępności może być podawana doustne w przeciwieństwie do pozostałych </w:t>
      </w:r>
      <w:proofErr w:type="spellStart"/>
      <w:r w:rsidRPr="7918CE45">
        <w:rPr>
          <w:rFonts w:ascii="Times New Roman" w:hAnsi="Times New Roman" w:cs="Times New Roman"/>
          <w:color w:val="000000" w:themeColor="text1"/>
          <w:sz w:val="24"/>
          <w:szCs w:val="24"/>
        </w:rPr>
        <w:t>antracyklin</w:t>
      </w:r>
      <w:proofErr w:type="spellEnd"/>
      <w:r w:rsidRPr="7918CE45">
        <w:rPr>
          <w:rFonts w:ascii="Times New Roman" w:hAnsi="Times New Roman" w:cs="Times New Roman"/>
          <w:color w:val="000000" w:themeColor="text1"/>
          <w:sz w:val="24"/>
          <w:szCs w:val="24"/>
        </w:rPr>
        <w:t xml:space="preserve">, które są podawane wyłącznie dożylnie. </w:t>
      </w:r>
    </w:p>
    <w:p w14:paraId="69D702A0" w14:textId="6DDD9E62" w:rsidR="00CF7734" w:rsidRPr="00E11754" w:rsidRDefault="000B1906" w:rsidP="006C6CAA">
      <w:pPr>
        <w:spacing w:line="360" w:lineRule="auto"/>
        <w:ind w:firstLine="708"/>
        <w:jc w:val="both"/>
        <w:rPr>
          <w:rFonts w:ascii="Times New Roman" w:hAnsi="Times New Roman" w:cs="Times New Roman"/>
          <w:sz w:val="24"/>
          <w:szCs w:val="24"/>
        </w:rPr>
      </w:pPr>
      <w:r w:rsidRPr="00E11754">
        <w:rPr>
          <w:rFonts w:ascii="Times New Roman" w:hAnsi="Times New Roman" w:cs="Times New Roman"/>
          <w:color w:val="000000" w:themeColor="text1"/>
          <w:sz w:val="24"/>
          <w:szCs w:val="24"/>
        </w:rPr>
        <w:lastRenderedPageBreak/>
        <w:t xml:space="preserve">Główny mechanizm działania </w:t>
      </w:r>
      <w:proofErr w:type="spellStart"/>
      <w:r w:rsidRPr="00E11754">
        <w:rPr>
          <w:rFonts w:ascii="Times New Roman" w:hAnsi="Times New Roman" w:cs="Times New Roman"/>
          <w:color w:val="000000" w:themeColor="text1"/>
          <w:sz w:val="24"/>
          <w:szCs w:val="24"/>
        </w:rPr>
        <w:t>antracyklin</w:t>
      </w:r>
      <w:proofErr w:type="spellEnd"/>
      <w:r w:rsidRPr="00E11754">
        <w:rPr>
          <w:rFonts w:ascii="Times New Roman" w:hAnsi="Times New Roman" w:cs="Times New Roman"/>
          <w:color w:val="000000" w:themeColor="text1"/>
          <w:sz w:val="24"/>
          <w:szCs w:val="24"/>
        </w:rPr>
        <w:t xml:space="preserve"> polega na interkalacji substancji leczniczej pomiędzy nici DNA. Ponadto, kolejne możliwe mechanizmy to hamowanie enzymów </w:t>
      </w:r>
      <w:proofErr w:type="spellStart"/>
      <w:r w:rsidRPr="00E11754">
        <w:rPr>
          <w:rFonts w:ascii="Times New Roman" w:hAnsi="Times New Roman" w:cs="Times New Roman"/>
          <w:color w:val="000000" w:themeColor="text1"/>
          <w:sz w:val="24"/>
          <w:szCs w:val="24"/>
        </w:rPr>
        <w:t>topoizomerazy</w:t>
      </w:r>
      <w:proofErr w:type="spellEnd"/>
      <w:r w:rsidRPr="00E11754">
        <w:rPr>
          <w:rFonts w:ascii="Times New Roman" w:hAnsi="Times New Roman" w:cs="Times New Roman"/>
          <w:color w:val="000000" w:themeColor="text1"/>
          <w:sz w:val="24"/>
          <w:szCs w:val="24"/>
        </w:rPr>
        <w:t xml:space="preserve"> II, jak również tworzenie się wolnych rodników, które w efekcie niszczą komórki nowotworowe</w:t>
      </w:r>
      <w:r w:rsidR="001900E3" w:rsidRPr="00E11754">
        <w:rPr>
          <w:rFonts w:ascii="Times New Roman" w:hAnsi="Times New Roman" w:cs="Times New Roman"/>
          <w:color w:val="000000" w:themeColor="text1"/>
          <w:sz w:val="24"/>
          <w:szCs w:val="24"/>
        </w:rPr>
        <w:t xml:space="preserve">. </w:t>
      </w:r>
      <w:r w:rsidR="007909F2" w:rsidRPr="00E11754">
        <w:rPr>
          <w:rFonts w:ascii="Times New Roman" w:hAnsi="Times New Roman" w:cs="Times New Roman"/>
          <w:sz w:val="24"/>
          <w:szCs w:val="24"/>
        </w:rPr>
        <w:t>Leki te mają szerokie zastosowani</w:t>
      </w:r>
      <w:r w:rsidR="001900E3" w:rsidRPr="00E11754">
        <w:rPr>
          <w:rFonts w:ascii="Times New Roman" w:hAnsi="Times New Roman" w:cs="Times New Roman"/>
          <w:sz w:val="24"/>
          <w:szCs w:val="24"/>
        </w:rPr>
        <w:t>e</w:t>
      </w:r>
      <w:r w:rsidR="007909F2" w:rsidRPr="00E11754">
        <w:rPr>
          <w:rFonts w:ascii="Times New Roman" w:hAnsi="Times New Roman" w:cs="Times New Roman"/>
          <w:sz w:val="24"/>
          <w:szCs w:val="24"/>
        </w:rPr>
        <w:t xml:space="preserve"> m.in. w terapii raka płuc, żołądka, białaczek, mięsaków tkanek miękkich, </w:t>
      </w:r>
      <w:proofErr w:type="spellStart"/>
      <w:r w:rsidR="007909F2" w:rsidRPr="00E11754">
        <w:rPr>
          <w:rFonts w:ascii="Times New Roman" w:hAnsi="Times New Roman" w:cs="Times New Roman"/>
          <w:sz w:val="24"/>
          <w:szCs w:val="24"/>
        </w:rPr>
        <w:t>chłoniaków</w:t>
      </w:r>
      <w:proofErr w:type="spellEnd"/>
      <w:r w:rsidR="007909F2" w:rsidRPr="00E11754">
        <w:rPr>
          <w:rFonts w:ascii="Times New Roman" w:hAnsi="Times New Roman" w:cs="Times New Roman"/>
          <w:sz w:val="24"/>
          <w:szCs w:val="24"/>
        </w:rPr>
        <w:t xml:space="preserve"> </w:t>
      </w:r>
      <w:r w:rsidR="00C23ADB" w:rsidRPr="00E11754">
        <w:rPr>
          <w:rFonts w:ascii="Times New Roman" w:hAnsi="Times New Roman" w:cs="Times New Roman"/>
          <w:sz w:val="24"/>
          <w:szCs w:val="24"/>
        </w:rPr>
        <w:t>itd.</w:t>
      </w:r>
      <w:r w:rsidR="007909F2" w:rsidRPr="00E11754">
        <w:rPr>
          <w:rFonts w:ascii="Times New Roman" w:hAnsi="Times New Roman" w:cs="Times New Roman"/>
          <w:sz w:val="24"/>
          <w:szCs w:val="24"/>
        </w:rPr>
        <w:t xml:space="preserve"> </w:t>
      </w:r>
      <w:r w:rsidR="001900E3" w:rsidRPr="00E11754">
        <w:rPr>
          <w:rFonts w:ascii="Times New Roman" w:hAnsi="Times New Roman" w:cs="Times New Roman"/>
          <w:sz w:val="24"/>
          <w:szCs w:val="24"/>
        </w:rPr>
        <w:t xml:space="preserve">Jednakże, </w:t>
      </w:r>
      <w:proofErr w:type="spellStart"/>
      <w:r w:rsidR="007909F2" w:rsidRPr="00E11754">
        <w:rPr>
          <w:rFonts w:ascii="Times New Roman" w:hAnsi="Times New Roman" w:cs="Times New Roman"/>
          <w:sz w:val="24"/>
          <w:szCs w:val="24"/>
        </w:rPr>
        <w:t>antracykliny</w:t>
      </w:r>
      <w:proofErr w:type="spellEnd"/>
      <w:r w:rsidR="007909F2" w:rsidRPr="00E11754">
        <w:rPr>
          <w:rFonts w:ascii="Times New Roman" w:hAnsi="Times New Roman" w:cs="Times New Roman"/>
          <w:sz w:val="24"/>
          <w:szCs w:val="24"/>
        </w:rPr>
        <w:t xml:space="preserve"> mają </w:t>
      </w:r>
      <w:r w:rsidR="00C23ADB" w:rsidRPr="00E11754">
        <w:rPr>
          <w:rFonts w:ascii="Times New Roman" w:hAnsi="Times New Roman" w:cs="Times New Roman"/>
          <w:sz w:val="24"/>
          <w:szCs w:val="24"/>
        </w:rPr>
        <w:t xml:space="preserve">również </w:t>
      </w:r>
      <w:r w:rsidR="007909F2" w:rsidRPr="00E11754">
        <w:rPr>
          <w:rFonts w:ascii="Times New Roman" w:hAnsi="Times New Roman" w:cs="Times New Roman"/>
          <w:sz w:val="24"/>
          <w:szCs w:val="24"/>
        </w:rPr>
        <w:t>swoje ograniczenia</w:t>
      </w:r>
      <w:r w:rsidR="00C23ADB" w:rsidRPr="00E11754">
        <w:rPr>
          <w:rFonts w:ascii="Times New Roman" w:hAnsi="Times New Roman" w:cs="Times New Roman"/>
          <w:sz w:val="24"/>
          <w:szCs w:val="24"/>
        </w:rPr>
        <w:t xml:space="preserve">, które </w:t>
      </w:r>
      <w:r w:rsidRPr="00E11754">
        <w:rPr>
          <w:rFonts w:ascii="Times New Roman" w:hAnsi="Times New Roman" w:cs="Times New Roman"/>
          <w:sz w:val="24"/>
          <w:szCs w:val="24"/>
        </w:rPr>
        <w:t>przede wszystkim</w:t>
      </w:r>
      <w:r w:rsidR="00C23ADB" w:rsidRPr="00E11754">
        <w:rPr>
          <w:rFonts w:ascii="Times New Roman" w:hAnsi="Times New Roman" w:cs="Times New Roman"/>
          <w:sz w:val="24"/>
          <w:szCs w:val="24"/>
        </w:rPr>
        <w:t xml:space="preserve"> </w:t>
      </w:r>
      <w:r w:rsidR="007909F2" w:rsidRPr="00E11754">
        <w:rPr>
          <w:rFonts w:ascii="Times New Roman" w:hAnsi="Times New Roman" w:cs="Times New Roman"/>
          <w:sz w:val="24"/>
          <w:szCs w:val="24"/>
        </w:rPr>
        <w:t xml:space="preserve">wynikają z </w:t>
      </w:r>
      <w:proofErr w:type="spellStart"/>
      <w:r w:rsidR="007909F2" w:rsidRPr="00E11754">
        <w:rPr>
          <w:rFonts w:ascii="Times New Roman" w:hAnsi="Times New Roman" w:cs="Times New Roman"/>
          <w:sz w:val="24"/>
          <w:szCs w:val="24"/>
        </w:rPr>
        <w:t>kardiotoksyczności</w:t>
      </w:r>
      <w:proofErr w:type="spellEnd"/>
      <w:r w:rsidR="00C23ADB" w:rsidRPr="00E11754">
        <w:rPr>
          <w:rFonts w:ascii="Times New Roman" w:hAnsi="Times New Roman" w:cs="Times New Roman"/>
          <w:sz w:val="24"/>
          <w:szCs w:val="24"/>
        </w:rPr>
        <w:t>. Jest to najpoważniejszy w skutkach</w:t>
      </w:r>
      <w:r w:rsidR="007909F2" w:rsidRPr="00E11754">
        <w:rPr>
          <w:rFonts w:ascii="Times New Roman" w:hAnsi="Times New Roman" w:cs="Times New Roman"/>
          <w:sz w:val="24"/>
          <w:szCs w:val="24"/>
        </w:rPr>
        <w:t xml:space="preserve"> efekt uboczn</w:t>
      </w:r>
      <w:r w:rsidR="00C23ADB" w:rsidRPr="00E11754">
        <w:rPr>
          <w:rFonts w:ascii="Times New Roman" w:hAnsi="Times New Roman" w:cs="Times New Roman"/>
          <w:sz w:val="24"/>
          <w:szCs w:val="24"/>
        </w:rPr>
        <w:t>y, które może prowadzić d</w:t>
      </w:r>
      <w:r w:rsidR="003D3C14" w:rsidRPr="00E11754">
        <w:rPr>
          <w:rFonts w:ascii="Times New Roman" w:hAnsi="Times New Roman" w:cs="Times New Roman"/>
          <w:sz w:val="24"/>
          <w:szCs w:val="24"/>
        </w:rPr>
        <w:t>o</w:t>
      </w:r>
      <w:r w:rsidR="00B46666" w:rsidRPr="00E11754">
        <w:rPr>
          <w:rFonts w:ascii="Times New Roman" w:hAnsi="Times New Roman" w:cs="Times New Roman"/>
          <w:sz w:val="24"/>
          <w:szCs w:val="24"/>
        </w:rPr>
        <w:t xml:space="preserve"> niewydolnoś</w:t>
      </w:r>
      <w:r w:rsidR="00C23ADB" w:rsidRPr="00E11754">
        <w:rPr>
          <w:rFonts w:ascii="Times New Roman" w:hAnsi="Times New Roman" w:cs="Times New Roman"/>
          <w:sz w:val="24"/>
          <w:szCs w:val="24"/>
        </w:rPr>
        <w:t>ci</w:t>
      </w:r>
      <w:r w:rsidR="00B46666" w:rsidRPr="00E11754">
        <w:rPr>
          <w:rFonts w:ascii="Times New Roman" w:hAnsi="Times New Roman" w:cs="Times New Roman"/>
          <w:sz w:val="24"/>
          <w:szCs w:val="24"/>
        </w:rPr>
        <w:t xml:space="preserve"> serca, </w:t>
      </w:r>
      <w:proofErr w:type="spellStart"/>
      <w:r w:rsidR="00B46666" w:rsidRPr="00E11754">
        <w:rPr>
          <w:rFonts w:ascii="Times New Roman" w:hAnsi="Times New Roman" w:cs="Times New Roman"/>
          <w:sz w:val="24"/>
          <w:szCs w:val="24"/>
        </w:rPr>
        <w:t>kardiomiopati</w:t>
      </w:r>
      <w:r w:rsidR="00C23ADB" w:rsidRPr="00E11754">
        <w:rPr>
          <w:rFonts w:ascii="Times New Roman" w:hAnsi="Times New Roman" w:cs="Times New Roman"/>
          <w:sz w:val="24"/>
          <w:szCs w:val="24"/>
        </w:rPr>
        <w:t>i</w:t>
      </w:r>
      <w:proofErr w:type="spellEnd"/>
      <w:r w:rsidR="00B46666" w:rsidRPr="00E11754">
        <w:rPr>
          <w:rFonts w:ascii="Times New Roman" w:hAnsi="Times New Roman" w:cs="Times New Roman"/>
          <w:sz w:val="24"/>
          <w:szCs w:val="24"/>
        </w:rPr>
        <w:t xml:space="preserve"> czy zapalenie mięśnia sercowego </w:t>
      </w:r>
      <w:r w:rsidR="00670870" w:rsidRPr="00E11754">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{"citationItems":[{"id":"ITEM-1","itemData":{"abstract":"Streszczenie Udoskonalenie metod stosowanych w terapii raka piersi podniosło skuteczność leczenia oraz wydłużyło czas przeżycia pacjentów po zakończeniu terapii. Towarzyszy jednak temu wzrost częstotliwości występowania działań niepożądanych, w tym kardiotoksyczności, które stają się poważnym problemem wpływającym na jakość życia i przeżywalność pacjentów onkolo-gicznych. Ryzyko wystąpienia powikłań sercowo-naczyniowych zależne jest m.in. od rodzaju i dawki zastosowanego środka terapeutycznego. Najwyższe ryzyko kardiotoksyczności wiąże się z wykorzystaniem antracyklin. Ze względu na swoją dużą skuteczność są one bardzo często wykorzystywane w terapii, wykazują jednak zależną od dawki kardiotoksyczność. Kardiotoksycz-ność obserwuje się również przy innych związkach stosowanych w chemioterapii raka piersi: antymetabolitach, inhibitorach mikrotubul, czynnikach alkilujących oraz substancjach wyko-rzystywanych w terapiach celowanych. Uszkodzenia układu sercowo-naczyniowego stwierdza się także jako następstwo radioterapii. Łączenie potencjalnie kardiotoksycznych czynników terapeutycznych, częste z powodu coraz powszechniejszego leczenia skojarzonego, może nasilać toksyczne działania. Mechanizmy uszkodzenia serca różnią się w przypadku różnych czynników kardiotoksycznych, zazwyczaj obejmują jednak niewydolność serca, chorobę niedokrwienną, zaburzenia rytmu, nadciśnienie, choroby zastawek czy zapalenie osierdzia i mięśnia sercowego. Do przyjętych sposobów postępowania mających na celu ograniczenie ryzyka kardiotoksycznych następstw terapii onkologicznej należy ocena funkcji serca przed rozpoczęciem leczenia i jego stały monitoring w czasie i po jego zakończeniu. Ponadto stosuje się ograniczenie dawki czy modyfikację schematów podawania czynników przeciwnowotworowych, jak i jednoczesne za-stosowanie środków kardioprotekcyjnych. Poznanie mechanizmów kardiotoksyczności różnych czynników stosowanych w leczeniu raka piersi pozwoli na opracowanie skutecznych substancji kardioprotekcyjnych. Ponieważ dużą rolę w toksyczności terapii onkologicznej odgrywa stres oksydacyjny duże nadzieje wiąże się ze związkami o właściwościach antyoksydacyjnych. antracykliny • kardiotoksyczność • promieniowanie jonizujące • rak piersi • terapie celowane Summary Improvement of methods used in breast cancer therapy resulted in increased treatment effectiveness and prolonged survival of patients. However, this is accompanied by increased frequency of adverse side effects, including cardiac …","author":[{"dropping-particle":"","family":"Gramatyka","given":"Michalina","non-dropping-particle":"","parse-names":false,"suffix":""}],"container-title":"Postepy hig med dosw (on-line)","id":"ITEM-1","issued":{"date-parts":[["2014"]]},"page":"483-497","title":"Kardiotoksyczność jako niepożądane działanie w terapii raka piersi * Cardiotoxicity as undesired side effect in the treatment of breast cancer","type":"article-journal"},"uris":["http://www.mendeley.com/documents/?uuid=9c8a10a1-6f10-4a3a-bd38-39b3a47b9d11"]}],"mendeley":{"formattedCitation":"[30]","plainTextFormattedCitation":"[30]","previouslyFormattedCitation":"[30]"},"properties":{"noteIndex":0},"schema":"https://github.com/citation-style-language/schema/raw/master/csl-citation.json"}</w:instrText>
      </w:r>
      <w:r w:rsidR="00670870" w:rsidRPr="00E11754">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[30]</w:t>
      </w:r>
      <w:r w:rsidR="00670870" w:rsidRPr="00E11754">
        <w:rPr>
          <w:rFonts w:ascii="Times New Roman" w:hAnsi="Times New Roman" w:cs="Times New Roman"/>
          <w:sz w:val="24"/>
          <w:szCs w:val="24"/>
        </w:rPr>
        <w:fldChar w:fldCharType="end"/>
      </w:r>
      <w:r w:rsidR="00B46666" w:rsidRPr="00E11754">
        <w:rPr>
          <w:rFonts w:ascii="Times New Roman" w:hAnsi="Times New Roman" w:cs="Times New Roman"/>
          <w:sz w:val="24"/>
          <w:szCs w:val="24"/>
        </w:rPr>
        <w:t>.</w:t>
      </w:r>
      <w:r w:rsidR="009D64C5" w:rsidRPr="00E11754">
        <w:rPr>
          <w:rFonts w:ascii="Times New Roman" w:hAnsi="Times New Roman" w:cs="Times New Roman"/>
          <w:sz w:val="24"/>
          <w:szCs w:val="24"/>
        </w:rPr>
        <w:t xml:space="preserve"> </w:t>
      </w:r>
      <w:r w:rsidR="007909F2" w:rsidRPr="00E11754">
        <w:rPr>
          <w:rFonts w:ascii="Times New Roman" w:hAnsi="Times New Roman" w:cs="Times New Roman"/>
          <w:sz w:val="24"/>
          <w:szCs w:val="24"/>
        </w:rPr>
        <w:t>Z tego powodu maksymalna dawka kumulacyjna wynosi 550 mg/m</w:t>
      </w:r>
      <w:r w:rsidR="007909F2" w:rsidRPr="00E11754">
        <w:rPr>
          <w:rFonts w:ascii="Times New Roman" w:hAnsi="Times New Roman" w:cs="Times New Roman"/>
          <w:sz w:val="24"/>
          <w:szCs w:val="24"/>
          <w:vertAlign w:val="superscript"/>
        </w:rPr>
        <w:t>2</w:t>
      </w:r>
      <w:r w:rsidR="007909F2" w:rsidRPr="00E11754">
        <w:rPr>
          <w:rFonts w:ascii="Times New Roman" w:hAnsi="Times New Roman" w:cs="Times New Roman"/>
          <w:sz w:val="24"/>
          <w:szCs w:val="24"/>
        </w:rPr>
        <w:t xml:space="preserve"> </w:t>
      </w:r>
      <w:r w:rsidR="00405BD1" w:rsidRPr="00E11754">
        <w:rPr>
          <w:rFonts w:ascii="Times New Roman" w:hAnsi="Times New Roman" w:cs="Times New Roman"/>
          <w:sz w:val="24"/>
          <w:szCs w:val="24"/>
        </w:rPr>
        <w:t xml:space="preserve">powierzchni </w:t>
      </w:r>
      <w:r w:rsidR="007909F2" w:rsidRPr="00E11754">
        <w:rPr>
          <w:rFonts w:ascii="Times New Roman" w:hAnsi="Times New Roman" w:cs="Times New Roman"/>
          <w:sz w:val="24"/>
          <w:szCs w:val="24"/>
        </w:rPr>
        <w:t xml:space="preserve">ciała </w:t>
      </w:r>
      <w:r w:rsidR="007C11E1" w:rsidRPr="00E11754">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{"citationItems":[{"id":"ITEM-1","itemData":{"DOI":"10.1515/cpp-2016-0006","ISSN":"2081-3910","abstract":"Adriamycin (doxorubicin) is a chemical substance in the anthracycline class with a wide range of applications in oncology and hematology. The mechanism of action of Adriamycin is related to formation of irregular bonds between nucleobases of DNA and inhibition of key enzymes of DNA synthesis - topoisomerase I and II as well as to formation of free radicals damaging DNA.A major limitation in the drug use is associated with its adverse effects such as cardiotoxicity and hepatotoxicity.The mechanism of myocardial injury by Adriamycin is linked to an increase in oxidative stress associated with impaired mitochondrial function and structure.Cardiotoxicity of anthracyclines is classified as: acute, chronic or late (delayed).Hepatotoxicity of Adriamycin as a damage of the liver is associated with a dysfunction of this organ. Adriamycin studies have shown increased level of transaminase present in 40% of patients treated with Adriamycin. The state was transient and asymptomatic, returning to the initial level even when treatment continued.Knowledge of cancer diseases contributed to a successive creation of two improved forms of Adriamycin (doxorubicin) – nonpegylated and pegylated formulas of the drug.The mechanism of anticancer effects of liposomal Adriamycin is similar to the mechanism of conventional Adriamycin, but placement of the molecules of active substance in liposomes has significant influence on the distribution of the drug.In order to increase the distribution of the drug, a special form of liposomal Adriamycin has been created by covering the surface of the liposomes with a hydrophilic polymer - (MPEG). This process, known as pegylation, decreases the interactions between the lipid bilayer membrane and the plasma components. Pegylated form of the drug is associated with a higher incidence of acute complications.","author":[{"dropping-particle":"","family":"Pedrycz","given":"Agnieszka","non-dropping-particle":"","parse-names":false,"suffix":""},{"dropping-particle":"","family":"Kramkowska","given":"Agnieszka","non-dropping-particle":"","parse-names":false,"suffix":""}],"container-title":"Current Problems of Psychiatry","id":"ITEM-1","issue":"1","issued":{"date-parts":[["2016"]]},"page":"38-46","title":"Adriamycin - efficacy and possible adverse effects","type":"article-journal","volume":"17"},"uris":["http://www.mendeley.com/documents/?uuid=479dba43-830c-4534-90fa-f3427a0c23e2"]}],"mendeley":{"formattedCitation":"[31]","plainTextFormattedCitation":"[31]","previouslyFormattedCitation":"[31]"},"properties":{"noteIndex":0},"schema":"https://github.com/citation-style-language/schema/raw/master/csl-citation.json"}</w:instrText>
      </w:r>
      <w:r w:rsidR="007C11E1" w:rsidRPr="00E11754">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[31]</w:t>
      </w:r>
      <w:r w:rsidR="007C11E1" w:rsidRPr="00E11754">
        <w:rPr>
          <w:rFonts w:ascii="Times New Roman" w:hAnsi="Times New Roman" w:cs="Times New Roman"/>
          <w:sz w:val="24"/>
          <w:szCs w:val="24"/>
        </w:rPr>
        <w:fldChar w:fldCharType="end"/>
      </w:r>
      <w:r w:rsidR="007909F2" w:rsidRPr="00E11754">
        <w:rPr>
          <w:rFonts w:ascii="Times New Roman" w:hAnsi="Times New Roman" w:cs="Times New Roman"/>
          <w:sz w:val="24"/>
          <w:szCs w:val="24"/>
        </w:rPr>
        <w:t>.</w:t>
      </w:r>
      <w:r w:rsidR="00CA797E" w:rsidRPr="00E11754">
        <w:rPr>
          <w:rFonts w:ascii="Times New Roman" w:hAnsi="Times New Roman" w:cs="Times New Roman"/>
          <w:sz w:val="24"/>
          <w:szCs w:val="24"/>
        </w:rPr>
        <w:t xml:space="preserve"> </w:t>
      </w:r>
      <w:proofErr w:type="spellStart"/>
      <w:r w:rsidR="003F445E" w:rsidRPr="00E11754">
        <w:rPr>
          <w:rFonts w:ascii="Times New Roman" w:hAnsi="Times New Roman" w:cs="Times New Roman"/>
          <w:sz w:val="24"/>
          <w:szCs w:val="24"/>
        </w:rPr>
        <w:t>Kardiotoksyczność</w:t>
      </w:r>
      <w:proofErr w:type="spellEnd"/>
      <w:r w:rsidR="003F445E" w:rsidRPr="00E11754">
        <w:rPr>
          <w:rFonts w:ascii="Times New Roman" w:hAnsi="Times New Roman" w:cs="Times New Roman"/>
          <w:sz w:val="24"/>
          <w:szCs w:val="24"/>
        </w:rPr>
        <w:t xml:space="preserve"> można podzielić na cztery typy: </w:t>
      </w:r>
      <w:r w:rsidR="003F445E" w:rsidRPr="00E11754">
        <w:rPr>
          <w:rFonts w:ascii="Times New Roman" w:hAnsi="Times New Roman" w:cs="Times New Roman"/>
          <w:i/>
          <w:iCs/>
          <w:sz w:val="24"/>
          <w:szCs w:val="24"/>
        </w:rPr>
        <w:t>ostrą</w:t>
      </w:r>
      <w:r w:rsidR="003F445E" w:rsidRPr="00E11754">
        <w:rPr>
          <w:rFonts w:ascii="Times New Roman" w:hAnsi="Times New Roman" w:cs="Times New Roman"/>
          <w:sz w:val="24"/>
          <w:szCs w:val="24"/>
        </w:rPr>
        <w:t xml:space="preserve">, </w:t>
      </w:r>
      <w:proofErr w:type="spellStart"/>
      <w:r w:rsidR="003F445E" w:rsidRPr="00E11754">
        <w:rPr>
          <w:rFonts w:ascii="Times New Roman" w:hAnsi="Times New Roman" w:cs="Times New Roman"/>
          <w:i/>
          <w:iCs/>
          <w:sz w:val="24"/>
          <w:szCs w:val="24"/>
        </w:rPr>
        <w:t>podprzewlekł</w:t>
      </w:r>
      <w:r w:rsidR="00C23ADB" w:rsidRPr="00E11754">
        <w:rPr>
          <w:rFonts w:ascii="Times New Roman" w:hAnsi="Times New Roman" w:cs="Times New Roman"/>
          <w:i/>
          <w:iCs/>
          <w:sz w:val="24"/>
          <w:szCs w:val="24"/>
        </w:rPr>
        <w:t>ą</w:t>
      </w:r>
      <w:proofErr w:type="spellEnd"/>
      <w:r w:rsidR="003F445E" w:rsidRPr="00E11754">
        <w:rPr>
          <w:rFonts w:ascii="Times New Roman" w:hAnsi="Times New Roman" w:cs="Times New Roman"/>
          <w:sz w:val="24"/>
          <w:szCs w:val="24"/>
        </w:rPr>
        <w:t xml:space="preserve">, </w:t>
      </w:r>
      <w:r w:rsidR="003F445E" w:rsidRPr="00E11754">
        <w:rPr>
          <w:rFonts w:ascii="Times New Roman" w:hAnsi="Times New Roman" w:cs="Times New Roman"/>
          <w:i/>
          <w:iCs/>
          <w:sz w:val="24"/>
          <w:szCs w:val="24"/>
        </w:rPr>
        <w:t>wczesną przewlekłą</w:t>
      </w:r>
      <w:r w:rsidR="003F445E" w:rsidRPr="00E11754">
        <w:rPr>
          <w:rFonts w:ascii="Times New Roman" w:hAnsi="Times New Roman" w:cs="Times New Roman"/>
          <w:sz w:val="24"/>
          <w:szCs w:val="24"/>
        </w:rPr>
        <w:t xml:space="preserve"> oraz </w:t>
      </w:r>
      <w:r w:rsidR="003F445E" w:rsidRPr="00E11754">
        <w:rPr>
          <w:rFonts w:ascii="Times New Roman" w:hAnsi="Times New Roman" w:cs="Times New Roman"/>
          <w:i/>
          <w:iCs/>
          <w:sz w:val="24"/>
          <w:szCs w:val="24"/>
        </w:rPr>
        <w:t>późną przewlekł</w:t>
      </w:r>
      <w:r w:rsidR="00BA477E" w:rsidRPr="00E11754">
        <w:rPr>
          <w:rFonts w:ascii="Times New Roman" w:hAnsi="Times New Roman" w:cs="Times New Roman"/>
          <w:i/>
          <w:iCs/>
          <w:sz w:val="24"/>
          <w:szCs w:val="24"/>
        </w:rPr>
        <w:t>ą</w:t>
      </w:r>
      <w:r w:rsidR="003F445E" w:rsidRPr="00E11754">
        <w:rPr>
          <w:rFonts w:ascii="Times New Roman" w:hAnsi="Times New Roman" w:cs="Times New Roman"/>
          <w:sz w:val="24"/>
          <w:szCs w:val="24"/>
        </w:rPr>
        <w:t xml:space="preserve">. Mechanizm powstawania </w:t>
      </w:r>
      <w:proofErr w:type="spellStart"/>
      <w:r w:rsidR="003F445E" w:rsidRPr="00E11754">
        <w:rPr>
          <w:rFonts w:ascii="Times New Roman" w:hAnsi="Times New Roman" w:cs="Times New Roman"/>
          <w:sz w:val="24"/>
          <w:szCs w:val="24"/>
        </w:rPr>
        <w:t>kardiotoksyczności</w:t>
      </w:r>
      <w:proofErr w:type="spellEnd"/>
      <w:r w:rsidR="003F445E" w:rsidRPr="00E11754">
        <w:rPr>
          <w:rFonts w:ascii="Times New Roman" w:hAnsi="Times New Roman" w:cs="Times New Roman"/>
          <w:sz w:val="24"/>
          <w:szCs w:val="24"/>
        </w:rPr>
        <w:t xml:space="preserve"> </w:t>
      </w:r>
      <w:r w:rsidRPr="00E11754">
        <w:rPr>
          <w:rFonts w:ascii="Times New Roman" w:hAnsi="Times New Roman" w:cs="Times New Roman"/>
          <w:sz w:val="24"/>
          <w:szCs w:val="24"/>
        </w:rPr>
        <w:t xml:space="preserve">jest </w:t>
      </w:r>
      <w:r w:rsidR="009C07A9" w:rsidRPr="00E11754">
        <w:rPr>
          <w:rFonts w:ascii="Times New Roman" w:hAnsi="Times New Roman" w:cs="Times New Roman"/>
          <w:sz w:val="24"/>
          <w:szCs w:val="24"/>
        </w:rPr>
        <w:t xml:space="preserve">prawdopodobnie </w:t>
      </w:r>
      <w:r w:rsidRPr="00E11754">
        <w:rPr>
          <w:rFonts w:ascii="Times New Roman" w:hAnsi="Times New Roman" w:cs="Times New Roman"/>
          <w:sz w:val="24"/>
          <w:szCs w:val="24"/>
        </w:rPr>
        <w:t>związany ze</w:t>
      </w:r>
      <w:r w:rsidR="003F445E" w:rsidRPr="00E11754">
        <w:rPr>
          <w:rFonts w:ascii="Times New Roman" w:hAnsi="Times New Roman" w:cs="Times New Roman"/>
          <w:sz w:val="24"/>
          <w:szCs w:val="24"/>
        </w:rPr>
        <w:t xml:space="preserve"> stres</w:t>
      </w:r>
      <w:r w:rsidRPr="00E11754">
        <w:rPr>
          <w:rFonts w:ascii="Times New Roman" w:hAnsi="Times New Roman" w:cs="Times New Roman"/>
          <w:sz w:val="24"/>
          <w:szCs w:val="24"/>
        </w:rPr>
        <w:t>em</w:t>
      </w:r>
      <w:r w:rsidR="003F445E" w:rsidRPr="00E11754">
        <w:rPr>
          <w:rFonts w:ascii="Times New Roman" w:hAnsi="Times New Roman" w:cs="Times New Roman"/>
          <w:sz w:val="24"/>
          <w:szCs w:val="24"/>
        </w:rPr>
        <w:t xml:space="preserve"> oksydacyjn</w:t>
      </w:r>
      <w:r w:rsidRPr="00E11754">
        <w:rPr>
          <w:rFonts w:ascii="Times New Roman" w:hAnsi="Times New Roman" w:cs="Times New Roman"/>
          <w:sz w:val="24"/>
          <w:szCs w:val="24"/>
        </w:rPr>
        <w:t xml:space="preserve">ym prowadzącym do </w:t>
      </w:r>
      <w:r w:rsidR="003F445E" w:rsidRPr="00E11754">
        <w:rPr>
          <w:rFonts w:ascii="Times New Roman" w:hAnsi="Times New Roman" w:cs="Times New Roman"/>
          <w:sz w:val="24"/>
          <w:szCs w:val="24"/>
        </w:rPr>
        <w:t>powstawani</w:t>
      </w:r>
      <w:r w:rsidR="009C07A9" w:rsidRPr="00E11754">
        <w:rPr>
          <w:rFonts w:ascii="Times New Roman" w:hAnsi="Times New Roman" w:cs="Times New Roman"/>
          <w:sz w:val="24"/>
          <w:szCs w:val="24"/>
        </w:rPr>
        <w:t>a</w:t>
      </w:r>
      <w:r w:rsidR="003F445E" w:rsidRPr="00E11754">
        <w:rPr>
          <w:rFonts w:ascii="Times New Roman" w:hAnsi="Times New Roman" w:cs="Times New Roman"/>
          <w:sz w:val="24"/>
          <w:szCs w:val="24"/>
        </w:rPr>
        <w:t xml:space="preserve"> </w:t>
      </w:r>
      <w:r w:rsidR="00FD1154" w:rsidRPr="00E11754">
        <w:rPr>
          <w:rFonts w:ascii="Times New Roman" w:hAnsi="Times New Roman" w:cs="Times New Roman"/>
          <w:sz w:val="24"/>
          <w:szCs w:val="24"/>
        </w:rPr>
        <w:t xml:space="preserve">reaktywnych form tlenu </w:t>
      </w:r>
      <w:r w:rsidR="18D94345" w:rsidRPr="00E11754">
        <w:rPr>
          <w:rFonts w:ascii="Times New Roman" w:hAnsi="Times New Roman" w:cs="Times New Roman"/>
          <w:sz w:val="24"/>
          <w:szCs w:val="24"/>
        </w:rPr>
        <w:t>oraz azotu.</w:t>
      </w:r>
      <w:r w:rsidRPr="00E11754">
        <w:rPr>
          <w:rFonts w:ascii="Times New Roman" w:hAnsi="Times New Roman" w:cs="Times New Roman"/>
          <w:sz w:val="24"/>
          <w:szCs w:val="24"/>
        </w:rPr>
        <w:t xml:space="preserve"> Związki te</w:t>
      </w:r>
      <w:r w:rsidR="00BA723C" w:rsidRPr="00E11754">
        <w:rPr>
          <w:rFonts w:ascii="Times New Roman" w:hAnsi="Times New Roman" w:cs="Times New Roman"/>
          <w:sz w:val="24"/>
          <w:szCs w:val="24"/>
        </w:rPr>
        <w:t xml:space="preserve"> </w:t>
      </w:r>
      <w:r w:rsidRPr="00E11754">
        <w:rPr>
          <w:rFonts w:ascii="Times New Roman" w:hAnsi="Times New Roman" w:cs="Times New Roman"/>
          <w:sz w:val="24"/>
          <w:szCs w:val="24"/>
        </w:rPr>
        <w:t>w wyniku</w:t>
      </w:r>
      <w:r w:rsidR="00BA723C" w:rsidRPr="00E11754">
        <w:rPr>
          <w:rFonts w:ascii="Times New Roman" w:hAnsi="Times New Roman" w:cs="Times New Roman"/>
          <w:sz w:val="24"/>
          <w:szCs w:val="24"/>
        </w:rPr>
        <w:t xml:space="preserve"> </w:t>
      </w:r>
      <w:r w:rsidR="00BA477E" w:rsidRPr="00E11754">
        <w:rPr>
          <w:rFonts w:ascii="Times New Roman" w:hAnsi="Times New Roman" w:cs="Times New Roman"/>
          <w:sz w:val="24"/>
          <w:szCs w:val="24"/>
        </w:rPr>
        <w:t>r</w:t>
      </w:r>
      <w:r w:rsidR="009C07A9" w:rsidRPr="00E11754">
        <w:rPr>
          <w:rFonts w:ascii="Times New Roman" w:hAnsi="Times New Roman" w:cs="Times New Roman"/>
          <w:sz w:val="24"/>
          <w:szCs w:val="24"/>
        </w:rPr>
        <w:t>e</w:t>
      </w:r>
      <w:r w:rsidR="00BA477E" w:rsidRPr="00E11754">
        <w:rPr>
          <w:rFonts w:ascii="Times New Roman" w:hAnsi="Times New Roman" w:cs="Times New Roman"/>
          <w:sz w:val="24"/>
          <w:szCs w:val="24"/>
        </w:rPr>
        <w:t>ak</w:t>
      </w:r>
      <w:r w:rsidR="00DD2761" w:rsidRPr="00E11754">
        <w:rPr>
          <w:rFonts w:ascii="Times New Roman" w:hAnsi="Times New Roman" w:cs="Times New Roman"/>
          <w:sz w:val="24"/>
          <w:szCs w:val="24"/>
        </w:rPr>
        <w:t xml:space="preserve">cji z żelazem </w:t>
      </w:r>
      <w:r w:rsidR="00BA723C" w:rsidRPr="00E11754">
        <w:rPr>
          <w:rFonts w:ascii="Times New Roman" w:hAnsi="Times New Roman" w:cs="Times New Roman"/>
          <w:sz w:val="24"/>
          <w:szCs w:val="24"/>
        </w:rPr>
        <w:t xml:space="preserve">powodują degradację tkanki mięśniowej serca. </w:t>
      </w:r>
      <w:r w:rsidR="00DD2761" w:rsidRPr="00E11754">
        <w:rPr>
          <w:rFonts w:ascii="Times New Roman" w:hAnsi="Times New Roman" w:cs="Times New Roman"/>
          <w:sz w:val="24"/>
          <w:szCs w:val="24"/>
        </w:rPr>
        <w:t>Dodatkowo</w:t>
      </w:r>
      <w:r w:rsidR="009C07A9" w:rsidRPr="00E11754">
        <w:rPr>
          <w:rFonts w:ascii="Times New Roman" w:hAnsi="Times New Roman" w:cs="Times New Roman"/>
          <w:sz w:val="24"/>
          <w:szCs w:val="24"/>
        </w:rPr>
        <w:t>,</w:t>
      </w:r>
      <w:r w:rsidR="00CA797E" w:rsidRPr="00E11754">
        <w:rPr>
          <w:rFonts w:ascii="Times New Roman" w:hAnsi="Times New Roman" w:cs="Times New Roman"/>
          <w:sz w:val="24"/>
          <w:szCs w:val="24"/>
        </w:rPr>
        <w:t xml:space="preserve"> </w:t>
      </w:r>
      <w:proofErr w:type="spellStart"/>
      <w:r w:rsidR="18D94345" w:rsidRPr="00E11754">
        <w:rPr>
          <w:rFonts w:ascii="Times New Roman" w:hAnsi="Times New Roman" w:cs="Times New Roman"/>
          <w:sz w:val="24"/>
          <w:szCs w:val="24"/>
        </w:rPr>
        <w:t>antracykliny</w:t>
      </w:r>
      <w:proofErr w:type="spellEnd"/>
      <w:r w:rsidR="00CA797E" w:rsidRPr="00E11754">
        <w:rPr>
          <w:rFonts w:ascii="Times New Roman" w:hAnsi="Times New Roman" w:cs="Times New Roman"/>
          <w:sz w:val="24"/>
          <w:szCs w:val="24"/>
        </w:rPr>
        <w:t xml:space="preserve"> wykazują szereg innych efektów niepożądanych tj. wymioty, nudności</w:t>
      </w:r>
      <w:r w:rsidR="009C07A9" w:rsidRPr="00E11754">
        <w:rPr>
          <w:rFonts w:ascii="Times New Roman" w:hAnsi="Times New Roman" w:cs="Times New Roman"/>
          <w:sz w:val="24"/>
          <w:szCs w:val="24"/>
        </w:rPr>
        <w:t xml:space="preserve"> czy</w:t>
      </w:r>
      <w:r w:rsidR="00CA797E" w:rsidRPr="00E11754">
        <w:rPr>
          <w:rFonts w:ascii="Times New Roman" w:hAnsi="Times New Roman" w:cs="Times New Roman"/>
          <w:sz w:val="24"/>
          <w:szCs w:val="24"/>
        </w:rPr>
        <w:t xml:space="preserve"> </w:t>
      </w:r>
      <w:r w:rsidR="000C0E35" w:rsidRPr="00E11754">
        <w:rPr>
          <w:rFonts w:ascii="Times New Roman" w:hAnsi="Times New Roman" w:cs="Times New Roman"/>
          <w:sz w:val="24"/>
          <w:szCs w:val="24"/>
        </w:rPr>
        <w:t>biegunk</w:t>
      </w:r>
      <w:r w:rsidR="001E6E65" w:rsidRPr="00E11754">
        <w:rPr>
          <w:rFonts w:ascii="Times New Roman" w:hAnsi="Times New Roman" w:cs="Times New Roman"/>
          <w:sz w:val="24"/>
          <w:szCs w:val="24"/>
        </w:rPr>
        <w:t>a.</w:t>
      </w:r>
    </w:p>
    <w:p w14:paraId="33298ECA" w14:textId="0A6C08BF" w:rsidR="00034AB0" w:rsidRPr="00E11754" w:rsidRDefault="3998842B" w:rsidP="00034AB0">
      <w:pPr>
        <w:spacing w:line="360" w:lineRule="auto"/>
        <w:ind w:firstLine="696"/>
        <w:jc w:val="both"/>
        <w:rPr>
          <w:rFonts w:ascii="Times New Roman" w:hAnsi="Times New Roman" w:cs="Times New Roman"/>
          <w:sz w:val="24"/>
          <w:szCs w:val="24"/>
        </w:rPr>
      </w:pPr>
      <w:r w:rsidRPr="3998842B">
        <w:rPr>
          <w:rFonts w:ascii="Times New Roman" w:hAnsi="Times New Roman" w:cs="Times New Roman"/>
          <w:sz w:val="24"/>
          <w:szCs w:val="24"/>
        </w:rPr>
        <w:t xml:space="preserve">W lecznictwie, </w:t>
      </w:r>
      <w:proofErr w:type="spellStart"/>
      <w:r w:rsidRPr="3998842B">
        <w:rPr>
          <w:rFonts w:ascii="Times New Roman" w:hAnsi="Times New Roman" w:cs="Times New Roman"/>
          <w:sz w:val="24"/>
          <w:szCs w:val="24"/>
        </w:rPr>
        <w:t>antracykliny</w:t>
      </w:r>
      <w:proofErr w:type="spellEnd"/>
      <w:r w:rsidRPr="3998842B">
        <w:rPr>
          <w:rFonts w:ascii="Times New Roman" w:hAnsi="Times New Roman" w:cs="Times New Roman"/>
          <w:sz w:val="24"/>
          <w:szCs w:val="24"/>
        </w:rPr>
        <w:t xml:space="preserve"> mogą być stosowane w </w:t>
      </w:r>
      <w:proofErr w:type="spellStart"/>
      <w:r w:rsidRPr="3998842B">
        <w:rPr>
          <w:rFonts w:ascii="Times New Roman" w:hAnsi="Times New Roman" w:cs="Times New Roman"/>
          <w:sz w:val="24"/>
          <w:szCs w:val="24"/>
        </w:rPr>
        <w:t>monoterapii</w:t>
      </w:r>
      <w:proofErr w:type="spellEnd"/>
      <w:r w:rsidRPr="3998842B">
        <w:rPr>
          <w:rFonts w:ascii="Times New Roman" w:hAnsi="Times New Roman" w:cs="Times New Roman"/>
          <w:sz w:val="24"/>
          <w:szCs w:val="24"/>
        </w:rPr>
        <w:t xml:space="preserve"> bądź w połączeniu z lekami o odmiennym mechanizmach działania farmakologicznego (</w:t>
      </w:r>
      <w:r w:rsidRPr="3998842B">
        <w:rPr>
          <w:rFonts w:ascii="Times New Roman" w:eastAsia="Times New Roman" w:hAnsi="Times New Roman" w:cs="Times New Roman"/>
          <w:sz w:val="24"/>
          <w:szCs w:val="24"/>
          <w:lang w:eastAsia="pl-PL"/>
        </w:rPr>
        <w:t>Tabela 2</w:t>
      </w:r>
      <w:r w:rsidRPr="3998842B">
        <w:rPr>
          <w:rFonts w:ascii="Times New Roman" w:hAnsi="Times New Roman" w:cs="Times New Roman"/>
          <w:sz w:val="24"/>
          <w:szCs w:val="24"/>
        </w:rPr>
        <w:t xml:space="preserve">).  </w:t>
      </w:r>
    </w:p>
    <w:p w14:paraId="73813BF7" w14:textId="1F7CAA03" w:rsidR="00CF7734" w:rsidRPr="00E11754" w:rsidRDefault="00CF7734" w:rsidP="002C496B">
      <w:pPr>
        <w:pStyle w:val="Akapitzlist"/>
        <w:spacing w:line="360" w:lineRule="auto"/>
        <w:ind w:left="0"/>
        <w:jc w:val="center"/>
        <w:rPr>
          <w:rFonts w:ascii="Times New Roman" w:hAnsi="Times New Roman" w:cs="Times New Roman"/>
          <w:b/>
          <w:bCs/>
          <w:i/>
          <w:iCs/>
          <w:sz w:val="24"/>
          <w:szCs w:val="24"/>
        </w:rPr>
      </w:pPr>
      <w:r w:rsidRPr="00E11754">
        <w:rPr>
          <w:rFonts w:ascii="Times New Roman" w:hAnsi="Times New Roman" w:cs="Times New Roman"/>
          <w:b/>
          <w:bCs/>
          <w:i/>
          <w:iCs/>
          <w:sz w:val="24"/>
          <w:szCs w:val="24"/>
        </w:rPr>
        <w:t xml:space="preserve">Tabela 2. </w:t>
      </w:r>
      <w:r w:rsidRPr="00E11754">
        <w:rPr>
          <w:rFonts w:ascii="Times New Roman" w:hAnsi="Times New Roman" w:cs="Times New Roman"/>
          <w:i/>
          <w:iCs/>
          <w:sz w:val="24"/>
          <w:szCs w:val="24"/>
        </w:rPr>
        <w:t>Przykłady schematów leczenia wybranych nowotworów opart</w:t>
      </w:r>
      <w:r w:rsidR="00034AB0" w:rsidRPr="00E11754">
        <w:rPr>
          <w:rFonts w:ascii="Times New Roman" w:hAnsi="Times New Roman" w:cs="Times New Roman"/>
          <w:i/>
          <w:iCs/>
          <w:sz w:val="24"/>
          <w:szCs w:val="24"/>
        </w:rPr>
        <w:t>e</w:t>
      </w:r>
      <w:r w:rsidRPr="00E11754">
        <w:rPr>
          <w:rFonts w:ascii="Times New Roman" w:hAnsi="Times New Roman" w:cs="Times New Roman"/>
          <w:i/>
          <w:iCs/>
          <w:sz w:val="24"/>
          <w:szCs w:val="24"/>
        </w:rPr>
        <w:t xml:space="preserve"> na włączeniu </w:t>
      </w:r>
      <w:proofErr w:type="spellStart"/>
      <w:r w:rsidRPr="00E11754">
        <w:rPr>
          <w:rFonts w:ascii="Times New Roman" w:hAnsi="Times New Roman" w:cs="Times New Roman"/>
          <w:i/>
          <w:iCs/>
          <w:sz w:val="24"/>
          <w:szCs w:val="24"/>
        </w:rPr>
        <w:t>antracyklin</w:t>
      </w:r>
      <w:proofErr w:type="spellEnd"/>
    </w:p>
    <w:tbl>
      <w:tblPr>
        <w:tblStyle w:val="Tabela-Siatka"/>
        <w:tblW w:w="0" w:type="auto"/>
        <w:tblLook w:val="04A0" w:firstRow="1" w:lastRow="0" w:firstColumn="1" w:lastColumn="0" w:noHBand="0" w:noVBand="1"/>
      </w:tblPr>
      <w:tblGrid>
        <w:gridCol w:w="1297"/>
        <w:gridCol w:w="4368"/>
        <w:gridCol w:w="2410"/>
        <w:gridCol w:w="702"/>
      </w:tblGrid>
      <w:tr w:rsidR="00CF7734" w:rsidRPr="00E11754" w14:paraId="14B9D256" w14:textId="77777777" w:rsidTr="13A8E3F4">
        <w:tc>
          <w:tcPr>
            <w:tcW w:w="1297" w:type="dxa"/>
            <w:vAlign w:val="center"/>
          </w:tcPr>
          <w:p w14:paraId="3FE660A7" w14:textId="77777777" w:rsidR="00CF7734" w:rsidRPr="00E11754" w:rsidRDefault="00CF7734" w:rsidP="008322D3">
            <w:pPr>
              <w:pStyle w:val="Akapitzlist"/>
              <w:spacing w:line="360" w:lineRule="auto"/>
              <w:ind w:left="0"/>
              <w:jc w:val="center"/>
              <w:rPr>
                <w:rFonts w:ascii="Times New Roman" w:hAnsi="Times New Roman" w:cs="Times New Roman"/>
                <w:b/>
                <w:bCs/>
                <w:sz w:val="24"/>
                <w:szCs w:val="24"/>
              </w:rPr>
            </w:pPr>
            <w:r w:rsidRPr="00E11754">
              <w:rPr>
                <w:rFonts w:ascii="Times New Roman" w:hAnsi="Times New Roman" w:cs="Times New Roman"/>
                <w:b/>
                <w:bCs/>
                <w:sz w:val="24"/>
                <w:szCs w:val="24"/>
              </w:rPr>
              <w:t>Schemat</w:t>
            </w:r>
          </w:p>
          <w:p w14:paraId="0416AC21" w14:textId="77777777" w:rsidR="00CF7734" w:rsidRPr="00E11754" w:rsidRDefault="00CF7734" w:rsidP="008322D3">
            <w:pPr>
              <w:pStyle w:val="Akapitzlist"/>
              <w:spacing w:line="360" w:lineRule="auto"/>
              <w:ind w:left="0"/>
              <w:jc w:val="center"/>
              <w:rPr>
                <w:rFonts w:ascii="Times New Roman" w:hAnsi="Times New Roman" w:cs="Times New Roman"/>
                <w:b/>
                <w:bCs/>
                <w:sz w:val="24"/>
                <w:szCs w:val="24"/>
              </w:rPr>
            </w:pPr>
            <w:r w:rsidRPr="00E11754">
              <w:rPr>
                <w:rFonts w:ascii="Times New Roman" w:hAnsi="Times New Roman" w:cs="Times New Roman"/>
                <w:b/>
                <w:bCs/>
                <w:sz w:val="24"/>
                <w:szCs w:val="24"/>
              </w:rPr>
              <w:t>leczenia</w:t>
            </w:r>
          </w:p>
        </w:tc>
        <w:tc>
          <w:tcPr>
            <w:tcW w:w="4368" w:type="dxa"/>
            <w:vAlign w:val="center"/>
          </w:tcPr>
          <w:p w14:paraId="74D63012" w14:textId="77777777" w:rsidR="00CF7734" w:rsidRPr="00E11754" w:rsidRDefault="00CF7734" w:rsidP="008322D3">
            <w:pPr>
              <w:pStyle w:val="Akapitzlist"/>
              <w:spacing w:line="360" w:lineRule="auto"/>
              <w:ind w:left="0"/>
              <w:jc w:val="center"/>
              <w:rPr>
                <w:rFonts w:ascii="Times New Roman" w:hAnsi="Times New Roman" w:cs="Times New Roman"/>
                <w:b/>
                <w:bCs/>
                <w:sz w:val="24"/>
                <w:szCs w:val="24"/>
              </w:rPr>
            </w:pPr>
            <w:r w:rsidRPr="00E11754">
              <w:rPr>
                <w:rFonts w:ascii="Times New Roman" w:hAnsi="Times New Roman" w:cs="Times New Roman"/>
                <w:b/>
                <w:bCs/>
                <w:sz w:val="24"/>
                <w:szCs w:val="24"/>
              </w:rPr>
              <w:t>Nazwy leków wchodzących w skład schematu leczenia</w:t>
            </w:r>
          </w:p>
        </w:tc>
        <w:tc>
          <w:tcPr>
            <w:tcW w:w="2410" w:type="dxa"/>
            <w:vAlign w:val="center"/>
          </w:tcPr>
          <w:p w14:paraId="57FF2AAF" w14:textId="77777777" w:rsidR="00CF7734" w:rsidRPr="00E11754" w:rsidRDefault="00CF7734" w:rsidP="008322D3">
            <w:pPr>
              <w:pStyle w:val="Akapitzlist"/>
              <w:spacing w:line="360" w:lineRule="auto"/>
              <w:ind w:left="0"/>
              <w:jc w:val="center"/>
              <w:rPr>
                <w:rFonts w:ascii="Times New Roman" w:hAnsi="Times New Roman" w:cs="Times New Roman"/>
                <w:b/>
                <w:bCs/>
                <w:sz w:val="24"/>
                <w:szCs w:val="24"/>
              </w:rPr>
            </w:pPr>
            <w:r w:rsidRPr="00E11754">
              <w:rPr>
                <w:rFonts w:ascii="Times New Roman" w:hAnsi="Times New Roman" w:cs="Times New Roman"/>
                <w:b/>
                <w:bCs/>
                <w:sz w:val="24"/>
                <w:szCs w:val="24"/>
              </w:rPr>
              <w:t>Nowotwór</w:t>
            </w:r>
          </w:p>
        </w:tc>
        <w:tc>
          <w:tcPr>
            <w:tcW w:w="702" w:type="dxa"/>
            <w:vAlign w:val="center"/>
          </w:tcPr>
          <w:p w14:paraId="7315570F" w14:textId="77777777" w:rsidR="00CF7734" w:rsidRPr="00E11754" w:rsidRDefault="00CF7734" w:rsidP="008322D3">
            <w:pPr>
              <w:pStyle w:val="Akapitzlist"/>
              <w:spacing w:line="360" w:lineRule="auto"/>
              <w:ind w:left="0"/>
              <w:jc w:val="center"/>
              <w:rPr>
                <w:rFonts w:ascii="Times New Roman" w:hAnsi="Times New Roman" w:cs="Times New Roman"/>
                <w:b/>
                <w:bCs/>
                <w:sz w:val="24"/>
                <w:szCs w:val="24"/>
              </w:rPr>
            </w:pPr>
            <w:r w:rsidRPr="00E11754">
              <w:rPr>
                <w:rFonts w:ascii="Times New Roman" w:hAnsi="Times New Roman" w:cs="Times New Roman"/>
                <w:b/>
                <w:bCs/>
                <w:sz w:val="24"/>
                <w:szCs w:val="24"/>
              </w:rPr>
              <w:t>Ref.</w:t>
            </w:r>
          </w:p>
        </w:tc>
      </w:tr>
      <w:tr w:rsidR="00CF7734" w:rsidRPr="00E11754" w14:paraId="2A2902FF" w14:textId="77777777" w:rsidTr="13A8E3F4">
        <w:tc>
          <w:tcPr>
            <w:tcW w:w="1297" w:type="dxa"/>
            <w:vAlign w:val="center"/>
          </w:tcPr>
          <w:p w14:paraId="37C6F8B2"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ABVD</w:t>
            </w:r>
          </w:p>
        </w:tc>
        <w:tc>
          <w:tcPr>
            <w:tcW w:w="4368" w:type="dxa"/>
            <w:vAlign w:val="center"/>
          </w:tcPr>
          <w:p w14:paraId="673F9B21" w14:textId="77777777" w:rsidR="00CF7734" w:rsidRPr="00E11754" w:rsidRDefault="00CF7734" w:rsidP="008322D3">
            <w:pPr>
              <w:shd w:val="clear" w:color="auto" w:fill="FFFFFF"/>
              <w:spacing w:before="100" w:beforeAutospacing="1" w:after="24" w:line="360" w:lineRule="auto"/>
              <w:ind w:left="2"/>
              <w:jc w:val="center"/>
              <w:rPr>
                <w:rFonts w:ascii="Times New Roman" w:eastAsia="Times New Roman" w:hAnsi="Times New Roman" w:cs="Times New Roman"/>
                <w:sz w:val="24"/>
                <w:szCs w:val="24"/>
                <w:lang w:eastAsia="pl-PL"/>
              </w:rPr>
            </w:pPr>
            <w:proofErr w:type="spellStart"/>
            <w:r w:rsidRPr="00E11754">
              <w:rPr>
                <w:rFonts w:ascii="Times New Roman" w:eastAsia="Times New Roman" w:hAnsi="Times New Roman" w:cs="Times New Roman"/>
                <w:sz w:val="24"/>
                <w:szCs w:val="24"/>
                <w:lang w:eastAsia="pl-PL"/>
              </w:rPr>
              <w:t>doksorubicyna</w:t>
            </w:r>
            <w:proofErr w:type="spellEnd"/>
            <w:r w:rsidRPr="00E11754">
              <w:rPr>
                <w:rFonts w:ascii="Times New Roman" w:eastAsia="Times New Roman" w:hAnsi="Times New Roman" w:cs="Times New Roman"/>
                <w:sz w:val="24"/>
                <w:szCs w:val="24"/>
                <w:lang w:eastAsia="pl-PL"/>
              </w:rPr>
              <w:t xml:space="preserve">, </w:t>
            </w:r>
            <w:proofErr w:type="spellStart"/>
            <w:r w:rsidRPr="00E11754">
              <w:rPr>
                <w:rFonts w:ascii="Times New Roman" w:eastAsia="Times New Roman" w:hAnsi="Times New Roman" w:cs="Times New Roman"/>
                <w:sz w:val="24"/>
                <w:szCs w:val="24"/>
                <w:lang w:eastAsia="pl-PL"/>
              </w:rPr>
              <w:t>bleomycyna</w:t>
            </w:r>
            <w:proofErr w:type="spellEnd"/>
            <w:r w:rsidRPr="00E11754">
              <w:rPr>
                <w:rFonts w:ascii="Times New Roman" w:eastAsia="Times New Roman" w:hAnsi="Times New Roman" w:cs="Times New Roman"/>
                <w:sz w:val="24"/>
                <w:szCs w:val="24"/>
                <w:lang w:eastAsia="pl-PL"/>
              </w:rPr>
              <w:t xml:space="preserve">, </w:t>
            </w:r>
            <w:proofErr w:type="spellStart"/>
            <w:r w:rsidRPr="00E11754">
              <w:rPr>
                <w:rFonts w:ascii="Times New Roman" w:eastAsia="Times New Roman" w:hAnsi="Times New Roman" w:cs="Times New Roman"/>
                <w:sz w:val="24"/>
                <w:szCs w:val="24"/>
                <w:lang w:eastAsia="pl-PL"/>
              </w:rPr>
              <w:t>winblastyna</w:t>
            </w:r>
            <w:proofErr w:type="spellEnd"/>
            <w:r w:rsidRPr="00E11754">
              <w:rPr>
                <w:rFonts w:ascii="Times New Roman" w:eastAsia="Times New Roman" w:hAnsi="Times New Roman" w:cs="Times New Roman"/>
                <w:sz w:val="24"/>
                <w:szCs w:val="24"/>
                <w:lang w:eastAsia="pl-PL"/>
              </w:rPr>
              <w:t xml:space="preserve">, </w:t>
            </w:r>
            <w:proofErr w:type="spellStart"/>
            <w:r w:rsidRPr="00E11754">
              <w:rPr>
                <w:rFonts w:ascii="Times New Roman" w:eastAsia="Times New Roman" w:hAnsi="Times New Roman" w:cs="Times New Roman"/>
                <w:sz w:val="24"/>
                <w:szCs w:val="24"/>
                <w:lang w:eastAsia="pl-PL"/>
              </w:rPr>
              <w:t>dakarbazyna</w:t>
            </w:r>
            <w:proofErr w:type="spellEnd"/>
          </w:p>
        </w:tc>
        <w:tc>
          <w:tcPr>
            <w:tcW w:w="2410" w:type="dxa"/>
            <w:vAlign w:val="center"/>
          </w:tcPr>
          <w:p w14:paraId="0E2F325C"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proofErr w:type="spellStart"/>
            <w:r w:rsidRPr="00E11754">
              <w:rPr>
                <w:rFonts w:ascii="Times New Roman" w:hAnsi="Times New Roman" w:cs="Times New Roman"/>
                <w:sz w:val="24"/>
                <w:szCs w:val="24"/>
              </w:rPr>
              <w:t>Chłoniak</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Hodgkina</w:t>
            </w:r>
            <w:proofErr w:type="spellEnd"/>
          </w:p>
        </w:tc>
        <w:tc>
          <w:tcPr>
            <w:tcW w:w="702" w:type="dxa"/>
            <w:vAlign w:val="center"/>
          </w:tcPr>
          <w:p w14:paraId="43ABA014" w14:textId="1F8910E0"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{"citationItems":[{"id":"ITEM-1","itemData":{"DOI":"10.3390/jcm10051125","ISSN":"20770383","abstract":"Hodgkin lymphoma (HL) is a rare malignancy accounting for roughly 15% of all lymphomas and mostly affecting young patients. A second peak is seen in patients above 60 years of age. The history of HL treatment represents a remarkable success story in which HL has turned from an incurable disease to a neoplasm with an excellent prognosis. First-line treatment with stage-adapted treatment consisting of chemotherapy and/or radiotherapy results in cure rates of approximately 80%. Second-line treatment mostly consists of intensive salvage chemotherapy followed by high-dose chemotherapy (HDCT) and autologous stem cell transplantation (ASCT). Novel approaches such as antibody drug conjugates and immunomodulatory drugs have shown impressive results in clinical trials in refractory and relapsed HL and are now increasingly implemented in earlier treatment lines. This review gives a comprehensive overview on HL addressing epidemiology, pathophysiology and current treatment options as well as recent developments and perspectives.","author":[{"dropping-particle":"","family":"Momotow","given":"Jesko","non-dropping-particle":"","parse-names":false,"suffix":""},{"dropping-particle":"","family":"Borchmann","given":"Sven","non-dropping-particle":"","parse-names":false,"suffix":""},{"dropping-particle":"","family":"Eichenauer","given":"Dennis A.","non-dropping-particle":"","parse-names":false,"suffix":""},{"dropping-particle":"","family":"Engert","given":"Andreas","non-dropping-particle":"","parse-names":false,"suffix":""},{"dropping-particle":"","family":"Sasse","given":"Stephanie","non-dropping-particle":"","parse-names":false,"suffix":""}],"container-title":"Journal of Clinical Medicine","id":"ITEM-1","issue":"5","issued":{"date-parts":[["2021"]]},"page":"1-17","title":"Hodgkin lymphoma—review on pathogenesis, diagnosis, current and future treatment approaches for adult patients","type":"article-journal","volume":"10"},"uris":["http://www.mendeley.com/documents/?uuid=d611d1ca-853a-453f-88ef-284095cc0241"]}],"mendeley":{"formattedCitation":"[22]","plainTextFormattedCitation":"[22]","previouslyFormattedCitation":"[22]"},"properties":{"noteIndex":0},"schema":"https://github.com/citation-style-language/schema/raw/master/csl-citation.json"}</w:instrText>
            </w:r>
            <w:r w:rsidRPr="00E11754">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[22]</w:t>
            </w:r>
            <w:r w:rsidRPr="00E11754">
              <w:rPr>
                <w:rFonts w:ascii="Times New Roman" w:hAnsi="Times New Roman" w:cs="Times New Roman"/>
                <w:sz w:val="24"/>
                <w:szCs w:val="24"/>
              </w:rPr>
              <w:fldChar w:fldCharType="end"/>
            </w:r>
          </w:p>
        </w:tc>
      </w:tr>
      <w:tr w:rsidR="00CF7734" w:rsidRPr="00E11754" w14:paraId="7FC43EE4" w14:textId="77777777" w:rsidTr="13A8E3F4">
        <w:tc>
          <w:tcPr>
            <w:tcW w:w="1297" w:type="dxa"/>
            <w:vAlign w:val="center"/>
          </w:tcPr>
          <w:p w14:paraId="0264C16A"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BEACOPP</w:t>
            </w:r>
          </w:p>
        </w:tc>
        <w:tc>
          <w:tcPr>
            <w:tcW w:w="4368" w:type="dxa"/>
            <w:vAlign w:val="center"/>
          </w:tcPr>
          <w:p w14:paraId="6E5CABA3"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proofErr w:type="spellStart"/>
            <w:r w:rsidRPr="00E11754">
              <w:rPr>
                <w:rFonts w:ascii="Times New Roman" w:hAnsi="Times New Roman" w:cs="Times New Roman"/>
                <w:sz w:val="24"/>
                <w:szCs w:val="24"/>
                <w:shd w:val="clear" w:color="auto" w:fill="FFFFFF"/>
              </w:rPr>
              <w:t>bleomycyna</w:t>
            </w:r>
            <w:proofErr w:type="spellEnd"/>
            <w:r w:rsidRPr="00E11754">
              <w:rPr>
                <w:rFonts w:ascii="Times New Roman" w:hAnsi="Times New Roman" w:cs="Times New Roman"/>
                <w:sz w:val="24"/>
                <w:szCs w:val="24"/>
                <w:shd w:val="clear" w:color="auto" w:fill="FFFFFF"/>
              </w:rPr>
              <w:t xml:space="preserve">, </w:t>
            </w:r>
            <w:proofErr w:type="spellStart"/>
            <w:r w:rsidRPr="00E11754">
              <w:rPr>
                <w:rFonts w:ascii="Times New Roman" w:hAnsi="Times New Roman" w:cs="Times New Roman"/>
                <w:sz w:val="24"/>
                <w:szCs w:val="24"/>
                <w:shd w:val="clear" w:color="auto" w:fill="FFFFFF"/>
              </w:rPr>
              <w:t>etopozyd</w:t>
            </w:r>
            <w:proofErr w:type="spellEnd"/>
            <w:r w:rsidRPr="00E11754">
              <w:rPr>
                <w:rFonts w:ascii="Times New Roman" w:hAnsi="Times New Roman" w:cs="Times New Roman"/>
                <w:sz w:val="24"/>
                <w:szCs w:val="24"/>
                <w:shd w:val="clear" w:color="auto" w:fill="FFFFFF"/>
              </w:rPr>
              <w:t xml:space="preserve">, </w:t>
            </w:r>
            <w:proofErr w:type="spellStart"/>
            <w:r w:rsidRPr="00E11754">
              <w:rPr>
                <w:rFonts w:ascii="Times New Roman" w:hAnsi="Times New Roman" w:cs="Times New Roman"/>
                <w:sz w:val="24"/>
                <w:szCs w:val="24"/>
                <w:shd w:val="clear" w:color="auto" w:fill="FFFFFF"/>
              </w:rPr>
              <w:t>doksorubicyna</w:t>
            </w:r>
            <w:proofErr w:type="spellEnd"/>
            <w:r w:rsidRPr="00E11754">
              <w:rPr>
                <w:rFonts w:ascii="Times New Roman" w:hAnsi="Times New Roman" w:cs="Times New Roman"/>
                <w:sz w:val="24"/>
                <w:szCs w:val="24"/>
                <w:shd w:val="clear" w:color="auto" w:fill="FFFFFF"/>
              </w:rPr>
              <w:t xml:space="preserve">, </w:t>
            </w:r>
            <w:r w:rsidRPr="00E11754">
              <w:rPr>
                <w:rFonts w:ascii="Times New Roman" w:hAnsi="Times New Roman" w:cs="Times New Roman"/>
                <w:sz w:val="24"/>
                <w:szCs w:val="24"/>
                <w:shd w:val="clear" w:color="auto" w:fill="FFFFFF"/>
              </w:rPr>
              <w:br/>
            </w:r>
            <w:proofErr w:type="spellStart"/>
            <w:r w:rsidRPr="00E11754">
              <w:rPr>
                <w:rFonts w:ascii="Times New Roman" w:hAnsi="Times New Roman" w:cs="Times New Roman"/>
                <w:sz w:val="24"/>
                <w:szCs w:val="24"/>
                <w:shd w:val="clear" w:color="auto" w:fill="FFFFFF"/>
              </w:rPr>
              <w:t>cyklofosfamid</w:t>
            </w:r>
            <w:proofErr w:type="spellEnd"/>
            <w:r w:rsidRPr="00E11754">
              <w:rPr>
                <w:rFonts w:ascii="Times New Roman" w:hAnsi="Times New Roman" w:cs="Times New Roman"/>
                <w:sz w:val="24"/>
                <w:szCs w:val="24"/>
                <w:shd w:val="clear" w:color="auto" w:fill="FFFFFF"/>
              </w:rPr>
              <w:t xml:space="preserve">, </w:t>
            </w:r>
            <w:proofErr w:type="spellStart"/>
            <w:r w:rsidRPr="00E11754">
              <w:rPr>
                <w:rFonts w:ascii="Times New Roman" w:hAnsi="Times New Roman" w:cs="Times New Roman"/>
                <w:sz w:val="24"/>
                <w:szCs w:val="24"/>
                <w:shd w:val="clear" w:color="auto" w:fill="FFFFFF"/>
              </w:rPr>
              <w:t>winkrystyna</w:t>
            </w:r>
            <w:proofErr w:type="spellEnd"/>
            <w:r w:rsidRPr="00E11754">
              <w:rPr>
                <w:rFonts w:ascii="Times New Roman" w:hAnsi="Times New Roman" w:cs="Times New Roman"/>
                <w:sz w:val="24"/>
                <w:szCs w:val="24"/>
                <w:shd w:val="clear" w:color="auto" w:fill="FFFFFF"/>
              </w:rPr>
              <w:t xml:space="preserve">, </w:t>
            </w:r>
            <w:r w:rsidRPr="00E11754">
              <w:rPr>
                <w:rFonts w:ascii="Times New Roman" w:hAnsi="Times New Roman" w:cs="Times New Roman"/>
                <w:sz w:val="24"/>
                <w:szCs w:val="24"/>
                <w:shd w:val="clear" w:color="auto" w:fill="FFFFFF"/>
              </w:rPr>
              <w:br/>
            </w:r>
            <w:proofErr w:type="spellStart"/>
            <w:r w:rsidRPr="00E11754">
              <w:rPr>
                <w:rFonts w:ascii="Times New Roman" w:hAnsi="Times New Roman" w:cs="Times New Roman"/>
                <w:sz w:val="24"/>
                <w:szCs w:val="24"/>
                <w:shd w:val="clear" w:color="auto" w:fill="FFFFFF"/>
              </w:rPr>
              <w:t>prokarbazyna</w:t>
            </w:r>
            <w:proofErr w:type="spellEnd"/>
            <w:r w:rsidRPr="00E11754">
              <w:rPr>
                <w:rFonts w:ascii="Times New Roman" w:hAnsi="Times New Roman" w:cs="Times New Roman"/>
                <w:sz w:val="24"/>
                <w:szCs w:val="24"/>
                <w:shd w:val="clear" w:color="auto" w:fill="FFFFFF"/>
              </w:rPr>
              <w:t xml:space="preserve">, </w:t>
            </w:r>
            <w:proofErr w:type="spellStart"/>
            <w:r w:rsidRPr="00E11754">
              <w:rPr>
                <w:rFonts w:ascii="Times New Roman" w:hAnsi="Times New Roman" w:cs="Times New Roman"/>
                <w:sz w:val="24"/>
                <w:szCs w:val="24"/>
                <w:shd w:val="clear" w:color="auto" w:fill="FFFFFF"/>
              </w:rPr>
              <w:t>prednizon</w:t>
            </w:r>
            <w:proofErr w:type="spellEnd"/>
          </w:p>
        </w:tc>
        <w:tc>
          <w:tcPr>
            <w:tcW w:w="2410" w:type="dxa"/>
            <w:vAlign w:val="center"/>
          </w:tcPr>
          <w:p w14:paraId="74318BE4"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proofErr w:type="spellStart"/>
            <w:r w:rsidRPr="00E11754">
              <w:rPr>
                <w:rFonts w:ascii="Times New Roman" w:hAnsi="Times New Roman" w:cs="Times New Roman"/>
                <w:sz w:val="24"/>
                <w:szCs w:val="24"/>
              </w:rPr>
              <w:t>Chłoniak</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Hodgkina</w:t>
            </w:r>
            <w:proofErr w:type="spellEnd"/>
          </w:p>
        </w:tc>
        <w:tc>
          <w:tcPr>
            <w:tcW w:w="702" w:type="dxa"/>
            <w:vAlign w:val="center"/>
          </w:tcPr>
          <w:p w14:paraId="2BD0AE87" w14:textId="75F06FD3"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{"citationItems":[{"id":"ITEM-1","itemData":{"DOI":"10.3390/jcm10051125","ISSN":"20770383","abstract":"Hodgkin lymphoma (HL) is a rare malignancy accounting for roughly 15% of all lymphomas and mostly affecting young patients. A second peak is seen in patients above 60 years of age. The history of HL treatment represents a remarkable success story in which HL has turned from an incurable disease to a neoplasm with an excellent prognosis. First-line treatment with stage-adapted treatment consisting of chemotherapy and/or radiotherapy results in cure rates of approximately 80%. Second-line treatment mostly consists of intensive salvage chemotherapy followed by high-dose chemotherapy (HDCT) and autologous stem cell transplantation (ASCT). Novel approaches such as antibody drug conjugates and immunomodulatory drugs have shown impressive results in clinical trials in refractory and relapsed HL and are now increasingly implemented in earlier treatment lines. This review gives a comprehensive overview on HL addressing epidemiology, pathophysiology and current treatment options as well as recent developments and perspectives.","author":[{"dropping-particle":"","family":"Momotow","given":"Jesko","non-dropping-particle":"","parse-names":false,"suffix":""},{"dropping-particle":"","family":"Borchmann","given":"Sven","non-dropping-particle":"","parse-names":false,"suffix":""},{"dropping-particle":"","family":"Eichenauer","given":"Dennis A.","non-dropping-particle":"","parse-names":false,"suffix":""},{"dropping-particle":"","family":"Engert","given":"Andreas","non-dropping-particle":"","parse-names":false,"suffix":""},{"dropping-particle":"","family":"Sasse","given":"Stephanie","non-dropping-particle":"","parse-names":false,"suffix":""}],"container-title":"Journal of Clinical Medicine","id":"ITEM-1","issue":"5","issued":{"date-parts":[["2021"]]},"page":"1-17","title":"Hodgkin lymphoma—review on pathogenesis, diagnosis, current and future treatment approaches for adult patients","type":"article-journal","volume":"10"},"uris":["http://www.mendeley.com/documents/?uuid=d611d1ca-853a-453f-88ef-284095cc0241"]}],"mendeley":{"formattedCitation":"[22]","plainTextFormattedCitation":"[22]","previouslyFormattedCitation":"[22]"},"properties":{"noteIndex":0},"schema":"https://github.com/citation-style-language/schema/raw/master/csl-citation.json"}</w:instrText>
            </w:r>
            <w:r w:rsidRPr="00E11754">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[22]</w:t>
            </w:r>
            <w:r w:rsidRPr="00E11754">
              <w:rPr>
                <w:rFonts w:ascii="Times New Roman" w:hAnsi="Times New Roman" w:cs="Times New Roman"/>
                <w:sz w:val="24"/>
                <w:szCs w:val="24"/>
              </w:rPr>
              <w:fldChar w:fldCharType="end"/>
            </w:r>
          </w:p>
        </w:tc>
      </w:tr>
      <w:tr w:rsidR="00CF7734" w:rsidRPr="00E11754" w14:paraId="5B63CF6C" w14:textId="77777777" w:rsidTr="13A8E3F4">
        <w:tc>
          <w:tcPr>
            <w:tcW w:w="1297" w:type="dxa"/>
            <w:vAlign w:val="center"/>
          </w:tcPr>
          <w:p w14:paraId="26ADA678"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eastAsiaTheme="majorEastAsia" w:hAnsi="Times New Roman" w:cs="Times New Roman"/>
                <w:sz w:val="24"/>
                <w:szCs w:val="24"/>
                <w:shd w:val="clear" w:color="auto" w:fill="FFFFFF"/>
              </w:rPr>
              <w:t>VAC</w:t>
            </w:r>
          </w:p>
        </w:tc>
        <w:tc>
          <w:tcPr>
            <w:tcW w:w="4368" w:type="dxa"/>
            <w:vAlign w:val="center"/>
          </w:tcPr>
          <w:p w14:paraId="6ED803F6"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proofErr w:type="spellStart"/>
            <w:r w:rsidRPr="00E11754">
              <w:rPr>
                <w:rFonts w:ascii="Times New Roman" w:eastAsiaTheme="majorEastAsia" w:hAnsi="Times New Roman" w:cs="Times New Roman"/>
                <w:sz w:val="24"/>
                <w:szCs w:val="24"/>
                <w:shd w:val="clear" w:color="auto" w:fill="FFFFFF"/>
              </w:rPr>
              <w:t>winkrystyna</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aktynomycyna</w:t>
            </w:r>
            <w:proofErr w:type="spellEnd"/>
            <w:r w:rsidRPr="00E11754">
              <w:rPr>
                <w:rFonts w:ascii="Times New Roman" w:eastAsiaTheme="majorEastAsia" w:hAnsi="Times New Roman" w:cs="Times New Roman"/>
                <w:sz w:val="24"/>
                <w:szCs w:val="24"/>
                <w:shd w:val="clear" w:color="auto" w:fill="FFFFFF"/>
              </w:rPr>
              <w:t xml:space="preserve"> D, </w:t>
            </w:r>
            <w:proofErr w:type="spellStart"/>
            <w:r w:rsidRPr="00E11754">
              <w:rPr>
                <w:rFonts w:ascii="Times New Roman" w:eastAsiaTheme="majorEastAsia" w:hAnsi="Times New Roman" w:cs="Times New Roman"/>
                <w:sz w:val="24"/>
                <w:szCs w:val="24"/>
                <w:shd w:val="clear" w:color="auto" w:fill="FFFFFF"/>
              </w:rPr>
              <w:t>cyklofosfamid</w:t>
            </w:r>
            <w:proofErr w:type="spellEnd"/>
          </w:p>
        </w:tc>
        <w:tc>
          <w:tcPr>
            <w:tcW w:w="2410" w:type="dxa"/>
            <w:vAlign w:val="center"/>
          </w:tcPr>
          <w:p w14:paraId="701CE14F"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RMS</w:t>
            </w:r>
          </w:p>
        </w:tc>
        <w:tc>
          <w:tcPr>
            <w:tcW w:w="702" w:type="dxa"/>
            <w:vAlign w:val="center"/>
          </w:tcPr>
          <w:p w14:paraId="1EFC981A" w14:textId="0E58B47E"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{"citationItems":[{"id":"ITEM-1","itemData":{"DOI":"10.3390/cancers12071758","ISSN":"20726694","abstract":"Rhabdomyosarcoma, the most common soft tissue sarcoma noted in childhood, requires multimodality treatment, including chemotherapy, surgical resection, and/or radiation therapy. The majority of the patients with localized rhabdomyosarcoma can be cured; however, the long-term outcomes in patients with metastatic rhabdomyosarcoma remain poor. The standard chemotherapy regimen for patients with rhabdomyosarcoma is the combination of vincristine, actinomycin, and cyclophosphamide/ifosfamide. In recent clinical trials, modifications of the standard chemotherapy protocol have shown improvements in the outcomes in patients with rhabdomyosarcoma. In various type of malignancies, new treatments, such as molecular targeted drugs and immunotherapies, have shown superior clinical outcomes compared to those of standard treatments. Therefore, it is necessary to assess the benefits of these treatments in patients with rhabdomyosarcoma. Moreover, recent basic and clinical studies on rhabdomyosarcoma have reported promising therapeutic targets and novel therapeutic approaches. This article reviews the recent challenges and advances in the management of rhabdomyosarcoma.","author":[{"dropping-particle":"","family":"Miwa","given":"Shinji","non-dropping-particle":"","parse-names":false,"suffix":""},{"dropping-particle":"","family":"Yamamoto","given":"Norio","non-dropping-particle":"","parse-names":false,"suffix":""},{"dropping-particle":"","family":"Hayashi","given":"Katsuhiro","non-dropping-particle":"","parse-names":false,"suffix":""},{"dropping-particle":"","family":"Takeuchi","given":"Akihiko","non-dropping-particle":"","parse-names":false,"suffix":""},{"dropping-particle":"","family":"Igarashi","given":"Kentaro","non-dropping-particle":"","parse-names":false,"suffix":""},{"dropping-particle":"","family":"Tsuchiya","given":"Hiroyuki","non-dropping-particle":"","parse-names":false,"suffix":""}],"container-title":"Cancers","id":"ITEM-1","issue":"7","issued":{"date-parts":[["2020"]]},"page":"1-18","title":"Recent advances and challenges in the treatment of rhabdomyosarcoma","type":"article-journal","volume":"12"},"uris":["http://www.mendeley.com/documents/?uuid=fc09164f-01ce-4541-876b-9baab16980d0"]}],"mendeley":{"formattedCitation":"[24]","plainTextFormattedCitation":"[24]","previouslyFormattedCitation":"[24]"},"properties":{"noteIndex":0},"schema":"https://github.com/citation-style-language/schema/raw/master/csl-citation.json"}</w:instrText>
            </w:r>
            <w:r w:rsidRPr="00E11754">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[24]</w:t>
            </w:r>
            <w:r w:rsidRPr="00E11754">
              <w:rPr>
                <w:rFonts w:ascii="Times New Roman" w:hAnsi="Times New Roman" w:cs="Times New Roman"/>
                <w:sz w:val="24"/>
                <w:szCs w:val="24"/>
              </w:rPr>
              <w:fldChar w:fldCharType="end"/>
            </w:r>
          </w:p>
        </w:tc>
      </w:tr>
      <w:tr w:rsidR="00CF7734" w:rsidRPr="00E11754" w14:paraId="0A9C755D" w14:textId="77777777" w:rsidTr="13A8E3F4">
        <w:tc>
          <w:tcPr>
            <w:tcW w:w="1297" w:type="dxa"/>
            <w:vAlign w:val="center"/>
          </w:tcPr>
          <w:p w14:paraId="1F1941FF"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eastAsiaTheme="majorEastAsia" w:hAnsi="Times New Roman" w:cs="Times New Roman"/>
                <w:sz w:val="24"/>
                <w:szCs w:val="24"/>
                <w:shd w:val="clear" w:color="auto" w:fill="FFFFFF"/>
              </w:rPr>
              <w:t>IVA</w:t>
            </w:r>
          </w:p>
        </w:tc>
        <w:tc>
          <w:tcPr>
            <w:tcW w:w="4368" w:type="dxa"/>
            <w:vAlign w:val="center"/>
          </w:tcPr>
          <w:p w14:paraId="27058C5C"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proofErr w:type="spellStart"/>
            <w:r w:rsidRPr="00E11754">
              <w:rPr>
                <w:rFonts w:ascii="Times New Roman" w:eastAsiaTheme="majorEastAsia" w:hAnsi="Times New Roman" w:cs="Times New Roman"/>
                <w:sz w:val="24"/>
                <w:szCs w:val="24"/>
                <w:shd w:val="clear" w:color="auto" w:fill="FFFFFF"/>
              </w:rPr>
              <w:t>ifosfamid</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winkrystyn</w:t>
            </w:r>
            <w:r w:rsidRPr="00E11754">
              <w:rPr>
                <w:rFonts w:ascii="Times New Roman" w:hAnsi="Times New Roman" w:cs="Times New Roman"/>
                <w:sz w:val="24"/>
                <w:szCs w:val="24"/>
                <w:shd w:val="clear" w:color="auto" w:fill="FFFFFF"/>
              </w:rPr>
              <w:t>a</w:t>
            </w:r>
            <w:proofErr w:type="spellEnd"/>
            <w:r w:rsidRPr="00E11754">
              <w:rPr>
                <w:rFonts w:ascii="Times New Roman" w:hAnsi="Times New Roman" w:cs="Times New Roman"/>
                <w:sz w:val="24"/>
                <w:szCs w:val="24"/>
                <w:shd w:val="clear" w:color="auto" w:fill="FFFFFF"/>
              </w:rPr>
              <w:t>,</w:t>
            </w:r>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aktynomycyna</w:t>
            </w:r>
            <w:proofErr w:type="spellEnd"/>
            <w:r w:rsidRPr="00E11754">
              <w:rPr>
                <w:rFonts w:ascii="Times New Roman" w:eastAsiaTheme="majorEastAsia" w:hAnsi="Times New Roman" w:cs="Times New Roman"/>
                <w:sz w:val="24"/>
                <w:szCs w:val="24"/>
                <w:shd w:val="clear" w:color="auto" w:fill="FFFFFF"/>
              </w:rPr>
              <w:t xml:space="preserve"> D</w:t>
            </w:r>
          </w:p>
        </w:tc>
        <w:tc>
          <w:tcPr>
            <w:tcW w:w="2410" w:type="dxa"/>
            <w:vAlign w:val="center"/>
          </w:tcPr>
          <w:p w14:paraId="1AE66C28"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RMS</w:t>
            </w:r>
          </w:p>
        </w:tc>
        <w:tc>
          <w:tcPr>
            <w:tcW w:w="702" w:type="dxa"/>
            <w:vAlign w:val="center"/>
          </w:tcPr>
          <w:p w14:paraId="14CFFFFE" w14:textId="1D295C3C"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{"citationItems":[{"id":"ITEM-1","itemData":{"DOI":"10.3390/cancers12071758","ISSN":"20726694","abstract":"Rhabdomyosarcoma, the most common soft tissue sarcoma noted in childhood, requires multimodality treatment, including chemotherapy, surgical resection, and/or radiation therapy. The majority of the patients with localized rhabdomyosarcoma can be cured; however, the long-term outcomes in patients with metastatic rhabdomyosarcoma remain poor. The standard chemotherapy regimen for patients with rhabdomyosarcoma is the combination of vincristine, actinomycin, and cyclophosphamide/ifosfamide. In recent clinical trials, modifications of the standard chemotherapy protocol have shown improvements in the outcomes in patients with rhabdomyosarcoma. In various type of malignancies, new treatments, such as molecular targeted drugs and immunotherapies, have shown superior clinical outcomes compared to those of standard treatments. Therefore, it is necessary to assess the benefits of these treatments in patients with rhabdomyosarcoma. Moreover, recent basic and clinical studies on rhabdomyosarcoma have reported promising therapeutic targets and novel therapeutic approaches. This article reviews the recent challenges and advances in the management of rhabdomyosarcoma.","author":[{"dropping-particle":"","family":"Miwa","given":"Shinji","non-dropping-particle":"","parse-names":false,"suffix":""},{"dropping-particle":"","family":"Yamamoto","given":"Norio","non-dropping-particle":"","parse-names":false,"suffix":""},{"dropping-particle":"","family":"Hayashi","given":"Katsuhiro","non-dropping-particle":"","parse-names":false,"suffix":""},{"dropping-particle":"","family":"Takeuchi","given":"Akihiko","non-dropping-particle":"","parse-names":false,"suffix":""},{"dropping-particle":"","family":"Igarashi","given":"Kentaro","non-dropping-particle":"","parse-names":false,"suffix":""},{"dropping-particle":"","family":"Tsuchiya","given":"Hiroyuki","non-dropping-particle":"","parse-names":false,"suffix":""}],"container-title":"Cancers","id":"ITEM-1","issue":"7","issued":{"date-parts":[["2020"]]},"page":"1-18","title":"Recent advances and challenges in the treatment of rhabdomyosarcoma","type":"article-journal","volume":"12"},"uris":["http://www.mendeley.com/documents/?uuid=fc09164f-01ce-4541-876b-9baab16980d0"]}],"mendeley":{"formattedCitation":"[24]","plainTextFormattedCitation":"[24]","previouslyFormattedCitation":"[24]"},"properties":{"noteIndex":0},"schema":"https://github.com/citation-style-language/schema/raw/master/csl-citation.json"}</w:instrText>
            </w:r>
            <w:r w:rsidRPr="00E11754">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[24]</w:t>
            </w:r>
            <w:r w:rsidRPr="00E11754">
              <w:rPr>
                <w:rFonts w:ascii="Times New Roman" w:hAnsi="Times New Roman" w:cs="Times New Roman"/>
                <w:sz w:val="24"/>
                <w:szCs w:val="24"/>
              </w:rPr>
              <w:fldChar w:fldCharType="end"/>
            </w:r>
          </w:p>
        </w:tc>
      </w:tr>
      <w:tr w:rsidR="00CF7734" w:rsidRPr="00E11754" w14:paraId="48010BA9" w14:textId="77777777" w:rsidTr="13A8E3F4">
        <w:tc>
          <w:tcPr>
            <w:tcW w:w="1297" w:type="dxa"/>
            <w:vAlign w:val="center"/>
          </w:tcPr>
          <w:p w14:paraId="2F4F2C34"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CEVAIE</w:t>
            </w:r>
          </w:p>
        </w:tc>
        <w:tc>
          <w:tcPr>
            <w:tcW w:w="4368" w:type="dxa"/>
            <w:vAlign w:val="center"/>
          </w:tcPr>
          <w:p w14:paraId="0B5FA24F"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proofErr w:type="spellStart"/>
            <w:r w:rsidRPr="00E11754">
              <w:rPr>
                <w:rFonts w:ascii="Times New Roman" w:hAnsi="Times New Roman" w:cs="Times New Roman"/>
                <w:sz w:val="24"/>
                <w:szCs w:val="24"/>
              </w:rPr>
              <w:t>karboplatyna</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epirubicyna</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winkrystyna</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ifosfamid</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aktynomycyna</w:t>
            </w:r>
            <w:proofErr w:type="spellEnd"/>
            <w:r w:rsidRPr="00E11754">
              <w:rPr>
                <w:rFonts w:ascii="Times New Roman" w:hAnsi="Times New Roman" w:cs="Times New Roman"/>
                <w:sz w:val="24"/>
                <w:szCs w:val="24"/>
              </w:rPr>
              <w:t xml:space="preserve"> D, </w:t>
            </w:r>
            <w:proofErr w:type="spellStart"/>
            <w:r w:rsidRPr="00E11754">
              <w:rPr>
                <w:rFonts w:ascii="Times New Roman" w:hAnsi="Times New Roman" w:cs="Times New Roman"/>
                <w:sz w:val="24"/>
                <w:szCs w:val="24"/>
              </w:rPr>
              <w:t>etopozyd</w:t>
            </w:r>
            <w:proofErr w:type="spellEnd"/>
          </w:p>
        </w:tc>
        <w:tc>
          <w:tcPr>
            <w:tcW w:w="2410" w:type="dxa"/>
            <w:vAlign w:val="center"/>
          </w:tcPr>
          <w:p w14:paraId="6EE254E3"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RMA</w:t>
            </w:r>
          </w:p>
        </w:tc>
        <w:tc>
          <w:tcPr>
            <w:tcW w:w="702" w:type="dxa"/>
            <w:vAlign w:val="center"/>
          </w:tcPr>
          <w:p w14:paraId="7BDF7E66" w14:textId="7BDB8135" w:rsidR="00CF7734" w:rsidRPr="00E11754" w:rsidRDefault="00C10A3A"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{"citationItems":[{"id":"ITEM-1","itemData":{"DOI":"10.1186/s12885-019-6172-5","ISSN":"14712407","PMID":"31610788","abstract":"Background: Biliary rhabdomyosarcoma (RMS) is the most common biliary tumor in children. The management of affected patients contains unique challenges because of the rarity of this tumor entity and its critical location at the porta hepatis, which can make achievement of a radical resection very difficult. Methods: In a retrospective chart analysis we analysed children suffering from biliary RMS who were registered in three different CWS trials (CWS-96, CWS-2002P, and SoTiSaR registry). Results: Seventeen patients (12 female, 5 male) with a median age of 4.3 years were assessed. The median follow-up was 42.2 months (10.7-202.5). The 5-year overall (OS) and event free survival (EFS) rates were 58% (45-71) and 47% (34-50), respectively. Patients &gt; 10 years of age and those with alveolar histology had the worst prognosis (OS 0%). Patients with botryoid histology had an excellent survival (OS 100%) compared to those with non-botryoid histology (OS 38%, 22-54, p = 0.047). Microscopic complete tumor resection was achieved in almost all patients who received initial tumor biopsy followed by chemotherapy and delayed surgery. Conclusion: Positive predictive factors for survival of children with biliary RMS are age ≤ 10 years and botryoid tumor histology. Primary surgery with intention of tumor resection should be avoided.","author":[{"dropping-particle":"","family":"Urla","given":"Cristian","non-dropping-particle":"","parse-names":false,"suffix":""},{"dropping-particle":"","family":"Warmann","given":"Steven W.","non-dropping-particle":"","parse-names":false,"suffix":""},{"dropping-particle":"","family":"Sparber-Sauer","given":"Monika","non-dropping-particle":"","parse-names":false,"suffix":""},{"dropping-particle":"","family":"Schuck","given":"Andreas","non-dropping-particle":"","parse-names":false,"suffix":""},{"dropping-particle":"","family":"Leuschner","given":"Ivo","non-dropping-particle":"","parse-names":false,"suffix":""},{"dropping-particle":"","family":"Klingebiel","given":"Thomas","non-dropping-particle":"","parse-names":false,"suffix":""},{"dropping-particle":"","family":"Blumenstock","given":"Gunnar","non-dropping-particle":"","parse-names":false,"suffix":""},{"dropping-particle":"","family":"Seitz","given":"Guido","non-dropping-particle":"","parse-names":false,"suffix":""},{"dropping-particle":"","family":"Koscielniak","given":"Ewa","non-dropping-particle":"","parse-names":false,"suffix":""},{"dropping-particle":"","family":"Fuchs","given":"Jörg","non-dropping-particle":"","parse-names":false,"suffix":""}],"container-title":"BMC Cancer","id":"ITEM-1","issue":"1","issued":{"date-parts":[["2019"]]},"page":"1-8","publisher":"BMC Cancer","title":"Treatment and outcome of the patients with rhabdomyosarcoma of the biliary tree: Experience of the Cooperative Weichteilsarkom Studiengruppe (CWS)","type":"article-journal","volume":"19"},"uris":["http://www.mendeley.com/documents/?uuid=6d807c2d-4397-4967-b39a-4fee5cfd3cef"]}],"mendeley":{"formattedCitation":"[32]","plainTextFormattedCitation":"[32]","previouslyFormattedCitation":"[32]"},"properties":{"noteIndex":0},"schema":"https://github.com/citation-style-language/schema/raw/master/csl-citation.json"}</w:instrText>
            </w:r>
            <w:r w:rsidRPr="00E11754">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[32]</w:t>
            </w:r>
            <w:r w:rsidRPr="00E11754">
              <w:rPr>
                <w:rFonts w:ascii="Times New Roman" w:hAnsi="Times New Roman" w:cs="Times New Roman"/>
                <w:sz w:val="24"/>
                <w:szCs w:val="24"/>
              </w:rPr>
              <w:fldChar w:fldCharType="end"/>
            </w:r>
          </w:p>
        </w:tc>
      </w:tr>
      <w:tr w:rsidR="00CF7734" w:rsidRPr="00E11754" w14:paraId="3E68ACBF" w14:textId="77777777" w:rsidTr="13A8E3F4">
        <w:tc>
          <w:tcPr>
            <w:tcW w:w="1297" w:type="dxa"/>
            <w:vAlign w:val="center"/>
          </w:tcPr>
          <w:p w14:paraId="6B292EEE"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lastRenderedPageBreak/>
              <w:t>VACA</w:t>
            </w:r>
          </w:p>
        </w:tc>
        <w:tc>
          <w:tcPr>
            <w:tcW w:w="4368" w:type="dxa"/>
            <w:vAlign w:val="center"/>
          </w:tcPr>
          <w:p w14:paraId="25FA46D1"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proofErr w:type="spellStart"/>
            <w:r w:rsidRPr="00E11754">
              <w:rPr>
                <w:rFonts w:ascii="Times New Roman" w:eastAsiaTheme="majorEastAsia" w:hAnsi="Times New Roman" w:cs="Times New Roman"/>
                <w:sz w:val="24"/>
                <w:szCs w:val="24"/>
                <w:shd w:val="clear" w:color="auto" w:fill="FFFFFF"/>
              </w:rPr>
              <w:t>winkrystyna</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doksorubicyna</w:t>
            </w:r>
            <w:proofErr w:type="spellEnd"/>
            <w:r w:rsidRPr="00E11754">
              <w:rPr>
                <w:rFonts w:ascii="Times New Roman" w:eastAsiaTheme="majorEastAsia" w:hAnsi="Times New Roman" w:cs="Times New Roman"/>
                <w:sz w:val="24"/>
                <w:szCs w:val="24"/>
                <w:shd w:val="clear" w:color="auto" w:fill="FFFFFF"/>
              </w:rPr>
              <w:t xml:space="preserve">, </w:t>
            </w:r>
            <w:r w:rsidRPr="00E11754">
              <w:rPr>
                <w:rFonts w:ascii="Times New Roman" w:eastAsiaTheme="majorEastAsia" w:hAnsi="Times New Roman" w:cs="Times New Roman"/>
                <w:sz w:val="24"/>
                <w:szCs w:val="24"/>
                <w:shd w:val="clear" w:color="auto" w:fill="FFFFFF"/>
              </w:rPr>
              <w:br/>
            </w:r>
            <w:proofErr w:type="spellStart"/>
            <w:r w:rsidRPr="00E11754">
              <w:rPr>
                <w:rFonts w:ascii="Times New Roman" w:eastAsiaTheme="majorEastAsia" w:hAnsi="Times New Roman" w:cs="Times New Roman"/>
                <w:sz w:val="24"/>
                <w:szCs w:val="24"/>
                <w:shd w:val="clear" w:color="auto" w:fill="FFFFFF"/>
              </w:rPr>
              <w:t>cyklofosfamid</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aktynomycyna</w:t>
            </w:r>
            <w:proofErr w:type="spellEnd"/>
            <w:r w:rsidRPr="00E11754">
              <w:rPr>
                <w:rFonts w:ascii="Times New Roman" w:eastAsiaTheme="majorEastAsia" w:hAnsi="Times New Roman" w:cs="Times New Roman"/>
                <w:sz w:val="24"/>
                <w:szCs w:val="24"/>
                <w:shd w:val="clear" w:color="auto" w:fill="FFFFFF"/>
              </w:rPr>
              <w:t xml:space="preserve"> D</w:t>
            </w:r>
          </w:p>
        </w:tc>
        <w:tc>
          <w:tcPr>
            <w:tcW w:w="2410" w:type="dxa"/>
            <w:vAlign w:val="center"/>
          </w:tcPr>
          <w:p w14:paraId="0D7B7833" w14:textId="77777777"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AS</w:t>
            </w:r>
          </w:p>
        </w:tc>
        <w:tc>
          <w:tcPr>
            <w:tcW w:w="702" w:type="dxa"/>
            <w:vAlign w:val="center"/>
          </w:tcPr>
          <w:p w14:paraId="54BEFFD0" w14:textId="43FA0098" w:rsidR="00CF7734" w:rsidRPr="00E11754" w:rsidRDefault="00CF7734" w:rsidP="008322D3">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fldChar w:fldCharType="begin" w:fldLock="1"/>
            </w:r>
            <w:r w:rsidR="00223473">
              <w:rPr>
                <w:rFonts w:ascii="Times New Roman" w:hAnsi="Times New Roman" w:cs="Times New Roman"/>
                <w:sz w:val="24"/>
                <w:szCs w:val="24"/>
              </w:rPr>
              <w:instrText>ADDIN CSL_CITATION {"citationItems":[{"id":"ITEM-1","itemData":{"DOI":"10.1111/j.1365-2354.2008.01063.x","ISSN":"13652354","PMID":"19490008","abstract":"BIEN E., STACHOWICZ-STENCEL T., BALCERSKA A., GODZINSKI J., KAZANOWSKA B., PEREK-POLNIK M., MADZIARA W., RYBCZYNSKA A., KURYLAK A., ZALEWSKA-SZEWCZYK B. &amp; PEREGUD-POGORZELSKI J. (2009) European Journal of Cancer Care 18, 411-420Angiosarcoma in children - still uncontrollable oncological problem. The report of the Polish Paediatric Rare Tumours Study Angiosarcoma is a rare, highly malignant vascular neoplasm with little data available on its clinical course and management in children. Ten children with angiosarcoma (M/F: 6/4; aged 2, 3-16 years) registered in Polish Paediatric Rare Tumours and Soft Tissue Sarcomas Studies between 1992 and 2006. Primary tumour exceeded 5 cm in seven patients and affected mainly deep tissues (heart-2, head/neck, bladder, brain, liver and upper limb - one patient each). Four patients had regional and two metastatic diseases (lungs and bones). Three patients were initially misdiagnosed as haemangioma. Complete primary excision was unfeasible even in local stages. All patients received supplementing chemotherapy with no response in four. Radiotherapy was given to five children, including three after relapse. Three of five secondary tumour resections proved complete. Seven patients experienced relapses (mainly metastatic) and two continuous progression. Relapsed patients received chemotherapy ± radiotherapy and surgery (three). Nine patients died of disease (overall survival 6-66 months), and one child after mutilating secondary resection is alive. Angiosarcoma in children is highly aggressive with an extremely poor prognosis. Complete primary excision is unfeasible, even in seemingly local stages. The response to chemotherapy is poor and the large number of metastatic recurrences suggests a need for systemic therapy modifications. © 2009 Blackwell Publishing Ltd.","author":[{"dropping-particle":"","family":"Bien","given":"E.","non-dropping-particle":"","parse-names":false,"suffix":""},{"dropping-particle":"","family":"Stachowicz-Stencel","given":"T.","non-dropping-particle":"","parse-names":false,"suffix":""},{"dropping-particle":"","family":"Balcerska","given":"A.","non-dropping-particle":"","parse-names":false,"suffix":""},{"dropping-particle":"","family":"Godzinski","given":"J.","non-dropping-particle":"","parse-names":false,"suffix":""},{"dropping-particle":"","family":"Kazanowska","given":"B.","non-dropping-particle":"","parse-names":false,"suffix":""},{"dropping-particle":"","family":"Perek-Polnik","given":"M.","non-dropping-particle":"","parse-names":false,"suffix":""},{"dropping-particle":"","family":"Madziara","given":"W.","non-dropping-particle":"","parse-names":false,"suffix":""},{"dropping-particle":"","family":"Rybczynska","given":"A.","non-dropping-particle":"","parse-names":false,"suffix":""},{"dropping-particle":"","family":"Kurylak","given":"A.","non-dropping-particle":"","parse-names":false,"suffix":""},{"dropping-particle":"","family":"Zalewska-Szewczyk","given":"B.","non-dropping-particle":"","parse-names":false,"suffix":""},{"dropping-particle":"","family":"Peregud-Pogorzelski","given":"J.","non-dropping-particle":"","parse-names":false,"suffix":""}],"container-title":"European Journal of Cancer Care","id":"ITEM-1","issue":"4","issued":{"date-parts":[["2009"]]},"page":"411-420","title":"Angiosarcoma in children still uncontrollable oncological problem. the report of the Polish Paediatric Rare Tumours Study","type":"article-journal","volume":"18"},"uris":["http://www.mendeley.com/documents/?uuid=121a3674-579f-41d4-b8a7-1b447f09168e"]}],"mendeley":{"formattedCitation":"[25]","plainTextFormattedCitation":"[25]","previouslyFormattedCitation":"[25]"},"properties":{"noteIndex":0},"schema":"https://github.com/citation-style-language/schema/raw/master/csl-citation.json"}</w:instrText>
            </w:r>
            <w:r w:rsidRPr="00E11754">
              <w:rPr>
                <w:rFonts w:ascii="Times New Roman" w:hAnsi="Times New Roman" w:cs="Times New Roman"/>
                <w:sz w:val="24"/>
                <w:szCs w:val="24"/>
              </w:rPr>
              <w:fldChar w:fldCharType="separate"/>
            </w:r>
            <w:r w:rsidR="00794BBE" w:rsidRPr="00794BBE">
              <w:rPr>
                <w:rFonts w:ascii="Times New Roman" w:hAnsi="Times New Roman" w:cs="Times New Roman"/>
                <w:noProof/>
                <w:sz w:val="24"/>
                <w:szCs w:val="24"/>
              </w:rPr>
              <w:t>[25]</w:t>
            </w:r>
            <w:r w:rsidRPr="00E11754">
              <w:rPr>
                <w:rFonts w:ascii="Times New Roman" w:hAnsi="Times New Roman" w:cs="Times New Roman"/>
                <w:sz w:val="24"/>
                <w:szCs w:val="24"/>
              </w:rPr>
              <w:fldChar w:fldCharType="end"/>
            </w:r>
          </w:p>
        </w:tc>
      </w:tr>
      <w:tr w:rsidR="005C11CD" w:rsidRPr="00E11754" w14:paraId="157C4FEA" w14:textId="77777777" w:rsidTr="13A8E3F4">
        <w:tc>
          <w:tcPr>
            <w:tcW w:w="1297" w:type="dxa"/>
            <w:vAlign w:val="center"/>
          </w:tcPr>
          <w:p w14:paraId="3FA3826B" w14:textId="4A4844CB" w:rsidR="005C11CD" w:rsidRPr="00E11754" w:rsidRDefault="005C11CD" w:rsidP="00906B10">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bCs/>
                <w:sz w:val="24"/>
                <w:szCs w:val="24"/>
              </w:rPr>
              <w:t>OEPA</w:t>
            </w:r>
          </w:p>
        </w:tc>
        <w:tc>
          <w:tcPr>
            <w:tcW w:w="4368" w:type="dxa"/>
            <w:vAlign w:val="center"/>
          </w:tcPr>
          <w:p w14:paraId="7ECF0CD2" w14:textId="27DB33FC" w:rsidR="005C11CD" w:rsidRPr="00E11754" w:rsidRDefault="005C11CD" w:rsidP="00906B10">
            <w:pPr>
              <w:pStyle w:val="Akapitzlist"/>
              <w:spacing w:line="360" w:lineRule="auto"/>
              <w:ind w:left="0"/>
              <w:jc w:val="center"/>
              <w:rPr>
                <w:rFonts w:ascii="Times New Roman" w:eastAsiaTheme="majorEastAsia" w:hAnsi="Times New Roman" w:cs="Times New Roman"/>
                <w:sz w:val="24"/>
                <w:szCs w:val="24"/>
                <w:shd w:val="clear" w:color="auto" w:fill="FFFFFF"/>
              </w:rPr>
            </w:pPr>
            <w:proofErr w:type="spellStart"/>
            <w:r w:rsidRPr="00E11754">
              <w:rPr>
                <w:rFonts w:ascii="Times New Roman" w:eastAsiaTheme="majorEastAsia" w:hAnsi="Times New Roman" w:cs="Times New Roman"/>
                <w:sz w:val="24"/>
                <w:szCs w:val="24"/>
                <w:shd w:val="clear" w:color="auto" w:fill="FFFFFF"/>
              </w:rPr>
              <w:t>winkrystyna</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etopozyd</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prednison</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doksorubicyna</w:t>
            </w:r>
            <w:proofErr w:type="spellEnd"/>
          </w:p>
        </w:tc>
        <w:tc>
          <w:tcPr>
            <w:tcW w:w="2410" w:type="dxa"/>
            <w:vAlign w:val="center"/>
          </w:tcPr>
          <w:p w14:paraId="682BDF34" w14:textId="4E446A16" w:rsidR="005C11CD" w:rsidRPr="00E11754" w:rsidRDefault="005C11CD" w:rsidP="00906B10">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HL</w:t>
            </w:r>
          </w:p>
        </w:tc>
        <w:tc>
          <w:tcPr>
            <w:tcW w:w="702" w:type="dxa"/>
            <w:vMerge w:val="restart"/>
            <w:vAlign w:val="center"/>
          </w:tcPr>
          <w:p w14:paraId="761EC519" w14:textId="420DA301" w:rsidR="005C11CD" w:rsidRPr="00E11754" w:rsidRDefault="005C11CD" w:rsidP="00906B10">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{"citationItems":[{"id":"ITEM-1","itemData":{"DOI":"10.1016/j.jpba.2018.06.031","ISSN":"1873264X","PMID":"29936377","abstract":"A simple, rapid, reliable and sensitive method based on liquid chromatography with fluorescence detection (LC-FL) for the quantification of doxorubicin (DOX) in human plasma and urine samples was developed. The assay was carried out after the solid-phase extraction procedure (SPE) with hydrophilic-lipophilic balance (HLB) cartridges, and with daunorubicin hydrochloride (DAU) used as the internal standard. Chromatographic separation was performed on a Discovery HS C18 column in isocratic elution mode, and the detection of the analytes set at excitation and emission wavelengths of 487 and 555 nm, respectively. The developed LC-FL method has been validated for accuracy, precision, selectivity, linearity, recovery and stability. The limits of detection and quantification for DOX were 0.5 and 1 ng/mL in both biological fluids, respectively. Linearity was confirmed in the range of 1–1000 ng/mL and 0.001–25 μg/mL in plasma and urine samples, respectively, with a correlation coefficient greater than 0.9994. The proposed LC-FL method is selective, precise and accurate, and has been successfully applied for drug monitoring in pediatric cancer patients treated with DOX as a component of OEPA (Oncovin (Vincristine)-Etoposide-Prednisone-Adriamycin) and IOA (Ifosfamide-Oncovin-Adriamycin) chemotherapeutic schemes. Moreover, real exposure of hospital personnel to the anthracycline drugs in plasma and urine was evaluated in clinical practice.","author":[{"dropping-particle":"","family":"Maliszewska","given":"Olga","non-dropping-particle":"","parse-names":false,"suffix":""},{"dropping-particle":"","family":"Plenis","given":"Alina","non-dropping-particle":"","parse-names":false,"suffix":""},{"dropping-particle":"","family":"Olędzka","given":"Ilona","non-dropping-particle":"","parse-names":false,"suffix":""},{"dropping-particle":"","family":"Kowalski","given":"Piotr","non-dropping-particle":"","parse-names":false,"suffix":""},{"dropping-particle":"","family":"Miękus","given":"Natalia","non-dropping-particle":"","parse-names":false,"suffix":""},{"dropping-particle":"","family":"Bień","given":"Ewa","non-dropping-particle":"","parse-names":false,"suffix":""},{"dropping-particle":"","family":"Krawczyk","given":"Małgorzata Anna","non-dropping-particle":"","parse-names":false,"suffix":""},{"dropping-particle":"","family":"Adamkiewicz-Drożynska","given":"Elżbieta","non-dropping-particle":"","parse-names":false,"suffix":""},{"dropping-particle":"","family":"Bączek","given":"Tomasz","non-dropping-particle":"","parse-names":false,"suffix":""}],"container-title":"Journal of Pharmaceutical and Biomedical Analysis","id":"ITEM-1","issued":{"date-parts":[["2018"]]},"page":"376-385","title":"Optimization of LC method for the quantification of doxorubicin in plasma and urine samples in view of pharmacokinetic, biomedical and drug monitoring therapy studies","type":"article-journal","volume":"158"},"uris":["http://www.mendeley.com/documents/?uuid=12c60d01-a8ec-4a2f-ad4c-e991c52478fd"]}],"mendeley":{"formattedCitation":"[33]","plainTextFormattedCitation":"[33]","previouslyFormattedCitation":"[33]"},"properties":{"noteIndex":0},"schema":"https://github.com/citation-style-language/schema/raw/master/csl-citation.json"}</w:instrText>
            </w:r>
            <w:r w:rsidRPr="00E11754">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[33]</w:t>
            </w:r>
            <w:r w:rsidRPr="00E11754">
              <w:rPr>
                <w:rFonts w:ascii="Times New Roman" w:hAnsi="Times New Roman" w:cs="Times New Roman"/>
                <w:sz w:val="24"/>
                <w:szCs w:val="24"/>
              </w:rPr>
              <w:fldChar w:fldCharType="end"/>
            </w:r>
          </w:p>
        </w:tc>
      </w:tr>
      <w:tr w:rsidR="005C11CD" w:rsidRPr="00E11754" w14:paraId="6BE70DEF" w14:textId="77777777" w:rsidTr="13A8E3F4">
        <w:tc>
          <w:tcPr>
            <w:tcW w:w="1297" w:type="dxa"/>
            <w:vAlign w:val="center"/>
          </w:tcPr>
          <w:p w14:paraId="62D67D3C" w14:textId="1A0E7D24" w:rsidR="005C11CD" w:rsidRPr="00E11754" w:rsidRDefault="005C11CD" w:rsidP="00906B10">
            <w:pPr>
              <w:pStyle w:val="Akapitzlist"/>
              <w:spacing w:line="360" w:lineRule="auto"/>
              <w:ind w:left="0"/>
              <w:jc w:val="center"/>
              <w:rPr>
                <w:rFonts w:ascii="Times New Roman" w:hAnsi="Times New Roman" w:cs="Times New Roman"/>
                <w:bCs/>
                <w:sz w:val="24"/>
                <w:szCs w:val="24"/>
              </w:rPr>
            </w:pPr>
            <w:r w:rsidRPr="00E11754">
              <w:rPr>
                <w:rFonts w:ascii="Times New Roman" w:hAnsi="Times New Roman" w:cs="Times New Roman"/>
                <w:bCs/>
                <w:sz w:val="24"/>
                <w:szCs w:val="24"/>
              </w:rPr>
              <w:t>IOA</w:t>
            </w:r>
          </w:p>
        </w:tc>
        <w:tc>
          <w:tcPr>
            <w:tcW w:w="4368" w:type="dxa"/>
            <w:vAlign w:val="center"/>
          </w:tcPr>
          <w:p w14:paraId="598F5504" w14:textId="38E39689" w:rsidR="005C11CD" w:rsidRPr="00E11754" w:rsidRDefault="005C11CD" w:rsidP="00906B10">
            <w:pPr>
              <w:pStyle w:val="Akapitzlist"/>
              <w:spacing w:line="360" w:lineRule="auto"/>
              <w:ind w:left="0"/>
              <w:jc w:val="center"/>
              <w:rPr>
                <w:rFonts w:ascii="Times New Roman" w:eastAsiaTheme="majorEastAsia" w:hAnsi="Times New Roman" w:cs="Times New Roman"/>
                <w:sz w:val="24"/>
                <w:szCs w:val="24"/>
                <w:shd w:val="clear" w:color="auto" w:fill="FFFFFF"/>
              </w:rPr>
            </w:pPr>
            <w:proofErr w:type="spellStart"/>
            <w:r w:rsidRPr="00E11754">
              <w:rPr>
                <w:rFonts w:ascii="Times New Roman" w:eastAsiaTheme="majorEastAsia" w:hAnsi="Times New Roman" w:cs="Times New Roman"/>
                <w:sz w:val="24"/>
                <w:szCs w:val="24"/>
                <w:shd w:val="clear" w:color="auto" w:fill="FFFFFF"/>
              </w:rPr>
              <w:t>winkrystyna</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ifosfamid</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doksorubicyna</w:t>
            </w:r>
            <w:proofErr w:type="spellEnd"/>
          </w:p>
        </w:tc>
        <w:tc>
          <w:tcPr>
            <w:tcW w:w="2410" w:type="dxa"/>
            <w:vAlign w:val="center"/>
          </w:tcPr>
          <w:p w14:paraId="6ABD5BB5" w14:textId="0E12D20D" w:rsidR="005C11CD" w:rsidRPr="00E11754" w:rsidRDefault="005C11CD" w:rsidP="00906B10">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RMS</w:t>
            </w:r>
          </w:p>
        </w:tc>
        <w:tc>
          <w:tcPr>
            <w:tcW w:w="702" w:type="dxa"/>
            <w:vMerge/>
            <w:vAlign w:val="center"/>
          </w:tcPr>
          <w:p w14:paraId="7D74261C" w14:textId="77777777" w:rsidR="005C11CD" w:rsidRPr="00E11754" w:rsidRDefault="005C11CD" w:rsidP="00906B10">
            <w:pPr>
              <w:pStyle w:val="Akapitzlist"/>
              <w:spacing w:line="360" w:lineRule="auto"/>
              <w:ind w:left="0"/>
              <w:jc w:val="center"/>
              <w:rPr>
                <w:rFonts w:ascii="Times New Roman" w:hAnsi="Times New Roman" w:cs="Times New Roman"/>
                <w:sz w:val="24"/>
                <w:szCs w:val="24"/>
              </w:rPr>
            </w:pPr>
          </w:p>
        </w:tc>
      </w:tr>
      <w:tr w:rsidR="00906B10" w:rsidRPr="00E11754" w14:paraId="4708CE14" w14:textId="77777777" w:rsidTr="13A8E3F4">
        <w:tc>
          <w:tcPr>
            <w:tcW w:w="1297" w:type="dxa"/>
            <w:vAlign w:val="center"/>
          </w:tcPr>
          <w:p w14:paraId="2C38B2A9" w14:textId="37D6A2A1" w:rsidR="00906B10" w:rsidRPr="00E11754" w:rsidRDefault="00906B10" w:rsidP="00906B10">
            <w:pPr>
              <w:pStyle w:val="Akapitzlist"/>
              <w:spacing w:line="360" w:lineRule="auto"/>
              <w:ind w:left="0"/>
              <w:jc w:val="center"/>
              <w:rPr>
                <w:rFonts w:ascii="Times New Roman" w:hAnsi="Times New Roman" w:cs="Times New Roman"/>
                <w:bCs/>
                <w:sz w:val="24"/>
                <w:szCs w:val="24"/>
              </w:rPr>
            </w:pPr>
            <w:r w:rsidRPr="00E11754">
              <w:rPr>
                <w:rFonts w:ascii="Times New Roman" w:hAnsi="Times New Roman" w:cs="Times New Roman"/>
                <w:bCs/>
                <w:sz w:val="24"/>
                <w:szCs w:val="24"/>
              </w:rPr>
              <w:t>EPI</w:t>
            </w:r>
          </w:p>
        </w:tc>
        <w:tc>
          <w:tcPr>
            <w:tcW w:w="4368" w:type="dxa"/>
            <w:vAlign w:val="center"/>
          </w:tcPr>
          <w:p w14:paraId="162ABEF6" w14:textId="4029D60D" w:rsidR="00906B10" w:rsidRPr="00E11754" w:rsidRDefault="00906B10" w:rsidP="00906B10">
            <w:pPr>
              <w:pStyle w:val="Akapitzlist"/>
              <w:spacing w:line="360" w:lineRule="auto"/>
              <w:ind w:left="0"/>
              <w:jc w:val="center"/>
              <w:rPr>
                <w:rFonts w:ascii="Times New Roman" w:eastAsiaTheme="majorEastAsia" w:hAnsi="Times New Roman" w:cs="Times New Roman"/>
                <w:sz w:val="24"/>
                <w:szCs w:val="24"/>
                <w:shd w:val="clear" w:color="auto" w:fill="FFFFFF"/>
              </w:rPr>
            </w:pPr>
            <w:proofErr w:type="spellStart"/>
            <w:r w:rsidRPr="00E11754">
              <w:rPr>
                <w:rFonts w:ascii="Times New Roman" w:eastAsiaTheme="majorEastAsia" w:hAnsi="Times New Roman" w:cs="Times New Roman"/>
                <w:sz w:val="24"/>
                <w:szCs w:val="24"/>
                <w:shd w:val="clear" w:color="auto" w:fill="FFFFFF"/>
              </w:rPr>
              <w:t>epirubicyna</w:t>
            </w:r>
            <w:proofErr w:type="spellEnd"/>
          </w:p>
        </w:tc>
        <w:tc>
          <w:tcPr>
            <w:tcW w:w="2410" w:type="dxa"/>
            <w:vAlign w:val="center"/>
          </w:tcPr>
          <w:p w14:paraId="00EC9460" w14:textId="20058937" w:rsidR="00906B10" w:rsidRPr="00E11754" w:rsidRDefault="00906B10" w:rsidP="00906B10">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RMA</w:t>
            </w:r>
          </w:p>
        </w:tc>
        <w:tc>
          <w:tcPr>
            <w:tcW w:w="702" w:type="dxa"/>
            <w:vAlign w:val="center"/>
          </w:tcPr>
          <w:p w14:paraId="0F04D269" w14:textId="524C3D45" w:rsidR="00906B10" w:rsidRPr="00E11754" w:rsidRDefault="00DA5EB2" w:rsidP="00906B10">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{"citationItems":[{"id":"ITEM-1","itemData":{"DOI":"10.1016/j.jchromb.2019.121910","ISSN":"1873376X","PMID":"31830661","abstract":"The aim of the work was to develop a simple, sensitive and accurate liquid chromatography with fluorescence detection (LC-FL) method for the determination of epirubicin in human urine and plasma. Solid phase extraction with HLB cartridges and mixture of dichloromethane:2-propanol:methanol (2:1:1, v/v/v) as the eluent, was used to prepare the samples. The chromatographic analysis was carried out on a Synergi Hydro-RP column with a mobile phase consisting of 40 mM phosphate buffer (pH 4.1) and acetonitrile (69:31, v/v). Epirubicin was monitored at 497 nm and 557 nm for excitation and emission wavelengths, respectively. Validation data confirmed that the limit of detection and limit of quantification was 0.25 ng/mL and 0.5 ng/mL in both matrices. Next, the optimized LC-FL method was applied to determine the level of epirubicin in real samples taken from a 19-year-old patient with metastatic alveolar rhabdomyosarcoma (RMA) to create a drug profile. Plasma and urine samples were collected for 24 h after the end of a 6-hour infusion of epirubicin. The obtained results confirmed that the optimized and validated LC-FL method can be successfully used in drug monitoring therapy, pharmacokinetic and clinical studies. Moreover, the current work is also drawing attention to the relatively high level of epirubicin in the patient urine, which requires compliance with the safety rules in contact with this biological fluid by both medical staff and others, e.g. family members.","author":[{"dropping-particle":"","family":"Treder","given":"Natalia","non-dropping-particle":"","parse-names":false,"suffix":""},{"dropping-particle":"","family":"Maliszewska","given":"Olga","non-dropping-particle":"","parse-names":false,"suffix":""},{"dropping-particle":"","family":"Olędzka","given":"Ilona","non-dropping-particle":"","parse-names":false,"suffix":""},{"dropping-particle":"","family":"Kowalski","given":"Piotr","non-dropping-particle":"","parse-names":false,"suffix":""},{"dropping-particle":"","family":"Miękus","given":"Natalia","non-dropping-particle":"","parse-names":false,"suffix":""},{"dropping-particle":"","family":"Bączek","given":"Tomasz","non-dropping-particle":"","parse-names":false,"suffix":""},{"dropping-particle":"","family":"Bień","given":"Ewa","non-dropping-particle":"","parse-names":false,"suffix":""},{"dropping-particle":"","family":"Krawczyk","given":"Małgorzata Anna","non-dropping-particle":"","parse-names":false,"suffix":""},{"dropping-particle":"","family":"Adamkiewicz-Drożynska","given":"Elżbieta","non-dropping-particle":"","parse-names":false,"suffix":""},{"dropping-particle":"","family":"Plenis","given":"Alina","non-dropping-particle":"","parse-names":false,"suffix":""}],"container-title":"Journal of Chromatography B: Analytical Technologies in the Biomedical and Life Sciences","id":"ITEM-1","issue":"November 2019","issued":{"date-parts":[["2020"]]},"page":"121910","publisher":"Elsevier","title":"Development and validation of a high-performance liquid chromatographic method with a fluorescence detector for the analysis of epirubicin in human urine and plasma, and its application in drug monitoring","type":"article-journal","volume":"1136"},"uris":["http://www.mendeley.com/documents/?uuid=fcaf49dd-4db9-490a-a951-231ea15ef623"]}],"mendeley":{"formattedCitation":"[34]","plainTextFormattedCitation":"[34]","previouslyFormattedCitation":"[34]"},"properties":{"noteIndex":0},"schema":"https://github.com/citation-style-language/schema/raw/master/csl-citation.json"}</w:instrText>
            </w:r>
            <w:r w:rsidRPr="00E11754">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[34]</w:t>
            </w:r>
            <w:r w:rsidRPr="00E11754">
              <w:rPr>
                <w:rFonts w:ascii="Times New Roman" w:hAnsi="Times New Roman" w:cs="Times New Roman"/>
                <w:sz w:val="24"/>
                <w:szCs w:val="24"/>
              </w:rPr>
              <w:fldChar w:fldCharType="end"/>
            </w:r>
          </w:p>
        </w:tc>
      </w:tr>
      <w:tr w:rsidR="00906B10" w:rsidRPr="00E11754" w14:paraId="1F6F06D7" w14:textId="77777777" w:rsidTr="13A8E3F4">
        <w:tc>
          <w:tcPr>
            <w:tcW w:w="1297" w:type="dxa"/>
            <w:vAlign w:val="center"/>
          </w:tcPr>
          <w:p w14:paraId="1A290529" w14:textId="77777777" w:rsidR="00906B10" w:rsidRPr="00E11754" w:rsidRDefault="00906B10" w:rsidP="00906B10">
            <w:pPr>
              <w:pStyle w:val="Akapitzlist"/>
              <w:spacing w:line="360" w:lineRule="auto"/>
              <w:ind w:left="0"/>
              <w:jc w:val="center"/>
              <w:rPr>
                <w:rFonts w:ascii="Times New Roman" w:hAnsi="Times New Roman" w:cs="Times New Roman"/>
                <w:bCs/>
                <w:sz w:val="24"/>
                <w:szCs w:val="24"/>
              </w:rPr>
            </w:pPr>
            <w:r w:rsidRPr="00E11754">
              <w:rPr>
                <w:rFonts w:ascii="Times New Roman" w:hAnsi="Times New Roman" w:cs="Times New Roman"/>
                <w:bCs/>
                <w:sz w:val="24"/>
                <w:szCs w:val="24"/>
              </w:rPr>
              <w:t xml:space="preserve">O-TIDA/ </w:t>
            </w:r>
          </w:p>
          <w:p w14:paraId="3AEE5EFF" w14:textId="58D5B90D" w:rsidR="00906B10" w:rsidRPr="00E11754" w:rsidRDefault="00906B10" w:rsidP="00906B10">
            <w:pPr>
              <w:pStyle w:val="Akapitzlist"/>
              <w:spacing w:line="360" w:lineRule="auto"/>
              <w:ind w:left="0"/>
              <w:jc w:val="center"/>
              <w:rPr>
                <w:rFonts w:ascii="Times New Roman" w:hAnsi="Times New Roman" w:cs="Times New Roman"/>
                <w:bCs/>
                <w:sz w:val="24"/>
                <w:szCs w:val="24"/>
              </w:rPr>
            </w:pPr>
            <w:r w:rsidRPr="00E11754">
              <w:rPr>
                <w:rFonts w:ascii="Times New Roman" w:hAnsi="Times New Roman" w:cs="Times New Roman"/>
                <w:bCs/>
                <w:sz w:val="24"/>
                <w:szCs w:val="24"/>
              </w:rPr>
              <w:t>O-TE</w:t>
            </w:r>
          </w:p>
        </w:tc>
        <w:tc>
          <w:tcPr>
            <w:tcW w:w="4368" w:type="dxa"/>
            <w:vAlign w:val="center"/>
          </w:tcPr>
          <w:p w14:paraId="65BF29D9" w14:textId="04B49141" w:rsidR="00906B10" w:rsidRPr="00E11754" w:rsidRDefault="00906B10" w:rsidP="00906B10">
            <w:pPr>
              <w:pStyle w:val="Akapitzlist"/>
              <w:spacing w:line="360" w:lineRule="auto"/>
              <w:ind w:left="0"/>
              <w:jc w:val="center"/>
              <w:rPr>
                <w:rFonts w:ascii="Times New Roman" w:eastAsiaTheme="majorEastAsia" w:hAnsi="Times New Roman" w:cs="Times New Roman"/>
                <w:sz w:val="24"/>
                <w:szCs w:val="24"/>
                <w:shd w:val="clear" w:color="auto" w:fill="FFFFFF"/>
              </w:rPr>
            </w:pPr>
            <w:proofErr w:type="spellStart"/>
            <w:r w:rsidRPr="00E11754">
              <w:rPr>
                <w:rFonts w:ascii="Times New Roman" w:eastAsiaTheme="majorEastAsia" w:hAnsi="Times New Roman" w:cs="Times New Roman"/>
                <w:sz w:val="24"/>
                <w:szCs w:val="24"/>
                <w:shd w:val="clear" w:color="auto" w:fill="FFFFFF"/>
              </w:rPr>
              <w:t>trofosfamid</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idarubicyna</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etopozyd</w:t>
            </w:r>
            <w:proofErr w:type="spellEnd"/>
            <w:r w:rsidRPr="00E11754">
              <w:rPr>
                <w:rFonts w:ascii="Times New Roman" w:eastAsiaTheme="majorEastAsia" w:hAnsi="Times New Roman" w:cs="Times New Roman"/>
                <w:sz w:val="24"/>
                <w:szCs w:val="24"/>
                <w:shd w:val="clear" w:color="auto" w:fill="FFFFFF"/>
              </w:rPr>
              <w:t xml:space="preserve"> </w:t>
            </w:r>
          </w:p>
        </w:tc>
        <w:tc>
          <w:tcPr>
            <w:tcW w:w="2410" w:type="dxa"/>
            <w:vAlign w:val="center"/>
          </w:tcPr>
          <w:p w14:paraId="71B55DD1" w14:textId="217B71CB" w:rsidR="00906B10" w:rsidRPr="00E11754" w:rsidRDefault="00906B10" w:rsidP="00906B10">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RMA</w:t>
            </w:r>
          </w:p>
        </w:tc>
        <w:tc>
          <w:tcPr>
            <w:tcW w:w="702" w:type="dxa"/>
            <w:vAlign w:val="center"/>
          </w:tcPr>
          <w:p w14:paraId="55DD2205" w14:textId="72A49490" w:rsidR="00906B10" w:rsidRPr="00E11754" w:rsidRDefault="00DA5EB2" w:rsidP="00906B10">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{"citationItems":[{"id":"ITEM-1","itemData":{"DOI":"10.3390/molecules25245799","ISSN":"14203049","PMID":"33316898","abstract":"A new approach for the sensitive, robust and rapid determination of idarubicin (IDA) in human plasma and urine samples based on liquid chromatography with fluorescence detection (LC-FL) was developed. Satisfactory chromatographic separation of the analyte after solid-phase extraction (SPE) was performed on a Discovery HS C18 analytical column using a mixture of acetonitrile and 0.1% formic acid in water as the mobile phase in isocratic mode. IDA and daunorubicin hydrochloride used as an internal standard (I.S.) were monitored at the excitation and emission wavelengths of 487 and 547 nm, respectively. The method was validated according to the FDA and ICH guidelines. The linearity was confirmed in the range of 0.1-50 ng/mL and 0.25-200 ng/mL, while the limit of detection (LOD) was 0.05 and 0.125 ng/mL in plasma and urine samples, respectively. The developed LC-FL method was successfully applied for drug determinations in human plasma and urine after oral administration of IDA at a dose of 10 mg to a patient with highly advanced alveolar rhabdomyosarcoma (RMA). Moreover, the potential exposure to IDA present in both fluids for healthcare workers and the caregivers of patients has been evaluated. The present LC-FL method can be a useful tool in pharmacokinetic and clinical investigations, in the monitoring of chemotherapy containing IDA, as well as for sensitive and reliable IDA quantitation in biological fluids.","author":[{"dropping-particle":"","family":"Maliszewska","given":"Olga","non-dropping-particle":"","parse-names":false,"suffix":""},{"dropping-particle":"","family":"Treder","given":"Natalia","non-dropping-particle":"","parse-names":false,"suffix":""},{"dropping-particle":"","family":"Olędzka","given":"IIona","non-dropping-particle":"","parse-names":false,"suffix":""},{"dropping-particle":"","family":"Kowalski","given":"Piotr","non-dropping-particle":"","parse-names":false,"suffix":""},{"dropping-particle":"","family":"Miękus","given":"Natalia","non-dropping-particle":"","parse-names":false,"suffix":""},{"dropping-particle":"","family":"Bączek","given":"Tomasz","non-dropping-particle":"","parse-names":false,"suffix":""},{"dropping-particle":"","family":"Rodzaj","given":"Wojciech","non-dropping-particle":"","parse-names":false,"suffix":""},{"dropping-particle":"","family":"Bień","given":"Ewa","non-dropping-particle":"","parse-names":false,"suffix":""},{"dropping-particle":"","family":"Krawczyk","given":"Małgorzata Anna","non-dropping-particle":"","parse-names":false,"suffix":""},{"dropping-particle":"","family":"Plenis","given":"Alina","non-dropping-particle":"","parse-names":false,"suffix":""}],"container-title":"Molecules (Basel, Switzerland)","id":"ITEM-1","issue":"24","issued":{"date-parts":[["2020"]]},"page":"1-16","title":"Sensitive Analysis of Idarubicin in Human Urine and Plasma by Liquid Chromatography with Fluorescence Detection: An Application in Drug Monitoring","type":"article-journal","volume":"25"},"uris":["http://www.mendeley.com/documents/?uuid=2849f61c-f332-4532-a172-5a156ae0997a"]}],"mendeley":{"formattedCitation":"[35]","plainTextFormattedCitation":"[35]","previouslyFormattedCitation":"[35]"},"properties":{"noteIndex":0},"schema":"https://github.com/citation-style-language/schema/raw/master/csl-citation.json"}</w:instrText>
            </w:r>
            <w:r w:rsidRPr="00E11754">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[35]</w:t>
            </w:r>
            <w:r w:rsidRPr="00E11754">
              <w:rPr>
                <w:rFonts w:ascii="Times New Roman" w:hAnsi="Times New Roman" w:cs="Times New Roman"/>
                <w:sz w:val="24"/>
                <w:szCs w:val="24"/>
              </w:rPr>
              <w:fldChar w:fldCharType="end"/>
            </w:r>
          </w:p>
        </w:tc>
      </w:tr>
      <w:tr w:rsidR="00906B10" w:rsidRPr="00E11754" w14:paraId="6FE30D97" w14:textId="77777777" w:rsidTr="13A8E3F4">
        <w:tc>
          <w:tcPr>
            <w:tcW w:w="1297" w:type="dxa"/>
            <w:vAlign w:val="center"/>
          </w:tcPr>
          <w:p w14:paraId="3636CB6E" w14:textId="77777777" w:rsidR="00906B10" w:rsidRPr="00E11754" w:rsidRDefault="00906B10" w:rsidP="00906B10">
            <w:pPr>
              <w:pStyle w:val="Akapitzlist"/>
              <w:spacing w:line="360" w:lineRule="auto"/>
              <w:ind w:left="0"/>
              <w:jc w:val="center"/>
              <w:rPr>
                <w:rFonts w:ascii="Times New Roman" w:hAnsi="Times New Roman" w:cs="Times New Roman"/>
                <w:bCs/>
                <w:sz w:val="24"/>
                <w:szCs w:val="24"/>
              </w:rPr>
            </w:pPr>
            <w:r w:rsidRPr="00E11754">
              <w:rPr>
                <w:rFonts w:ascii="Times New Roman" w:hAnsi="Times New Roman" w:cs="Times New Roman"/>
                <w:bCs/>
                <w:sz w:val="24"/>
                <w:szCs w:val="24"/>
              </w:rPr>
              <w:t>CEVAIE</w:t>
            </w:r>
          </w:p>
          <w:p w14:paraId="66B1D1CD" w14:textId="4ECA8A07" w:rsidR="00906B10" w:rsidRPr="00E11754" w:rsidRDefault="00906B10" w:rsidP="00906B10">
            <w:pPr>
              <w:pStyle w:val="Akapitzlist"/>
              <w:spacing w:line="360" w:lineRule="auto"/>
              <w:ind w:left="0"/>
              <w:jc w:val="center"/>
              <w:rPr>
                <w:rFonts w:ascii="Times New Roman" w:hAnsi="Times New Roman" w:cs="Times New Roman"/>
                <w:bCs/>
                <w:sz w:val="24"/>
                <w:szCs w:val="24"/>
              </w:rPr>
            </w:pPr>
            <w:r w:rsidRPr="00E11754">
              <w:rPr>
                <w:rFonts w:ascii="Times New Roman" w:hAnsi="Times New Roman" w:cs="Times New Roman"/>
                <w:bCs/>
                <w:sz w:val="24"/>
                <w:szCs w:val="24"/>
              </w:rPr>
              <w:t>VAC</w:t>
            </w:r>
          </w:p>
          <w:p w14:paraId="30D644C8" w14:textId="5D1BEACF" w:rsidR="00906B10" w:rsidRPr="00E11754" w:rsidRDefault="00906B10" w:rsidP="00906B10">
            <w:pPr>
              <w:pStyle w:val="Akapitzlist"/>
              <w:spacing w:line="360" w:lineRule="auto"/>
              <w:ind w:left="0"/>
              <w:jc w:val="center"/>
              <w:rPr>
                <w:rFonts w:ascii="Times New Roman" w:hAnsi="Times New Roman" w:cs="Times New Roman"/>
                <w:bCs/>
                <w:sz w:val="24"/>
                <w:szCs w:val="24"/>
              </w:rPr>
            </w:pPr>
            <w:r w:rsidRPr="00E11754">
              <w:rPr>
                <w:rFonts w:ascii="Times New Roman" w:hAnsi="Times New Roman" w:cs="Times New Roman"/>
                <w:bCs/>
                <w:sz w:val="24"/>
                <w:szCs w:val="24"/>
              </w:rPr>
              <w:t xml:space="preserve"> PAC</w:t>
            </w:r>
            <w:r w:rsidR="2C092957" w:rsidRPr="00E11754">
              <w:rPr>
                <w:rFonts w:ascii="Times New Roman" w:hAnsi="Times New Roman" w:cs="Times New Roman"/>
                <w:sz w:val="24"/>
                <w:szCs w:val="24"/>
              </w:rPr>
              <w:t>/</w:t>
            </w:r>
            <w:r w:rsidRPr="00E11754">
              <w:rPr>
                <w:rFonts w:ascii="Times New Roman" w:hAnsi="Times New Roman" w:cs="Times New Roman"/>
                <w:bCs/>
                <w:sz w:val="24"/>
                <w:szCs w:val="24"/>
              </w:rPr>
              <w:t>DOC</w:t>
            </w:r>
          </w:p>
        </w:tc>
        <w:tc>
          <w:tcPr>
            <w:tcW w:w="4368" w:type="dxa"/>
            <w:vAlign w:val="center"/>
          </w:tcPr>
          <w:p w14:paraId="410562A7" w14:textId="77777777" w:rsidR="00906B10" w:rsidRPr="00E11754" w:rsidRDefault="00906B10" w:rsidP="00906B10">
            <w:pPr>
              <w:pStyle w:val="Akapitzlist"/>
              <w:spacing w:line="360" w:lineRule="auto"/>
              <w:ind w:left="0"/>
              <w:jc w:val="center"/>
              <w:rPr>
                <w:rFonts w:ascii="Times New Roman" w:hAnsi="Times New Roman" w:cs="Times New Roman"/>
                <w:sz w:val="24"/>
                <w:szCs w:val="24"/>
              </w:rPr>
            </w:pPr>
            <w:proofErr w:type="spellStart"/>
            <w:r w:rsidRPr="00E11754">
              <w:rPr>
                <w:rFonts w:ascii="Times New Roman" w:hAnsi="Times New Roman" w:cs="Times New Roman"/>
                <w:sz w:val="24"/>
                <w:szCs w:val="24"/>
              </w:rPr>
              <w:t>karboplatyna</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epirubicyna</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winkrystyna</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ifosfamid</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aktynomycyna</w:t>
            </w:r>
            <w:proofErr w:type="spellEnd"/>
            <w:r w:rsidRPr="00E11754">
              <w:rPr>
                <w:rFonts w:ascii="Times New Roman" w:hAnsi="Times New Roman" w:cs="Times New Roman"/>
                <w:sz w:val="24"/>
                <w:szCs w:val="24"/>
              </w:rPr>
              <w:t xml:space="preserve"> D, </w:t>
            </w:r>
            <w:proofErr w:type="spellStart"/>
            <w:r w:rsidRPr="00E11754">
              <w:rPr>
                <w:rFonts w:ascii="Times New Roman" w:hAnsi="Times New Roman" w:cs="Times New Roman"/>
                <w:sz w:val="24"/>
                <w:szCs w:val="24"/>
              </w:rPr>
              <w:t>etopozyd</w:t>
            </w:r>
            <w:proofErr w:type="spellEnd"/>
          </w:p>
          <w:p w14:paraId="250143BE" w14:textId="77777777" w:rsidR="00906B10" w:rsidRPr="00E11754" w:rsidRDefault="00906B10" w:rsidP="00906B10">
            <w:pPr>
              <w:pStyle w:val="Akapitzlist"/>
              <w:spacing w:line="360" w:lineRule="auto"/>
              <w:ind w:left="0"/>
              <w:jc w:val="center"/>
              <w:rPr>
                <w:rFonts w:ascii="Times New Roman" w:eastAsiaTheme="majorEastAsia" w:hAnsi="Times New Roman" w:cs="Times New Roman"/>
                <w:sz w:val="24"/>
                <w:szCs w:val="24"/>
                <w:shd w:val="clear" w:color="auto" w:fill="FFFFFF"/>
              </w:rPr>
            </w:pPr>
            <w:proofErr w:type="spellStart"/>
            <w:r w:rsidRPr="00E11754">
              <w:rPr>
                <w:rFonts w:ascii="Times New Roman" w:eastAsiaTheme="majorEastAsia" w:hAnsi="Times New Roman" w:cs="Times New Roman"/>
                <w:sz w:val="24"/>
                <w:szCs w:val="24"/>
                <w:shd w:val="clear" w:color="auto" w:fill="FFFFFF"/>
              </w:rPr>
              <w:t>winkrystyna</w:t>
            </w:r>
            <w:proofErr w:type="spellEnd"/>
            <w:r w:rsidRPr="00E11754">
              <w:rPr>
                <w:rFonts w:ascii="Times New Roman" w:eastAsiaTheme="majorEastAsia" w:hAnsi="Times New Roman" w:cs="Times New Roman"/>
                <w:sz w:val="24"/>
                <w:szCs w:val="24"/>
                <w:shd w:val="clear" w:color="auto" w:fill="FFFFFF"/>
              </w:rPr>
              <w:t xml:space="preserve">, </w:t>
            </w:r>
            <w:proofErr w:type="spellStart"/>
            <w:r w:rsidRPr="00E11754">
              <w:rPr>
                <w:rFonts w:ascii="Times New Roman" w:eastAsiaTheme="majorEastAsia" w:hAnsi="Times New Roman" w:cs="Times New Roman"/>
                <w:sz w:val="24"/>
                <w:szCs w:val="24"/>
                <w:shd w:val="clear" w:color="auto" w:fill="FFFFFF"/>
              </w:rPr>
              <w:t>aktynomycyna</w:t>
            </w:r>
            <w:proofErr w:type="spellEnd"/>
            <w:r w:rsidRPr="00E11754">
              <w:rPr>
                <w:rFonts w:ascii="Times New Roman" w:eastAsiaTheme="majorEastAsia" w:hAnsi="Times New Roman" w:cs="Times New Roman"/>
                <w:sz w:val="24"/>
                <w:szCs w:val="24"/>
                <w:shd w:val="clear" w:color="auto" w:fill="FFFFFF"/>
              </w:rPr>
              <w:t xml:space="preserve"> D, </w:t>
            </w:r>
            <w:proofErr w:type="spellStart"/>
            <w:r w:rsidRPr="00E11754">
              <w:rPr>
                <w:rFonts w:ascii="Times New Roman" w:eastAsiaTheme="majorEastAsia" w:hAnsi="Times New Roman" w:cs="Times New Roman"/>
                <w:sz w:val="24"/>
                <w:szCs w:val="24"/>
                <w:shd w:val="clear" w:color="auto" w:fill="FFFFFF"/>
              </w:rPr>
              <w:t>cyklofosfamid</w:t>
            </w:r>
            <w:proofErr w:type="spellEnd"/>
          </w:p>
          <w:p w14:paraId="2DF912C6" w14:textId="77777777" w:rsidR="00906B10" w:rsidRPr="00E11754" w:rsidRDefault="00906B10" w:rsidP="00906B10">
            <w:pPr>
              <w:pStyle w:val="Akapitzlist"/>
              <w:spacing w:line="360" w:lineRule="auto"/>
              <w:ind w:left="0"/>
              <w:jc w:val="center"/>
              <w:rPr>
                <w:rFonts w:ascii="Times New Roman" w:eastAsiaTheme="majorEastAsia" w:hAnsi="Times New Roman" w:cs="Times New Roman"/>
                <w:sz w:val="24"/>
                <w:szCs w:val="24"/>
                <w:shd w:val="clear" w:color="auto" w:fill="FFFFFF"/>
              </w:rPr>
            </w:pPr>
            <w:proofErr w:type="spellStart"/>
            <w:r w:rsidRPr="00E11754">
              <w:rPr>
                <w:rFonts w:ascii="Times New Roman" w:eastAsiaTheme="majorEastAsia" w:hAnsi="Times New Roman" w:cs="Times New Roman"/>
                <w:sz w:val="24"/>
                <w:szCs w:val="24"/>
                <w:shd w:val="clear" w:color="auto" w:fill="FFFFFF"/>
              </w:rPr>
              <w:t>paklitaksel</w:t>
            </w:r>
            <w:proofErr w:type="spellEnd"/>
          </w:p>
          <w:p w14:paraId="27198419" w14:textId="6FEACAB8" w:rsidR="00906B10" w:rsidRPr="00E11754" w:rsidRDefault="00906B10" w:rsidP="00906B10">
            <w:pPr>
              <w:pStyle w:val="Akapitzlist"/>
              <w:spacing w:line="360" w:lineRule="auto"/>
              <w:ind w:left="0"/>
              <w:jc w:val="center"/>
              <w:rPr>
                <w:rFonts w:ascii="Times New Roman" w:eastAsiaTheme="majorEastAsia" w:hAnsi="Times New Roman" w:cs="Times New Roman"/>
                <w:sz w:val="24"/>
                <w:szCs w:val="24"/>
                <w:shd w:val="clear" w:color="auto" w:fill="FFFFFF"/>
              </w:rPr>
            </w:pPr>
            <w:proofErr w:type="spellStart"/>
            <w:r w:rsidRPr="00E11754">
              <w:rPr>
                <w:rFonts w:ascii="Times New Roman" w:eastAsiaTheme="majorEastAsia" w:hAnsi="Times New Roman" w:cs="Times New Roman"/>
                <w:sz w:val="24"/>
                <w:szCs w:val="24"/>
                <w:shd w:val="clear" w:color="auto" w:fill="FFFFFF"/>
              </w:rPr>
              <w:t>doceteksel</w:t>
            </w:r>
            <w:proofErr w:type="spellEnd"/>
          </w:p>
        </w:tc>
        <w:tc>
          <w:tcPr>
            <w:tcW w:w="2410" w:type="dxa"/>
            <w:vAlign w:val="center"/>
          </w:tcPr>
          <w:p w14:paraId="18ED8BF3" w14:textId="6B4C5FA5" w:rsidR="00906B10" w:rsidRPr="00E11754" w:rsidRDefault="00906B10" w:rsidP="00906B10">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t>AS</w:t>
            </w:r>
          </w:p>
        </w:tc>
        <w:tc>
          <w:tcPr>
            <w:tcW w:w="702" w:type="dxa"/>
            <w:vAlign w:val="center"/>
          </w:tcPr>
          <w:p w14:paraId="6C1EAD16" w14:textId="11A5007D" w:rsidR="00906B10" w:rsidRPr="00E11754" w:rsidRDefault="00DA5EB2" w:rsidP="00906B10">
            <w:pPr>
              <w:pStyle w:val="Akapitzlist"/>
              <w:spacing w:line="360" w:lineRule="auto"/>
              <w:ind w:left="0"/>
              <w:jc w:val="center"/>
              <w:rPr>
                <w:rFonts w:ascii="Times New Roman" w:hAnsi="Times New Roman" w:cs="Times New Roman"/>
                <w:sz w:val="24"/>
                <w:szCs w:val="24"/>
              </w:rPr>
            </w:pPr>
            <w:r w:rsidRPr="00E11754">
              <w:rPr>
                <w:rFonts w:ascii="Times New Roman" w:hAnsi="Times New Roman" w:cs="Times New Roman"/>
                <w:sz w:val="24"/>
                <w:szCs w:val="24"/>
              </w:rPr>
              <w:fldChar w:fldCharType="begin" w:fldLock="1"/>
            </w:r>
            <w:r w:rsidR="00F32E2E">
              <w:rPr>
                <w:rFonts w:ascii="Times New Roman" w:hAnsi="Times New Roman" w:cs="Times New Roman"/>
                <w:sz w:val="24"/>
                <w:szCs w:val="24"/>
              </w:rPr>
              <w:instrText>ADDIN CSL_CITATION {"citationItems":[{"id":"ITEM-1","itemData":{"DOI":"10.3390/pharmaceutics15041255","ISBN":"4858349152","ISSN":"19994923","abstract":"In recent years, therapeutic drug monitoring (TDM) has been applied in docetaxel (DOC)-based anticancer therapy to precisely control various pharmacokinetic parameters, including the concentration of DOC in biofluids (e.g., plasma or urine), its clearance, and its area under the curve (AUC). The ability to determine these values and to monitor DOC levels in biological samples depends on the availability of precise and accurate analytical methods that both enable fast and sensitive analysis and can be implemented in routine clinical practice. This paper presents a new method for isolating DOC from plasma and urine samples based on the coupling of microextraction and advanced liquid chromatography with tandem mass spectrometry (LC-MS/MS). In the proposed method, biological samples are prepared via ultrasound-assisted dispersive liquid–liquid microextraction (UA-DLLME) using ethanol (EtOH) and chloroform (Chl) as the desorption and extraction solvents, respectively. The proposed protocol was fully validated according to the Food and Drug Administration (FDA) and the International Council for Harmonization of Technical Requirements for Pharmaceuticals for Human Use (ICH) requirements. The developed method was then applied to monitor the DOC profile in plasma and urine samples collected from a pediatric patient suffering from cardiac angiosarcoma (AS) with metastasis to lungs and mediastinal lymph nodes, who was receiving treatment with DOC at a dose of 30 mg/m2 body surface area. Due to the rarity of this disease, TDM was carried out to determine the exact levels of DOC at particular time points to ascertain which levels were conducive to maximizing the treatment’s effectiveness while minimizing the drug’s toxicity. To this end, the concentration-time profiles of DOC in the plasma and urine samples were determined, and the levels of DOC at specific time intervals up to 3 days after administration were measured. The results showed that DOC was present at higher concentrations in the plasma than in the urine samples, which is due to the fact that this drug is primarily metabolized in the liver and then eliminated with the bile. The obtained data provided information about the pharmacokinetic profile of DOC in pediatric patients with cardiac AS, which enabled the dose to be adjusted to achieve the optimal therapeutic regimen. The findings of this work demonstrate that the optimized method can be applied for the routine monitoring of DOC levels in plasma and ur…","author":[{"dropping-particle":"","family":"Maliszewska","given":"Olga","non-dropping-particle":"","parse-names":false,"suffix":""},{"dropping-particle":"","family":"Roszkowska","given":"Anna","non-dropping-particle":"","parse-names":false,"suffix":""},{"dropping-particle":"","family":"Lipiński","given":"Marcin","non-dropping-particle":"","parse-names":false,"suffix":""},{"dropping-particle":"","family":"Treder","given":"Natalia","non-dropping-particle":"","parse-names":false,"suffix":""},{"dropping-particle":"","family":"Olędzka","given":"Ilona","non-dropping-particle":"","parse-names":false,"suffix":""},{"dropping-particle":"","family":"Kowalski","given":"Piotr","non-dropping-particle":"","parse-names":false,"suffix":""},{"dropping-particle":"","family":"Bączek","given":"Tomasz","non-dropping-particle":"","parse-names":false,"suffix":""},{"dropping-particle":"","family":"Bień","given":"Ewa","non-dropping-particle":"","parse-names":false,"suffix":""},{"dropping-particle":"","family":"Krawczyk","given":"Małgorzata Anna","non-dropping-particle":"","parse-names":false,"suffix":""},{"dropping-particle":"","family":"Plenis","given":"Alina","non-dropping-particle":"","parse-names":false,"suffix":""}],"container-title":"Pharmaceutics","id":"ITEM-1","issue":"4","issued":{"date-parts":[["2023"]]},"page":"1-16","title":"Profiling Docetaxel in Plasma and Urine Samples from a Pediatric Cancer Patient Using Ultrasound-Assisted Dispersive Liquid–Liquid Microextraction Combined with LC–MS/MS","type":"article-journal","volume":"15"},"uris":["http://www.mendeley.com/documents/?uuid=0ecbe569-197a-448e-8837-8b8593409f83"]}],"mendeley":{"formattedCitation":"[36]","plainTextFormattedCitation":"[36]","previouslyFormattedCitation":"[36]"},"properties":{"noteIndex":0},"schema":"https://github.com/citation-style-language/schema/raw/master/csl-citation.json"}</w:instrText>
            </w:r>
            <w:r w:rsidRPr="00E11754">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[36]</w:t>
            </w:r>
            <w:r w:rsidRPr="00E11754">
              <w:rPr>
                <w:rFonts w:ascii="Times New Roman" w:hAnsi="Times New Roman" w:cs="Times New Roman"/>
                <w:sz w:val="24"/>
                <w:szCs w:val="24"/>
              </w:rPr>
              <w:fldChar w:fldCharType="end"/>
            </w:r>
          </w:p>
        </w:tc>
      </w:tr>
    </w:tbl>
    <w:p w14:paraId="394CCEE7" w14:textId="47A46746" w:rsidR="000757A5" w:rsidRPr="00E11754" w:rsidRDefault="607BFCA9" w:rsidP="000D6A5E">
      <w:pPr>
        <w:pStyle w:val="Nagwek3"/>
        <w:keepNext w:val="0"/>
        <w:keepLines w:val="0"/>
        <w:spacing w:before="240" w:after="120"/>
        <w:ind w:left="567"/>
        <w:rPr>
          <w:rFonts w:ascii="Times New Roman" w:hAnsi="Times New Roman" w:cs="Times New Roman"/>
          <w:b/>
          <w:i/>
        </w:rPr>
      </w:pPr>
      <w:bookmarkStart w:id="14" w:name="_Toc137702475"/>
      <w:r w:rsidRPr="00E11754">
        <w:rPr>
          <w:rFonts w:ascii="Times New Roman" w:hAnsi="Times New Roman" w:cs="Times New Roman"/>
          <w:b/>
          <w:bCs/>
          <w:i/>
          <w:iCs/>
        </w:rPr>
        <w:t xml:space="preserve">1.4.2. </w:t>
      </w:r>
      <w:proofErr w:type="spellStart"/>
      <w:r w:rsidRPr="00E11754">
        <w:rPr>
          <w:rFonts w:ascii="Times New Roman" w:hAnsi="Times New Roman" w:cs="Times New Roman"/>
          <w:b/>
          <w:bCs/>
          <w:i/>
          <w:iCs/>
        </w:rPr>
        <w:t>Taksany</w:t>
      </w:r>
      <w:bookmarkEnd w:id="14"/>
      <w:proofErr w:type="spellEnd"/>
      <w:r w:rsidRPr="00E11754">
        <w:rPr>
          <w:rFonts w:ascii="Times New Roman" w:hAnsi="Times New Roman" w:cs="Times New Roman"/>
          <w:b/>
          <w:bCs/>
          <w:i/>
          <w:iCs/>
        </w:rPr>
        <w:t xml:space="preserve"> </w:t>
      </w:r>
    </w:p>
    <w:p w14:paraId="63BCFCA2" w14:textId="0D1B65CF" w:rsidR="008B44B8" w:rsidRPr="00E11754" w:rsidRDefault="0068349B" w:rsidP="00E60620">
      <w:pPr>
        <w:spacing w:line="360" w:lineRule="auto"/>
        <w:jc w:val="both"/>
        <w:rPr>
          <w:rFonts w:ascii="Times New Roman" w:hAnsi="Times New Roman" w:cs="Times New Roman"/>
          <w:color w:val="1C1C1B"/>
          <w:sz w:val="24"/>
          <w:szCs w:val="24"/>
        </w:rPr>
      </w:pPr>
      <w:r w:rsidRPr="00E11754">
        <w:rPr>
          <w:rFonts w:ascii="Times New Roman" w:hAnsi="Times New Roman" w:cs="Times New Roman"/>
          <w:color w:val="1C1C1B"/>
          <w:sz w:val="24"/>
          <w:szCs w:val="24"/>
        </w:rPr>
        <w:tab/>
      </w:r>
      <w:r w:rsidR="00D2465F" w:rsidRPr="00E11754">
        <w:rPr>
          <w:rFonts w:ascii="Times New Roman" w:hAnsi="Times New Roman" w:cs="Times New Roman"/>
          <w:color w:val="1C1C1B"/>
          <w:sz w:val="24"/>
          <w:szCs w:val="24"/>
        </w:rPr>
        <w:t>T</w:t>
      </w:r>
      <w:r w:rsidR="00EF793F" w:rsidRPr="00E11754">
        <w:rPr>
          <w:rFonts w:ascii="Times New Roman" w:hAnsi="Times New Roman" w:cs="Times New Roman"/>
          <w:color w:val="1C1C1B"/>
          <w:sz w:val="24"/>
          <w:szCs w:val="24"/>
        </w:rPr>
        <w:t xml:space="preserve">o </w:t>
      </w:r>
      <w:r w:rsidR="006D27B2" w:rsidRPr="00E11754">
        <w:rPr>
          <w:rFonts w:ascii="Times New Roman" w:hAnsi="Times New Roman" w:cs="Times New Roman"/>
          <w:color w:val="1C1C1B"/>
          <w:sz w:val="24"/>
          <w:szCs w:val="24"/>
        </w:rPr>
        <w:t>grupa leków</w:t>
      </w:r>
      <w:r w:rsidR="00EF793F" w:rsidRPr="00E11754">
        <w:rPr>
          <w:rFonts w:ascii="Times New Roman" w:hAnsi="Times New Roman" w:cs="Times New Roman"/>
          <w:color w:val="1C1C1B"/>
          <w:sz w:val="24"/>
          <w:szCs w:val="24"/>
        </w:rPr>
        <w:t xml:space="preserve">, </w:t>
      </w:r>
      <w:r w:rsidR="0008357F" w:rsidRPr="00E11754">
        <w:rPr>
          <w:rFonts w:ascii="Times New Roman" w:hAnsi="Times New Roman" w:cs="Times New Roman"/>
          <w:color w:val="1C1C1B"/>
          <w:sz w:val="24"/>
          <w:szCs w:val="24"/>
        </w:rPr>
        <w:t>która charakteryzuje się budową d</w:t>
      </w:r>
      <w:r w:rsidR="004328CD" w:rsidRPr="00E11754">
        <w:rPr>
          <w:rFonts w:ascii="Times New Roman" w:hAnsi="Times New Roman" w:cs="Times New Roman"/>
          <w:color w:val="1C1C1B"/>
          <w:sz w:val="24"/>
          <w:szCs w:val="24"/>
        </w:rPr>
        <w:t>wu</w:t>
      </w:r>
      <w:r w:rsidR="0008357F" w:rsidRPr="00E11754">
        <w:rPr>
          <w:rFonts w:ascii="Times New Roman" w:hAnsi="Times New Roman" w:cs="Times New Roman"/>
          <w:color w:val="1C1C1B"/>
          <w:sz w:val="24"/>
          <w:szCs w:val="24"/>
        </w:rPr>
        <w:t>terpenową.</w:t>
      </w:r>
      <w:r w:rsidR="00D42D18" w:rsidRPr="00E11754">
        <w:rPr>
          <w:rFonts w:ascii="Times New Roman" w:hAnsi="Times New Roman" w:cs="Times New Roman"/>
          <w:color w:val="1C1C1B"/>
          <w:sz w:val="24"/>
          <w:szCs w:val="24"/>
        </w:rPr>
        <w:t xml:space="preserve"> </w:t>
      </w:r>
      <w:r w:rsidR="009D4D39" w:rsidRPr="00E11754">
        <w:rPr>
          <w:rFonts w:ascii="Times New Roman" w:hAnsi="Times New Roman" w:cs="Times New Roman"/>
          <w:color w:val="1C1C1B"/>
          <w:sz w:val="24"/>
          <w:szCs w:val="24"/>
        </w:rPr>
        <w:t>Ich</w:t>
      </w:r>
      <w:r w:rsidR="00D42D18" w:rsidRPr="00E11754">
        <w:rPr>
          <w:rFonts w:ascii="Times New Roman" w:hAnsi="Times New Roman" w:cs="Times New Roman"/>
          <w:color w:val="1C1C1B"/>
          <w:sz w:val="24"/>
          <w:szCs w:val="24"/>
        </w:rPr>
        <w:t xml:space="preserve"> główn</w:t>
      </w:r>
      <w:r w:rsidR="009D4D39" w:rsidRPr="00E11754">
        <w:rPr>
          <w:rFonts w:ascii="Times New Roman" w:hAnsi="Times New Roman" w:cs="Times New Roman"/>
          <w:color w:val="1C1C1B"/>
          <w:sz w:val="24"/>
          <w:szCs w:val="24"/>
        </w:rPr>
        <w:t>ą</w:t>
      </w:r>
      <w:r w:rsidR="00D42D18" w:rsidRPr="00E11754">
        <w:rPr>
          <w:rFonts w:ascii="Times New Roman" w:hAnsi="Times New Roman" w:cs="Times New Roman"/>
          <w:color w:val="1C1C1B"/>
          <w:sz w:val="24"/>
          <w:szCs w:val="24"/>
        </w:rPr>
        <w:t xml:space="preserve"> część </w:t>
      </w:r>
      <w:r w:rsidR="000B1906" w:rsidRPr="00E11754">
        <w:rPr>
          <w:rFonts w:ascii="Times New Roman" w:hAnsi="Times New Roman" w:cs="Times New Roman"/>
          <w:color w:val="1C1C1B"/>
          <w:sz w:val="24"/>
          <w:szCs w:val="24"/>
        </w:rPr>
        <w:t xml:space="preserve">struktury chemicznej </w:t>
      </w:r>
      <w:r w:rsidR="009D4D39" w:rsidRPr="00E11754">
        <w:rPr>
          <w:rFonts w:ascii="Times New Roman" w:hAnsi="Times New Roman" w:cs="Times New Roman"/>
          <w:color w:val="1C1C1B"/>
          <w:sz w:val="24"/>
          <w:szCs w:val="24"/>
        </w:rPr>
        <w:t>stanowi</w:t>
      </w:r>
      <w:r w:rsidR="00D42D18" w:rsidRPr="00E11754">
        <w:rPr>
          <w:rFonts w:ascii="Times New Roman" w:hAnsi="Times New Roman" w:cs="Times New Roman"/>
          <w:color w:val="1C1C1B"/>
          <w:sz w:val="24"/>
          <w:szCs w:val="24"/>
        </w:rPr>
        <w:t xml:space="preserve"> pierścień</w:t>
      </w:r>
      <w:r w:rsidR="002436C2" w:rsidRPr="00E11754">
        <w:rPr>
          <w:rFonts w:ascii="Times New Roman" w:hAnsi="Times New Roman" w:cs="Times New Roman"/>
          <w:color w:val="1C1C1B"/>
          <w:sz w:val="24"/>
          <w:szCs w:val="24"/>
        </w:rPr>
        <w:t xml:space="preserve"> </w:t>
      </w:r>
      <w:proofErr w:type="spellStart"/>
      <w:r w:rsidR="002436C2" w:rsidRPr="00E11754">
        <w:rPr>
          <w:rFonts w:ascii="Times New Roman" w:hAnsi="Times New Roman" w:cs="Times New Roman"/>
          <w:color w:val="1C1C1B"/>
          <w:sz w:val="24"/>
          <w:szCs w:val="24"/>
        </w:rPr>
        <w:t>taksoidowy</w:t>
      </w:r>
      <w:proofErr w:type="spellEnd"/>
      <w:r w:rsidR="002436C2" w:rsidRPr="00E11754">
        <w:rPr>
          <w:rFonts w:ascii="Times New Roman" w:hAnsi="Times New Roman" w:cs="Times New Roman"/>
          <w:color w:val="1C1C1B"/>
          <w:sz w:val="24"/>
          <w:szCs w:val="24"/>
        </w:rPr>
        <w:t xml:space="preserve"> </w:t>
      </w:r>
      <w:r w:rsidR="000C36CB" w:rsidRPr="00E11754">
        <w:rPr>
          <w:rFonts w:ascii="Times New Roman" w:hAnsi="Times New Roman" w:cs="Times New Roman"/>
          <w:color w:val="1C1C1B"/>
          <w:sz w:val="24"/>
          <w:szCs w:val="24"/>
        </w:rPr>
        <w:t>połączony</w:t>
      </w:r>
      <w:r w:rsidR="00474E18" w:rsidRPr="00E11754">
        <w:rPr>
          <w:rFonts w:ascii="Times New Roman" w:hAnsi="Times New Roman" w:cs="Times New Roman"/>
          <w:color w:val="1C1C1B"/>
          <w:sz w:val="24"/>
          <w:szCs w:val="24"/>
        </w:rPr>
        <w:t xml:space="preserve"> z pierścieniem </w:t>
      </w:r>
      <w:proofErr w:type="spellStart"/>
      <w:r w:rsidR="00474E18" w:rsidRPr="00E11754">
        <w:rPr>
          <w:rFonts w:ascii="Times New Roman" w:hAnsi="Times New Roman" w:cs="Times New Roman"/>
          <w:color w:val="1C1C1B"/>
          <w:sz w:val="24"/>
          <w:szCs w:val="24"/>
        </w:rPr>
        <w:t>oktasenowym</w:t>
      </w:r>
      <w:proofErr w:type="spellEnd"/>
      <w:r w:rsidR="00474E18" w:rsidRPr="00E11754">
        <w:rPr>
          <w:rFonts w:ascii="Times New Roman" w:hAnsi="Times New Roman" w:cs="Times New Roman"/>
          <w:color w:val="1C1C1B"/>
          <w:sz w:val="24"/>
          <w:szCs w:val="24"/>
        </w:rPr>
        <w:t xml:space="preserve"> </w:t>
      </w:r>
      <w:r w:rsidR="007154CE" w:rsidRPr="00E11754">
        <w:rPr>
          <w:rFonts w:ascii="Times New Roman" w:hAnsi="Times New Roman" w:cs="Times New Roman"/>
          <w:color w:val="1C1C1B"/>
          <w:sz w:val="24"/>
          <w:szCs w:val="24"/>
        </w:rPr>
        <w:t>i łańcuchem bocznym</w:t>
      </w:r>
      <w:r w:rsidR="00942D10" w:rsidRPr="00E11754">
        <w:rPr>
          <w:rFonts w:ascii="Times New Roman" w:hAnsi="Times New Roman" w:cs="Times New Roman"/>
          <w:color w:val="1C1C1B"/>
          <w:sz w:val="24"/>
          <w:szCs w:val="24"/>
        </w:rPr>
        <w:t>, który odpowi</w:t>
      </w:r>
      <w:r w:rsidR="00807492" w:rsidRPr="00E11754">
        <w:rPr>
          <w:rFonts w:ascii="Times New Roman" w:hAnsi="Times New Roman" w:cs="Times New Roman"/>
          <w:color w:val="1C1C1B"/>
          <w:sz w:val="24"/>
          <w:szCs w:val="24"/>
        </w:rPr>
        <w:t>ada</w:t>
      </w:r>
      <w:r w:rsidR="00942D10" w:rsidRPr="00E11754">
        <w:rPr>
          <w:rFonts w:ascii="Times New Roman" w:hAnsi="Times New Roman" w:cs="Times New Roman"/>
          <w:color w:val="1C1C1B"/>
          <w:sz w:val="24"/>
          <w:szCs w:val="24"/>
        </w:rPr>
        <w:t xml:space="preserve"> za </w:t>
      </w:r>
      <w:r w:rsidR="003D3C14" w:rsidRPr="00E11754">
        <w:rPr>
          <w:rFonts w:ascii="Times New Roman" w:hAnsi="Times New Roman" w:cs="Times New Roman"/>
          <w:color w:val="1C1C1B"/>
          <w:sz w:val="24"/>
          <w:szCs w:val="24"/>
        </w:rPr>
        <w:t xml:space="preserve">główny </w:t>
      </w:r>
      <w:r w:rsidR="00406788" w:rsidRPr="00E11754">
        <w:rPr>
          <w:rFonts w:ascii="Times New Roman" w:hAnsi="Times New Roman" w:cs="Times New Roman"/>
          <w:color w:val="1C1C1B"/>
          <w:sz w:val="24"/>
          <w:szCs w:val="24"/>
        </w:rPr>
        <w:t xml:space="preserve">kierunek </w:t>
      </w:r>
      <w:r w:rsidR="00942D10" w:rsidRPr="00E11754">
        <w:rPr>
          <w:rFonts w:ascii="Times New Roman" w:hAnsi="Times New Roman" w:cs="Times New Roman"/>
          <w:color w:val="1C1C1B"/>
          <w:sz w:val="24"/>
          <w:szCs w:val="24"/>
        </w:rPr>
        <w:t>działani</w:t>
      </w:r>
      <w:r w:rsidR="00406788" w:rsidRPr="00E11754">
        <w:rPr>
          <w:rFonts w:ascii="Times New Roman" w:hAnsi="Times New Roman" w:cs="Times New Roman"/>
          <w:color w:val="1C1C1B"/>
          <w:sz w:val="24"/>
          <w:szCs w:val="24"/>
        </w:rPr>
        <w:t>a</w:t>
      </w:r>
      <w:r w:rsidR="00942D10" w:rsidRPr="00E11754">
        <w:rPr>
          <w:rFonts w:ascii="Times New Roman" w:hAnsi="Times New Roman" w:cs="Times New Roman"/>
          <w:color w:val="1C1C1B"/>
          <w:sz w:val="24"/>
          <w:szCs w:val="24"/>
        </w:rPr>
        <w:t xml:space="preserve"> </w:t>
      </w:r>
      <w:r w:rsidR="0005479C" w:rsidRPr="00E11754">
        <w:rPr>
          <w:rFonts w:ascii="Times New Roman" w:hAnsi="Times New Roman" w:cs="Times New Roman"/>
          <w:color w:val="1C1C1B"/>
          <w:sz w:val="24"/>
          <w:szCs w:val="24"/>
        </w:rPr>
        <w:t>przeciwnowotworowe</w:t>
      </w:r>
      <w:r w:rsidR="00406788" w:rsidRPr="00E11754">
        <w:rPr>
          <w:rFonts w:ascii="Times New Roman" w:hAnsi="Times New Roman" w:cs="Times New Roman"/>
          <w:color w:val="1C1C1B"/>
          <w:sz w:val="24"/>
          <w:szCs w:val="24"/>
        </w:rPr>
        <w:t>go</w:t>
      </w:r>
      <w:r w:rsidR="00313D4E" w:rsidRPr="00E11754">
        <w:rPr>
          <w:rFonts w:ascii="Times New Roman" w:hAnsi="Times New Roman" w:cs="Times New Roman"/>
          <w:color w:val="1C1C1B"/>
          <w:sz w:val="24"/>
          <w:szCs w:val="24"/>
        </w:rPr>
        <w:t xml:space="preserve"> </w:t>
      </w:r>
      <w:proofErr w:type="spellStart"/>
      <w:r w:rsidR="003D3C14" w:rsidRPr="00E11754">
        <w:rPr>
          <w:rFonts w:ascii="Times New Roman" w:hAnsi="Times New Roman" w:cs="Times New Roman"/>
          <w:color w:val="1C1C1B"/>
          <w:sz w:val="24"/>
          <w:szCs w:val="24"/>
        </w:rPr>
        <w:t>t</w:t>
      </w:r>
      <w:r w:rsidR="00CD3789" w:rsidRPr="00E11754">
        <w:rPr>
          <w:rFonts w:ascii="Times New Roman" w:hAnsi="Times New Roman" w:cs="Times New Roman"/>
          <w:color w:val="1C1C1B"/>
          <w:sz w:val="24"/>
          <w:szCs w:val="24"/>
        </w:rPr>
        <w:t>a</w:t>
      </w:r>
      <w:r w:rsidR="003D3C14" w:rsidRPr="00E11754">
        <w:rPr>
          <w:rFonts w:ascii="Times New Roman" w:hAnsi="Times New Roman" w:cs="Times New Roman"/>
          <w:color w:val="1C1C1B"/>
          <w:sz w:val="24"/>
          <w:szCs w:val="24"/>
        </w:rPr>
        <w:t>ksanów</w:t>
      </w:r>
      <w:proofErr w:type="spellEnd"/>
      <w:r w:rsidR="00313D4E" w:rsidRPr="00E11754">
        <w:rPr>
          <w:rFonts w:ascii="Times New Roman" w:hAnsi="Times New Roman" w:cs="Times New Roman"/>
          <w:color w:val="1C1C1B"/>
          <w:sz w:val="24"/>
          <w:szCs w:val="24"/>
        </w:rPr>
        <w:t xml:space="preserve">. </w:t>
      </w:r>
      <w:r w:rsidR="003D3C14" w:rsidRPr="00E11754">
        <w:rPr>
          <w:rFonts w:ascii="Times New Roman" w:hAnsi="Times New Roman" w:cs="Times New Roman"/>
          <w:sz w:val="24"/>
          <w:szCs w:val="24"/>
        </w:rPr>
        <w:t>M</w:t>
      </w:r>
      <w:r w:rsidR="00313D4E" w:rsidRPr="00E11754">
        <w:rPr>
          <w:rFonts w:ascii="Times New Roman" w:hAnsi="Times New Roman" w:cs="Times New Roman"/>
          <w:sz w:val="24"/>
          <w:szCs w:val="24"/>
        </w:rPr>
        <w:t xml:space="preserve">echanizm </w:t>
      </w:r>
      <w:r w:rsidR="00807492" w:rsidRPr="00E11754">
        <w:rPr>
          <w:rFonts w:ascii="Times New Roman" w:hAnsi="Times New Roman" w:cs="Times New Roman"/>
          <w:sz w:val="24"/>
          <w:szCs w:val="24"/>
        </w:rPr>
        <w:t>ten</w:t>
      </w:r>
      <w:r w:rsidR="003D3C14" w:rsidRPr="00E11754">
        <w:rPr>
          <w:rFonts w:ascii="Times New Roman" w:hAnsi="Times New Roman" w:cs="Times New Roman"/>
          <w:sz w:val="24"/>
          <w:szCs w:val="24"/>
        </w:rPr>
        <w:t xml:space="preserve"> </w:t>
      </w:r>
      <w:r w:rsidR="00313D4E" w:rsidRPr="00E11754">
        <w:rPr>
          <w:rFonts w:ascii="Times New Roman" w:hAnsi="Times New Roman" w:cs="Times New Roman"/>
          <w:sz w:val="24"/>
          <w:szCs w:val="24"/>
        </w:rPr>
        <w:t xml:space="preserve">polega na stabilizacji </w:t>
      </w:r>
      <w:proofErr w:type="spellStart"/>
      <w:r w:rsidR="00313D4E" w:rsidRPr="00E11754">
        <w:rPr>
          <w:rFonts w:ascii="Times New Roman" w:hAnsi="Times New Roman" w:cs="Times New Roman"/>
          <w:sz w:val="24"/>
          <w:szCs w:val="24"/>
        </w:rPr>
        <w:t>mikrotubul</w:t>
      </w:r>
      <w:proofErr w:type="spellEnd"/>
      <w:r w:rsidR="00313D4E" w:rsidRPr="00E11754">
        <w:rPr>
          <w:rFonts w:ascii="Times New Roman" w:hAnsi="Times New Roman" w:cs="Times New Roman"/>
          <w:sz w:val="24"/>
          <w:szCs w:val="24"/>
        </w:rPr>
        <w:t xml:space="preserve"> poprzez ich wiązanie z </w:t>
      </w:r>
      <w:r w:rsidR="003F0342" w:rsidRPr="00E11754">
        <w:rPr>
          <w:rFonts w:ascii="Times New Roman" w:hAnsi="Times New Roman" w:cs="Times New Roman"/>
          <w:sz w:val="24"/>
          <w:szCs w:val="24"/>
        </w:rPr>
        <w:t>β-</w:t>
      </w:r>
      <w:proofErr w:type="spellStart"/>
      <w:r w:rsidR="00313D4E" w:rsidRPr="00E11754">
        <w:rPr>
          <w:rFonts w:ascii="Times New Roman" w:hAnsi="Times New Roman" w:cs="Times New Roman"/>
          <w:sz w:val="24"/>
          <w:szCs w:val="24"/>
        </w:rPr>
        <w:t>tubuliną</w:t>
      </w:r>
      <w:proofErr w:type="spellEnd"/>
      <w:r w:rsidR="003F0342" w:rsidRPr="00E11754">
        <w:rPr>
          <w:rFonts w:ascii="Times New Roman" w:hAnsi="Times New Roman" w:cs="Times New Roman"/>
          <w:sz w:val="24"/>
          <w:szCs w:val="24"/>
        </w:rPr>
        <w:t xml:space="preserve">, co zwiększa ich polimeryzację oraz powoduje zmiany konformacyjne prowadzące do silniejszego wiązania się z sąsiednimi </w:t>
      </w:r>
      <w:proofErr w:type="spellStart"/>
      <w:r w:rsidR="003F0342" w:rsidRPr="00E11754">
        <w:rPr>
          <w:rFonts w:ascii="Times New Roman" w:hAnsi="Times New Roman" w:cs="Times New Roman"/>
          <w:sz w:val="24"/>
          <w:szCs w:val="24"/>
        </w:rPr>
        <w:t>mikrotubulami</w:t>
      </w:r>
      <w:proofErr w:type="spellEnd"/>
      <w:r w:rsidR="003F0342" w:rsidRPr="00E11754">
        <w:rPr>
          <w:rFonts w:ascii="Times New Roman" w:hAnsi="Times New Roman" w:cs="Times New Roman"/>
          <w:sz w:val="24"/>
          <w:szCs w:val="24"/>
        </w:rPr>
        <w:t xml:space="preserve">. Dochodzi do reorganizacji sieci </w:t>
      </w:r>
      <w:proofErr w:type="spellStart"/>
      <w:r w:rsidR="003F0342" w:rsidRPr="00E11754">
        <w:rPr>
          <w:rFonts w:ascii="Times New Roman" w:hAnsi="Times New Roman" w:cs="Times New Roman"/>
          <w:sz w:val="24"/>
          <w:szCs w:val="24"/>
        </w:rPr>
        <w:t>mikrotubul</w:t>
      </w:r>
      <w:proofErr w:type="spellEnd"/>
      <w:r w:rsidR="003F0342" w:rsidRPr="00E11754">
        <w:rPr>
          <w:rFonts w:ascii="Times New Roman" w:hAnsi="Times New Roman" w:cs="Times New Roman"/>
          <w:sz w:val="24"/>
          <w:szCs w:val="24"/>
        </w:rPr>
        <w:t xml:space="preserve">, </w:t>
      </w:r>
      <w:r w:rsidR="00807492" w:rsidRPr="00E11754">
        <w:rPr>
          <w:rFonts w:ascii="Times New Roman" w:hAnsi="Times New Roman" w:cs="Times New Roman"/>
          <w:sz w:val="24"/>
          <w:szCs w:val="24"/>
        </w:rPr>
        <w:t>a to</w:t>
      </w:r>
      <w:r w:rsidR="003F0342" w:rsidRPr="00E11754">
        <w:rPr>
          <w:rFonts w:ascii="Times New Roman" w:hAnsi="Times New Roman" w:cs="Times New Roman"/>
          <w:sz w:val="24"/>
          <w:szCs w:val="24"/>
        </w:rPr>
        <w:t xml:space="preserve"> utrudnia przebieg wielu procesów komórkowych</w:t>
      </w:r>
      <w:r w:rsidR="00807492" w:rsidRPr="00E11754">
        <w:rPr>
          <w:rFonts w:ascii="Times New Roman" w:hAnsi="Times New Roman" w:cs="Times New Roman"/>
          <w:sz w:val="24"/>
          <w:szCs w:val="24"/>
        </w:rPr>
        <w:t xml:space="preserve"> prowadząc</w:t>
      </w:r>
      <w:r w:rsidR="003F0342" w:rsidRPr="00E11754">
        <w:rPr>
          <w:rFonts w:ascii="Times New Roman" w:hAnsi="Times New Roman" w:cs="Times New Roman"/>
          <w:sz w:val="24"/>
          <w:szCs w:val="24"/>
        </w:rPr>
        <w:t xml:space="preserve"> w </w:t>
      </w:r>
      <w:r w:rsidR="00313D4E" w:rsidRPr="00E11754">
        <w:rPr>
          <w:rFonts w:ascii="Times New Roman" w:hAnsi="Times New Roman" w:cs="Times New Roman"/>
          <w:sz w:val="24"/>
          <w:szCs w:val="24"/>
        </w:rPr>
        <w:t xml:space="preserve">konsekwencji </w:t>
      </w:r>
      <w:r w:rsidR="00807492" w:rsidRPr="00E11754">
        <w:rPr>
          <w:rFonts w:ascii="Times New Roman" w:hAnsi="Times New Roman" w:cs="Times New Roman"/>
          <w:sz w:val="24"/>
          <w:szCs w:val="24"/>
        </w:rPr>
        <w:t xml:space="preserve">do zatrzymania </w:t>
      </w:r>
      <w:r w:rsidR="00313D4E" w:rsidRPr="00E11754">
        <w:rPr>
          <w:rFonts w:ascii="Times New Roman" w:hAnsi="Times New Roman" w:cs="Times New Roman"/>
          <w:sz w:val="24"/>
          <w:szCs w:val="24"/>
        </w:rPr>
        <w:t>cykl</w:t>
      </w:r>
      <w:r w:rsidR="00807492" w:rsidRPr="00E11754">
        <w:rPr>
          <w:rFonts w:ascii="Times New Roman" w:hAnsi="Times New Roman" w:cs="Times New Roman"/>
          <w:sz w:val="24"/>
          <w:szCs w:val="24"/>
        </w:rPr>
        <w:t>u</w:t>
      </w:r>
      <w:r w:rsidR="00313D4E" w:rsidRPr="00E11754">
        <w:rPr>
          <w:rFonts w:ascii="Times New Roman" w:hAnsi="Times New Roman" w:cs="Times New Roman"/>
          <w:sz w:val="24"/>
          <w:szCs w:val="24"/>
        </w:rPr>
        <w:t xml:space="preserve"> komórkow</w:t>
      </w:r>
      <w:r w:rsidR="00807492" w:rsidRPr="00E11754">
        <w:rPr>
          <w:rFonts w:ascii="Times New Roman" w:hAnsi="Times New Roman" w:cs="Times New Roman"/>
          <w:sz w:val="24"/>
          <w:szCs w:val="24"/>
        </w:rPr>
        <w:t>ego</w:t>
      </w:r>
      <w:r w:rsidR="00313D4E" w:rsidRPr="00E11754">
        <w:rPr>
          <w:rFonts w:ascii="Times New Roman" w:hAnsi="Times New Roman" w:cs="Times New Roman"/>
          <w:sz w:val="24"/>
          <w:szCs w:val="24"/>
        </w:rPr>
        <w:t xml:space="preserve"> w fazie G2/M i śmierci komórki. Ponadto, sugeruje się, że przy niskich stężeniach </w:t>
      </w:r>
      <w:proofErr w:type="spellStart"/>
      <w:r w:rsidR="00313D4E" w:rsidRPr="00E11754">
        <w:rPr>
          <w:rFonts w:ascii="Times New Roman" w:hAnsi="Times New Roman" w:cs="Times New Roman"/>
          <w:sz w:val="24"/>
          <w:szCs w:val="24"/>
        </w:rPr>
        <w:t>taksanów</w:t>
      </w:r>
      <w:proofErr w:type="spellEnd"/>
      <w:r w:rsidR="00313D4E" w:rsidRPr="00E11754">
        <w:rPr>
          <w:rFonts w:ascii="Times New Roman" w:hAnsi="Times New Roman" w:cs="Times New Roman"/>
          <w:sz w:val="24"/>
          <w:szCs w:val="24"/>
        </w:rPr>
        <w:t xml:space="preserve">, </w:t>
      </w:r>
      <w:r w:rsidR="003D3C14" w:rsidRPr="00E11754">
        <w:rPr>
          <w:rFonts w:ascii="Times New Roman" w:hAnsi="Times New Roman" w:cs="Times New Roman"/>
          <w:sz w:val="24"/>
          <w:szCs w:val="24"/>
        </w:rPr>
        <w:t>substancje te oddziałują</w:t>
      </w:r>
      <w:r w:rsidR="00313D4E" w:rsidRPr="00E11754">
        <w:rPr>
          <w:rFonts w:ascii="Times New Roman" w:hAnsi="Times New Roman" w:cs="Times New Roman"/>
          <w:sz w:val="24"/>
          <w:szCs w:val="24"/>
        </w:rPr>
        <w:t xml:space="preserve"> na </w:t>
      </w:r>
      <w:proofErr w:type="spellStart"/>
      <w:r w:rsidR="00313D4E" w:rsidRPr="00E11754">
        <w:rPr>
          <w:rFonts w:ascii="Times New Roman" w:hAnsi="Times New Roman" w:cs="Times New Roman"/>
          <w:sz w:val="24"/>
          <w:szCs w:val="24"/>
        </w:rPr>
        <w:t>endotelium</w:t>
      </w:r>
      <w:proofErr w:type="spellEnd"/>
      <w:r w:rsidR="003D3C14" w:rsidRPr="00E11754">
        <w:rPr>
          <w:rFonts w:ascii="Times New Roman" w:hAnsi="Times New Roman" w:cs="Times New Roman"/>
          <w:sz w:val="24"/>
          <w:szCs w:val="24"/>
        </w:rPr>
        <w:t>, co</w:t>
      </w:r>
      <w:r w:rsidR="00313D4E" w:rsidRPr="00E11754">
        <w:rPr>
          <w:rFonts w:ascii="Times New Roman" w:hAnsi="Times New Roman" w:cs="Times New Roman"/>
          <w:sz w:val="24"/>
          <w:szCs w:val="24"/>
        </w:rPr>
        <w:t xml:space="preserve"> powoduj</w:t>
      </w:r>
      <w:r w:rsidR="003D3C14" w:rsidRPr="00E11754">
        <w:rPr>
          <w:rFonts w:ascii="Times New Roman" w:hAnsi="Times New Roman" w:cs="Times New Roman"/>
          <w:sz w:val="24"/>
          <w:szCs w:val="24"/>
        </w:rPr>
        <w:t>e</w:t>
      </w:r>
      <w:r w:rsidR="00313D4E" w:rsidRPr="00E11754">
        <w:rPr>
          <w:rFonts w:ascii="Times New Roman" w:hAnsi="Times New Roman" w:cs="Times New Roman"/>
          <w:sz w:val="24"/>
          <w:szCs w:val="24"/>
        </w:rPr>
        <w:t xml:space="preserve"> zatrzymanie </w:t>
      </w:r>
      <w:proofErr w:type="spellStart"/>
      <w:r w:rsidR="00313D4E" w:rsidRPr="00E11754">
        <w:rPr>
          <w:rFonts w:ascii="Times New Roman" w:hAnsi="Times New Roman" w:cs="Times New Roman"/>
          <w:sz w:val="24"/>
          <w:szCs w:val="24"/>
        </w:rPr>
        <w:t>angiogenezy</w:t>
      </w:r>
      <w:proofErr w:type="spellEnd"/>
      <w:r w:rsidR="00313D4E" w:rsidRPr="00E11754">
        <w:rPr>
          <w:rFonts w:ascii="Times New Roman" w:hAnsi="Times New Roman" w:cs="Times New Roman"/>
          <w:sz w:val="24"/>
          <w:szCs w:val="24"/>
        </w:rPr>
        <w:t xml:space="preserve"> w obszarze </w:t>
      </w:r>
      <w:proofErr w:type="spellStart"/>
      <w:r w:rsidR="00313D4E" w:rsidRPr="00E11754">
        <w:rPr>
          <w:rFonts w:ascii="Times New Roman" w:hAnsi="Times New Roman" w:cs="Times New Roman"/>
          <w:sz w:val="24"/>
          <w:szCs w:val="24"/>
        </w:rPr>
        <w:t>nowotoworowym</w:t>
      </w:r>
      <w:proofErr w:type="spellEnd"/>
      <w:r w:rsidR="00A21159" w:rsidRPr="00E11754">
        <w:rPr>
          <w:rFonts w:ascii="Times New Roman" w:hAnsi="Times New Roman" w:cs="Times New Roman"/>
          <w:sz w:val="24"/>
          <w:szCs w:val="24"/>
        </w:rPr>
        <w:t>, a to dodatkowo wspomaga działanie przeci</w:t>
      </w:r>
      <w:r w:rsidR="0073176E" w:rsidRPr="00E11754">
        <w:rPr>
          <w:rFonts w:ascii="Times New Roman" w:hAnsi="Times New Roman" w:cs="Times New Roman"/>
          <w:sz w:val="24"/>
          <w:szCs w:val="24"/>
        </w:rPr>
        <w:t>w</w:t>
      </w:r>
      <w:r w:rsidR="00A21159" w:rsidRPr="00E11754">
        <w:rPr>
          <w:rFonts w:ascii="Times New Roman" w:hAnsi="Times New Roman" w:cs="Times New Roman"/>
          <w:sz w:val="24"/>
          <w:szCs w:val="24"/>
        </w:rPr>
        <w:t xml:space="preserve">nowotworowe </w:t>
      </w:r>
      <w:r w:rsidR="0073176E" w:rsidRPr="00E11754">
        <w:rPr>
          <w:rFonts w:ascii="Times New Roman" w:hAnsi="Times New Roman" w:cs="Times New Roman"/>
          <w:sz w:val="24"/>
          <w:szCs w:val="24"/>
        </w:rPr>
        <w:t xml:space="preserve">tych </w:t>
      </w:r>
      <w:r w:rsidR="00A21159" w:rsidRPr="00E11754">
        <w:rPr>
          <w:rFonts w:ascii="Times New Roman" w:hAnsi="Times New Roman" w:cs="Times New Roman"/>
          <w:sz w:val="24"/>
          <w:szCs w:val="24"/>
        </w:rPr>
        <w:t>lek</w:t>
      </w:r>
      <w:r w:rsidR="0073176E" w:rsidRPr="00E11754">
        <w:rPr>
          <w:rFonts w:ascii="Times New Roman" w:hAnsi="Times New Roman" w:cs="Times New Roman"/>
          <w:sz w:val="24"/>
          <w:szCs w:val="24"/>
        </w:rPr>
        <w:t>ów</w:t>
      </w:r>
      <w:r w:rsidR="00942D10" w:rsidRPr="00E11754">
        <w:rPr>
          <w:rFonts w:ascii="Times New Roman" w:hAnsi="Times New Roman" w:cs="Times New Roman"/>
          <w:color w:val="1C1C1B"/>
          <w:sz w:val="24"/>
          <w:szCs w:val="24"/>
        </w:rPr>
        <w:t>.</w:t>
      </w:r>
      <w:r w:rsidR="00C167A0" w:rsidRPr="00E11754">
        <w:rPr>
          <w:rFonts w:ascii="Times New Roman" w:hAnsi="Times New Roman" w:cs="Times New Roman"/>
          <w:color w:val="1C1C1B"/>
          <w:sz w:val="24"/>
          <w:szCs w:val="24"/>
        </w:rPr>
        <w:t xml:space="preserve"> </w:t>
      </w:r>
      <w:r w:rsidR="008B44B8" w:rsidRPr="00E11754">
        <w:rPr>
          <w:rFonts w:ascii="Times New Roman" w:hAnsi="Times New Roman" w:cs="Times New Roman"/>
          <w:sz w:val="24"/>
          <w:szCs w:val="24"/>
        </w:rPr>
        <w:t>Podobnie</w:t>
      </w:r>
      <w:r w:rsidR="00807492" w:rsidRPr="00E11754">
        <w:rPr>
          <w:rFonts w:ascii="Times New Roman" w:hAnsi="Times New Roman" w:cs="Times New Roman"/>
          <w:sz w:val="24"/>
          <w:szCs w:val="24"/>
        </w:rPr>
        <w:t>,</w:t>
      </w:r>
      <w:r w:rsidR="008B44B8" w:rsidRPr="00E11754">
        <w:rPr>
          <w:rFonts w:ascii="Times New Roman" w:hAnsi="Times New Roman" w:cs="Times New Roman"/>
          <w:sz w:val="24"/>
          <w:szCs w:val="24"/>
        </w:rPr>
        <w:t xml:space="preserve"> jak inne leki cytostatyczne, </w:t>
      </w:r>
      <w:proofErr w:type="spellStart"/>
      <w:r w:rsidR="008B44B8" w:rsidRPr="00E11754">
        <w:rPr>
          <w:rFonts w:ascii="Times New Roman" w:hAnsi="Times New Roman" w:cs="Times New Roman"/>
          <w:sz w:val="24"/>
          <w:szCs w:val="24"/>
        </w:rPr>
        <w:t>taksany</w:t>
      </w:r>
      <w:proofErr w:type="spellEnd"/>
      <w:r w:rsidR="008B44B8" w:rsidRPr="00E11754">
        <w:rPr>
          <w:rFonts w:ascii="Times New Roman" w:hAnsi="Times New Roman" w:cs="Times New Roman"/>
          <w:sz w:val="24"/>
          <w:szCs w:val="24"/>
        </w:rPr>
        <w:t xml:space="preserve"> powodują wiele działań niepożądanych</w:t>
      </w:r>
      <w:r w:rsidR="00807492" w:rsidRPr="00E11754">
        <w:rPr>
          <w:rFonts w:ascii="Times New Roman" w:hAnsi="Times New Roman" w:cs="Times New Roman"/>
          <w:sz w:val="24"/>
          <w:szCs w:val="24"/>
        </w:rPr>
        <w:t>, w tym</w:t>
      </w:r>
      <w:r w:rsidR="008B44B8" w:rsidRPr="00E11754">
        <w:rPr>
          <w:rFonts w:ascii="Times New Roman" w:hAnsi="Times New Roman" w:cs="Times New Roman"/>
          <w:sz w:val="24"/>
          <w:szCs w:val="24"/>
        </w:rPr>
        <w:t xml:space="preserve"> wymioty, biegunk</w:t>
      </w:r>
      <w:r w:rsidR="00807492" w:rsidRPr="00E11754">
        <w:rPr>
          <w:rFonts w:ascii="Times New Roman" w:hAnsi="Times New Roman" w:cs="Times New Roman"/>
          <w:sz w:val="24"/>
          <w:szCs w:val="24"/>
        </w:rPr>
        <w:t>ę czy</w:t>
      </w:r>
      <w:r w:rsidR="008B44B8" w:rsidRPr="00E11754">
        <w:rPr>
          <w:rFonts w:ascii="Times New Roman" w:hAnsi="Times New Roman" w:cs="Times New Roman"/>
          <w:sz w:val="24"/>
          <w:szCs w:val="24"/>
        </w:rPr>
        <w:t xml:space="preserve"> </w:t>
      </w:r>
      <w:proofErr w:type="spellStart"/>
      <w:r w:rsidR="008B44B8" w:rsidRPr="00E11754">
        <w:rPr>
          <w:rFonts w:ascii="Times New Roman" w:hAnsi="Times New Roman" w:cs="Times New Roman"/>
          <w:sz w:val="24"/>
          <w:szCs w:val="24"/>
        </w:rPr>
        <w:t>mielotoksyczność</w:t>
      </w:r>
      <w:proofErr w:type="spellEnd"/>
      <w:r w:rsidR="008B44B8" w:rsidRPr="00E11754">
        <w:rPr>
          <w:rFonts w:ascii="Times New Roman" w:hAnsi="Times New Roman" w:cs="Times New Roman"/>
          <w:sz w:val="24"/>
          <w:szCs w:val="24"/>
        </w:rPr>
        <w:t>. Jednak najczęściej wymieniany</w:t>
      </w:r>
      <w:r w:rsidR="00807492" w:rsidRPr="00E11754">
        <w:rPr>
          <w:rFonts w:ascii="Times New Roman" w:hAnsi="Times New Roman" w:cs="Times New Roman"/>
          <w:sz w:val="24"/>
          <w:szCs w:val="24"/>
        </w:rPr>
        <w:t>m</w:t>
      </w:r>
      <w:r w:rsidR="008B44B8" w:rsidRPr="00E11754">
        <w:rPr>
          <w:rFonts w:ascii="Times New Roman" w:hAnsi="Times New Roman" w:cs="Times New Roman"/>
          <w:sz w:val="24"/>
          <w:szCs w:val="24"/>
        </w:rPr>
        <w:t xml:space="preserve"> ogranicze</w:t>
      </w:r>
      <w:r w:rsidR="00807492" w:rsidRPr="00E11754">
        <w:rPr>
          <w:rFonts w:ascii="Times New Roman" w:hAnsi="Times New Roman" w:cs="Times New Roman"/>
          <w:sz w:val="24"/>
          <w:szCs w:val="24"/>
        </w:rPr>
        <w:t xml:space="preserve">niem </w:t>
      </w:r>
      <w:r w:rsidR="008B44B8" w:rsidRPr="00E11754">
        <w:rPr>
          <w:rFonts w:ascii="Times New Roman" w:hAnsi="Times New Roman" w:cs="Times New Roman"/>
          <w:sz w:val="24"/>
          <w:szCs w:val="24"/>
        </w:rPr>
        <w:t xml:space="preserve">jest </w:t>
      </w:r>
      <w:proofErr w:type="spellStart"/>
      <w:r w:rsidR="008B44B8" w:rsidRPr="00E11754">
        <w:rPr>
          <w:rFonts w:ascii="Times New Roman" w:hAnsi="Times New Roman" w:cs="Times New Roman"/>
          <w:sz w:val="24"/>
          <w:szCs w:val="24"/>
        </w:rPr>
        <w:t>neuropenia</w:t>
      </w:r>
      <w:proofErr w:type="spellEnd"/>
      <w:r w:rsidR="008B44B8" w:rsidRPr="00E11754">
        <w:rPr>
          <w:rFonts w:ascii="Times New Roman" w:hAnsi="Times New Roman" w:cs="Times New Roman"/>
          <w:sz w:val="24"/>
          <w:szCs w:val="24"/>
        </w:rPr>
        <w:t>.</w:t>
      </w:r>
    </w:p>
    <w:p w14:paraId="53A3D7E4" w14:textId="49C7C0A0" w:rsidR="00807492" w:rsidRPr="00E11754" w:rsidRDefault="2BA7FFDF">
      <w:pPr>
        <w:spacing w:line="360" w:lineRule="auto"/>
        <w:ind w:firstLine="708"/>
        <w:jc w:val="both"/>
        <w:rPr>
          <w:rFonts w:ascii="Times New Roman" w:hAnsi="Times New Roman" w:cs="Times New Roman"/>
          <w:sz w:val="24"/>
          <w:szCs w:val="24"/>
        </w:rPr>
      </w:pPr>
      <w:r w:rsidRPr="00E11754">
        <w:rPr>
          <w:rFonts w:ascii="Times New Roman" w:hAnsi="Times New Roman" w:cs="Times New Roman"/>
          <w:color w:val="1C1C1B"/>
          <w:sz w:val="24"/>
          <w:szCs w:val="24"/>
        </w:rPr>
        <w:t xml:space="preserve">Przedstawicielami </w:t>
      </w:r>
      <w:proofErr w:type="spellStart"/>
      <w:r w:rsidRPr="00E11754">
        <w:rPr>
          <w:rFonts w:ascii="Times New Roman" w:hAnsi="Times New Roman" w:cs="Times New Roman"/>
          <w:color w:val="1C1C1B"/>
          <w:sz w:val="24"/>
          <w:szCs w:val="24"/>
        </w:rPr>
        <w:t>taksanów</w:t>
      </w:r>
      <w:proofErr w:type="spellEnd"/>
      <w:r w:rsidRPr="00E11754">
        <w:rPr>
          <w:rFonts w:ascii="Times New Roman" w:hAnsi="Times New Roman" w:cs="Times New Roman"/>
          <w:color w:val="1C1C1B"/>
          <w:sz w:val="24"/>
          <w:szCs w:val="24"/>
        </w:rPr>
        <w:t xml:space="preserve"> </w:t>
      </w:r>
      <w:r w:rsidRPr="00E11754">
        <w:rPr>
          <w:rFonts w:ascii="Times New Roman" w:hAnsi="Times New Roman" w:cs="Times New Roman"/>
          <w:sz w:val="24"/>
          <w:szCs w:val="24"/>
        </w:rPr>
        <w:t xml:space="preserve">są </w:t>
      </w:r>
      <w:proofErr w:type="spellStart"/>
      <w:r w:rsidRPr="00E11754">
        <w:rPr>
          <w:rFonts w:ascii="Times New Roman" w:hAnsi="Times New Roman" w:cs="Times New Roman"/>
          <w:b/>
          <w:bCs/>
          <w:sz w:val="24"/>
          <w:szCs w:val="24"/>
        </w:rPr>
        <w:t>docetaksel</w:t>
      </w:r>
      <w:proofErr w:type="spellEnd"/>
      <w:r w:rsidRPr="00E11754">
        <w:rPr>
          <w:rFonts w:ascii="Times New Roman" w:hAnsi="Times New Roman" w:cs="Times New Roman"/>
          <w:sz w:val="24"/>
          <w:szCs w:val="24"/>
        </w:rPr>
        <w:t xml:space="preserve"> oraz </w:t>
      </w:r>
      <w:proofErr w:type="spellStart"/>
      <w:r w:rsidRPr="00E11754">
        <w:rPr>
          <w:rFonts w:ascii="Times New Roman" w:hAnsi="Times New Roman" w:cs="Times New Roman"/>
          <w:b/>
          <w:bCs/>
          <w:sz w:val="24"/>
          <w:szCs w:val="24"/>
        </w:rPr>
        <w:t>paklitaksel</w:t>
      </w:r>
      <w:proofErr w:type="spellEnd"/>
      <w:r w:rsidRPr="00E11754">
        <w:rPr>
          <w:rFonts w:ascii="Times New Roman" w:hAnsi="Times New Roman" w:cs="Times New Roman"/>
          <w:sz w:val="24"/>
          <w:szCs w:val="24"/>
        </w:rPr>
        <w:t xml:space="preserve">, których struktury chemiczne różnią się między sobą za sprawą odmiennych podstawników w pierścieniu </w:t>
      </w:r>
      <w:proofErr w:type="spellStart"/>
      <w:r w:rsidRPr="00E11754">
        <w:rPr>
          <w:rFonts w:ascii="Times New Roman" w:hAnsi="Times New Roman" w:cs="Times New Roman"/>
          <w:sz w:val="24"/>
          <w:szCs w:val="24"/>
        </w:rPr>
        <w:t>taksoidowym</w:t>
      </w:r>
      <w:proofErr w:type="spellEnd"/>
      <w:r w:rsidRPr="00E11754">
        <w:rPr>
          <w:rFonts w:ascii="Times New Roman" w:hAnsi="Times New Roman" w:cs="Times New Roman"/>
          <w:sz w:val="24"/>
          <w:szCs w:val="24"/>
        </w:rPr>
        <w:t xml:space="preserve"> oraz łańcuchu bocznym (</w:t>
      </w:r>
      <w:r w:rsidR="18D94345" w:rsidRPr="00E11754">
        <w:rPr>
          <w:rFonts w:ascii="Times New Roman" w:hAnsi="Times New Roman" w:cs="Times New Roman"/>
          <w:sz w:val="24"/>
          <w:szCs w:val="24"/>
        </w:rPr>
        <w:t>Ryc</w:t>
      </w:r>
      <w:r w:rsidRPr="00E11754">
        <w:rPr>
          <w:rFonts w:ascii="Times New Roman" w:hAnsi="Times New Roman" w:cs="Times New Roman"/>
          <w:sz w:val="24"/>
          <w:szCs w:val="24"/>
        </w:rPr>
        <w:t xml:space="preserve">. 2).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939"/>
      </w:tblGrid>
      <w:tr w:rsidR="00807492" w:rsidRPr="00E11754" w14:paraId="5C1C8493" w14:textId="77777777" w:rsidTr="2BA7FFDF">
        <w:tc>
          <w:tcPr>
            <w:tcW w:w="8777" w:type="dxa"/>
            <w:gridSpan w:val="2"/>
          </w:tcPr>
          <w:p w14:paraId="3AFECD73" w14:textId="77777777" w:rsidR="00807492" w:rsidRPr="00E11754" w:rsidRDefault="00807492" w:rsidP="008322D3">
            <w:pPr>
              <w:spacing w:line="360" w:lineRule="auto"/>
              <w:jc w:val="center"/>
              <w:rPr>
                <w:rFonts w:ascii="Times New Roman" w:hAnsi="Times New Roman" w:cs="Times New Roman"/>
                <w:sz w:val="24"/>
                <w:szCs w:val="24"/>
                <w:shd w:val="clear" w:color="auto" w:fill="FAFAFA"/>
              </w:rPr>
            </w:pPr>
            <w:r w:rsidRPr="00E11754">
              <w:rPr>
                <w:rFonts w:ascii="Times New Roman" w:hAnsi="Times New Roman" w:cs="Times New Roman"/>
                <w:noProof/>
                <w:sz w:val="24"/>
                <w:szCs w:val="24"/>
                <w:lang w:val="en-US"/>
              </w:rPr>
              <w:lastRenderedPageBreak/>
              <w:drawing>
                <wp:inline distT="0" distB="0" distL="0" distR="0" wp14:anchorId="0FDFE646" wp14:editId="1B91D2FD">
                  <wp:extent cx="4046220" cy="20630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93137" name=""/>
                          <pic:cNvPicPr/>
                        </pic:nvPicPr>
                        <pic:blipFill rotWithShape="1">
                          <a:blip r:embed="rId12"/>
                          <a:srcRect l="30317" t="29133" r="28167" b="33239"/>
                          <a:stretch/>
                        </pic:blipFill>
                        <pic:spPr bwMode="auto">
                          <a:xfrm>
                            <a:off x="0" y="0"/>
                            <a:ext cx="4061903" cy="2071036"/>
                          </a:xfrm>
                          <a:prstGeom prst="rect">
                            <a:avLst/>
                          </a:prstGeom>
                          <a:ln>
                            <a:noFill/>
                          </a:ln>
                          <a:extLst>
                            <a:ext uri="{53640926-AAD7-44D8-BBD7-CCE9431645EC}">
                              <a14:shadowObscured xmlns:a14="http://schemas.microsoft.com/office/drawing/2010/main"/>
                            </a:ext>
                          </a:extLst>
                        </pic:spPr>
                      </pic:pic>
                    </a:graphicData>
                  </a:graphic>
                </wp:inline>
              </w:drawing>
            </w:r>
          </w:p>
        </w:tc>
      </w:tr>
      <w:tr w:rsidR="00807492" w:rsidRPr="00E11754" w14:paraId="2C6F7984" w14:textId="77777777" w:rsidTr="2BA7FFDF">
        <w:tc>
          <w:tcPr>
            <w:tcW w:w="1838" w:type="dxa"/>
          </w:tcPr>
          <w:p w14:paraId="4D16E666" w14:textId="77777777" w:rsidR="00807492" w:rsidRPr="00E11754" w:rsidRDefault="00807492" w:rsidP="008322D3">
            <w:pPr>
              <w:spacing w:line="360" w:lineRule="auto"/>
              <w:jc w:val="center"/>
              <w:rPr>
                <w:rFonts w:ascii="Times New Roman" w:hAnsi="Times New Roman" w:cs="Times New Roman"/>
                <w:b/>
                <w:bCs/>
                <w:sz w:val="24"/>
                <w:szCs w:val="24"/>
                <w:shd w:val="clear" w:color="auto" w:fill="FAFAFA"/>
              </w:rPr>
            </w:pPr>
            <w:proofErr w:type="spellStart"/>
            <w:r w:rsidRPr="00E11754">
              <w:rPr>
                <w:rFonts w:ascii="Times New Roman" w:hAnsi="Times New Roman" w:cs="Times New Roman"/>
                <w:b/>
                <w:bCs/>
                <w:sz w:val="24"/>
                <w:szCs w:val="24"/>
                <w:shd w:val="clear" w:color="auto" w:fill="FAFAFA"/>
              </w:rPr>
              <w:t>Docetaksel</w:t>
            </w:r>
            <w:proofErr w:type="spellEnd"/>
          </w:p>
        </w:tc>
        <w:tc>
          <w:tcPr>
            <w:tcW w:w="6939" w:type="dxa"/>
          </w:tcPr>
          <w:p w14:paraId="0291BF95" w14:textId="77777777" w:rsidR="00807492" w:rsidRPr="00E11754" w:rsidRDefault="00807492" w:rsidP="008322D3">
            <w:pPr>
              <w:spacing w:line="360" w:lineRule="auto"/>
              <w:jc w:val="both"/>
              <w:rPr>
                <w:rFonts w:ascii="Times New Roman" w:hAnsi="Times New Roman" w:cs="Times New Roman"/>
                <w:sz w:val="24"/>
                <w:szCs w:val="24"/>
                <w:shd w:val="clear" w:color="auto" w:fill="FAFAFA"/>
              </w:rPr>
            </w:pPr>
            <w:r w:rsidRPr="00E11754">
              <w:rPr>
                <w:rFonts w:ascii="Times New Roman" w:hAnsi="Times New Roman" w:cs="Times New Roman"/>
                <w:b/>
                <w:bCs/>
                <w:sz w:val="24"/>
                <w:szCs w:val="24"/>
                <w:shd w:val="clear" w:color="auto" w:fill="FAFAFA"/>
              </w:rPr>
              <w:t>R1</w:t>
            </w:r>
            <w:r w:rsidRPr="00E11754">
              <w:rPr>
                <w:rFonts w:ascii="Times New Roman" w:hAnsi="Times New Roman" w:cs="Times New Roman"/>
                <w:sz w:val="24"/>
                <w:szCs w:val="24"/>
                <w:shd w:val="clear" w:color="auto" w:fill="FAFAFA"/>
              </w:rPr>
              <w:t xml:space="preserve">: </w:t>
            </w:r>
            <w:r w:rsidRPr="00E11754">
              <w:rPr>
                <w:rFonts w:ascii="Times New Roman" w:hAnsi="Times New Roman" w:cs="Times New Roman"/>
                <w:sz w:val="24"/>
                <w:szCs w:val="24"/>
              </w:rPr>
              <w:t>OC(CH</w:t>
            </w:r>
            <w:r w:rsidRPr="00E11754">
              <w:rPr>
                <w:rFonts w:ascii="Times New Roman" w:hAnsi="Times New Roman" w:cs="Times New Roman"/>
                <w:sz w:val="24"/>
                <w:szCs w:val="24"/>
                <w:vertAlign w:val="subscript"/>
              </w:rPr>
              <w:t>3</w:t>
            </w:r>
            <w:r w:rsidRPr="00E11754">
              <w:rPr>
                <w:rFonts w:ascii="Times New Roman" w:hAnsi="Times New Roman" w:cs="Times New Roman"/>
                <w:sz w:val="24"/>
                <w:szCs w:val="24"/>
              </w:rPr>
              <w:t>)</w:t>
            </w:r>
            <w:r w:rsidRPr="00E11754">
              <w:rPr>
                <w:rFonts w:ascii="Times New Roman" w:hAnsi="Times New Roman" w:cs="Times New Roman"/>
                <w:sz w:val="24"/>
                <w:szCs w:val="24"/>
                <w:vertAlign w:val="subscript"/>
              </w:rPr>
              <w:t>3</w:t>
            </w:r>
            <w:r w:rsidRPr="00E11754">
              <w:rPr>
                <w:rFonts w:ascii="Times New Roman" w:hAnsi="Times New Roman" w:cs="Times New Roman"/>
                <w:sz w:val="24"/>
                <w:szCs w:val="24"/>
                <w:shd w:val="clear" w:color="auto" w:fill="FAFAFA"/>
              </w:rPr>
              <w:t xml:space="preserve">       </w:t>
            </w:r>
            <w:r w:rsidRPr="00E11754">
              <w:rPr>
                <w:rFonts w:ascii="Times New Roman" w:hAnsi="Times New Roman" w:cs="Times New Roman"/>
                <w:b/>
                <w:bCs/>
                <w:sz w:val="24"/>
                <w:szCs w:val="24"/>
                <w:shd w:val="clear" w:color="auto" w:fill="FAFAFA"/>
              </w:rPr>
              <w:t>R2</w:t>
            </w:r>
            <w:r w:rsidRPr="00E11754">
              <w:rPr>
                <w:rFonts w:ascii="Times New Roman" w:hAnsi="Times New Roman" w:cs="Times New Roman"/>
                <w:sz w:val="24"/>
                <w:szCs w:val="24"/>
                <w:shd w:val="clear" w:color="auto" w:fill="FAFAFA"/>
              </w:rPr>
              <w:t>: H</w:t>
            </w:r>
          </w:p>
        </w:tc>
      </w:tr>
      <w:tr w:rsidR="00807492" w:rsidRPr="00E11754" w14:paraId="75293946" w14:textId="77777777" w:rsidTr="2BA7FFDF">
        <w:tc>
          <w:tcPr>
            <w:tcW w:w="1838" w:type="dxa"/>
          </w:tcPr>
          <w:p w14:paraId="4B95943F" w14:textId="77777777" w:rsidR="00807492" w:rsidRPr="00E11754" w:rsidRDefault="00807492" w:rsidP="008322D3">
            <w:pPr>
              <w:spacing w:line="360" w:lineRule="auto"/>
              <w:jc w:val="center"/>
              <w:rPr>
                <w:rFonts w:ascii="Times New Roman" w:hAnsi="Times New Roman" w:cs="Times New Roman"/>
                <w:b/>
                <w:bCs/>
                <w:sz w:val="24"/>
                <w:szCs w:val="24"/>
                <w:shd w:val="clear" w:color="auto" w:fill="FAFAFA"/>
              </w:rPr>
            </w:pPr>
            <w:proofErr w:type="spellStart"/>
            <w:r w:rsidRPr="00E11754">
              <w:rPr>
                <w:rFonts w:ascii="Times New Roman" w:hAnsi="Times New Roman" w:cs="Times New Roman"/>
                <w:b/>
                <w:bCs/>
                <w:sz w:val="24"/>
                <w:szCs w:val="24"/>
                <w:shd w:val="clear" w:color="auto" w:fill="FAFAFA"/>
              </w:rPr>
              <w:t>Paklitaksel</w:t>
            </w:r>
            <w:proofErr w:type="spellEnd"/>
          </w:p>
        </w:tc>
        <w:tc>
          <w:tcPr>
            <w:tcW w:w="6939" w:type="dxa"/>
          </w:tcPr>
          <w:p w14:paraId="446516D1" w14:textId="77777777" w:rsidR="00807492" w:rsidRPr="00E11754" w:rsidRDefault="00807492" w:rsidP="008322D3">
            <w:pPr>
              <w:spacing w:line="360" w:lineRule="auto"/>
              <w:jc w:val="both"/>
              <w:rPr>
                <w:rFonts w:ascii="Times New Roman" w:hAnsi="Times New Roman" w:cs="Times New Roman"/>
                <w:sz w:val="24"/>
                <w:szCs w:val="24"/>
              </w:rPr>
            </w:pPr>
            <w:r w:rsidRPr="00E11754">
              <w:rPr>
                <w:rFonts w:ascii="Times New Roman" w:hAnsi="Times New Roman" w:cs="Times New Roman"/>
                <w:b/>
                <w:bCs/>
                <w:sz w:val="24"/>
                <w:szCs w:val="24"/>
                <w:shd w:val="clear" w:color="auto" w:fill="FAFAFA"/>
              </w:rPr>
              <w:t>R1:</w:t>
            </w:r>
            <w:r w:rsidRPr="00E11754">
              <w:rPr>
                <w:rFonts w:ascii="Times New Roman" w:hAnsi="Times New Roman" w:cs="Times New Roman"/>
                <w:sz w:val="24"/>
                <w:szCs w:val="24"/>
                <w:shd w:val="clear" w:color="auto" w:fill="FAFAFA"/>
              </w:rPr>
              <w:t xml:space="preserve"> </w:t>
            </w:r>
            <w:r w:rsidRPr="00E11754">
              <w:rPr>
                <w:rFonts w:ascii="Times New Roman" w:hAnsi="Times New Roman" w:cs="Times New Roman"/>
                <w:sz w:val="24"/>
                <w:szCs w:val="24"/>
              </w:rPr>
              <w:t>C</w:t>
            </w:r>
            <w:r w:rsidRPr="00E11754">
              <w:rPr>
                <w:rFonts w:ascii="Times New Roman" w:hAnsi="Times New Roman" w:cs="Times New Roman"/>
                <w:sz w:val="24"/>
                <w:szCs w:val="24"/>
                <w:vertAlign w:val="subscript"/>
              </w:rPr>
              <w:t>5</w:t>
            </w:r>
            <w:r w:rsidRPr="00E11754">
              <w:rPr>
                <w:rFonts w:ascii="Times New Roman" w:hAnsi="Times New Roman" w:cs="Times New Roman"/>
                <w:sz w:val="24"/>
                <w:szCs w:val="24"/>
              </w:rPr>
              <w:t>H</w:t>
            </w:r>
            <w:r w:rsidRPr="00E11754">
              <w:rPr>
                <w:rFonts w:ascii="Times New Roman" w:hAnsi="Times New Roman" w:cs="Times New Roman"/>
                <w:sz w:val="24"/>
                <w:szCs w:val="24"/>
                <w:vertAlign w:val="subscript"/>
              </w:rPr>
              <w:t>5</w:t>
            </w:r>
            <w:r w:rsidRPr="00E11754">
              <w:rPr>
                <w:rFonts w:ascii="Times New Roman" w:hAnsi="Times New Roman" w:cs="Times New Roman"/>
                <w:sz w:val="24"/>
                <w:szCs w:val="24"/>
              </w:rPr>
              <w:t xml:space="preserve">               </w:t>
            </w:r>
            <w:r w:rsidRPr="00E11754">
              <w:rPr>
                <w:rFonts w:ascii="Times New Roman" w:hAnsi="Times New Roman" w:cs="Times New Roman"/>
                <w:b/>
                <w:bCs/>
                <w:sz w:val="24"/>
                <w:szCs w:val="24"/>
                <w:shd w:val="clear" w:color="auto" w:fill="FAFAFA"/>
              </w:rPr>
              <w:t>R2</w:t>
            </w:r>
            <w:r w:rsidRPr="00E11754">
              <w:rPr>
                <w:rFonts w:ascii="Times New Roman" w:hAnsi="Times New Roman" w:cs="Times New Roman"/>
                <w:sz w:val="24"/>
                <w:szCs w:val="24"/>
                <w:shd w:val="clear" w:color="auto" w:fill="FAFAFA"/>
              </w:rPr>
              <w:t xml:space="preserve">: </w:t>
            </w:r>
            <w:r w:rsidRPr="00E11754">
              <w:rPr>
                <w:rFonts w:ascii="Times New Roman" w:hAnsi="Times New Roman" w:cs="Times New Roman"/>
                <w:sz w:val="24"/>
                <w:szCs w:val="24"/>
              </w:rPr>
              <w:t>COCH</w:t>
            </w:r>
            <w:r w:rsidRPr="00E11754">
              <w:rPr>
                <w:rFonts w:ascii="Times New Roman" w:hAnsi="Times New Roman" w:cs="Times New Roman"/>
                <w:sz w:val="24"/>
                <w:szCs w:val="24"/>
                <w:vertAlign w:val="subscript"/>
              </w:rPr>
              <w:t>3</w:t>
            </w:r>
          </w:p>
        </w:tc>
      </w:tr>
      <w:tr w:rsidR="00807492" w:rsidRPr="00E11754" w14:paraId="5F27AB34" w14:textId="77777777" w:rsidTr="2BA7FFDF">
        <w:tc>
          <w:tcPr>
            <w:tcW w:w="8777" w:type="dxa"/>
            <w:gridSpan w:val="2"/>
          </w:tcPr>
          <w:p w14:paraId="49871B1B" w14:textId="0627B6BE" w:rsidR="00807492" w:rsidRPr="00E11754" w:rsidRDefault="00807492" w:rsidP="008322D3">
            <w:pPr>
              <w:spacing w:line="360" w:lineRule="auto"/>
              <w:jc w:val="center"/>
              <w:rPr>
                <w:rFonts w:ascii="Times New Roman" w:hAnsi="Times New Roman" w:cs="Times New Roman"/>
                <w:sz w:val="24"/>
                <w:szCs w:val="24"/>
                <w:shd w:val="clear" w:color="auto" w:fill="FAFAFA"/>
              </w:rPr>
            </w:pPr>
            <w:r w:rsidRPr="00E11754">
              <w:rPr>
                <w:rFonts w:ascii="Times New Roman" w:hAnsi="Times New Roman" w:cs="Times New Roman"/>
                <w:b/>
                <w:i/>
                <w:sz w:val="24"/>
                <w:szCs w:val="24"/>
                <w:shd w:val="clear" w:color="auto" w:fill="FAFAFA"/>
              </w:rPr>
              <w:t>Ryc. 2.</w:t>
            </w:r>
            <w:r w:rsidRPr="00E11754">
              <w:rPr>
                <w:rFonts w:ascii="Times New Roman" w:hAnsi="Times New Roman" w:cs="Times New Roman"/>
                <w:i/>
                <w:sz w:val="24"/>
                <w:szCs w:val="24"/>
                <w:shd w:val="clear" w:color="auto" w:fill="FAFAFA"/>
              </w:rPr>
              <w:t xml:space="preserve"> Struktura chemiczna wybranych </w:t>
            </w:r>
            <w:proofErr w:type="spellStart"/>
            <w:r w:rsidRPr="00E11754">
              <w:rPr>
                <w:rFonts w:ascii="Times New Roman" w:hAnsi="Times New Roman" w:cs="Times New Roman"/>
                <w:i/>
                <w:sz w:val="24"/>
                <w:szCs w:val="24"/>
                <w:shd w:val="clear" w:color="auto" w:fill="FAFAFA"/>
              </w:rPr>
              <w:t>taksanów</w:t>
            </w:r>
            <w:proofErr w:type="spellEnd"/>
            <w:r w:rsidRPr="00E11754">
              <w:rPr>
                <w:rFonts w:ascii="Times New Roman" w:hAnsi="Times New Roman" w:cs="Times New Roman"/>
                <w:i/>
                <w:sz w:val="24"/>
                <w:szCs w:val="24"/>
                <w:shd w:val="clear" w:color="auto" w:fill="FAFAFA"/>
              </w:rPr>
              <w:t xml:space="preserve"> </w:t>
            </w:r>
            <w:r w:rsidRPr="00E11754">
              <w:rPr>
                <w:rFonts w:ascii="Times New Roman" w:hAnsi="Times New Roman" w:cs="Times New Roman"/>
                <w:sz w:val="24"/>
                <w:szCs w:val="24"/>
                <w:shd w:val="clear" w:color="auto" w:fill="FAFAFA"/>
              </w:rPr>
              <w:fldChar w:fldCharType="begin" w:fldLock="1"/>
            </w:r>
            <w:r w:rsidR="00794BBE">
              <w:rPr>
                <w:rFonts w:ascii="Times New Roman" w:hAnsi="Times New Roman" w:cs="Times New Roman"/>
                <w:sz w:val="24"/>
                <w:szCs w:val="24"/>
                <w:shd w:val="clear" w:color="auto" w:fill="FAFAFA"/>
              </w:rPr>
              <w:instrText>ADDIN CSL_CITATION {"citationItems":[{"id":"ITEM-1","itemData":{"abstract":"Paklitaksel jest lekiem nowej generacji, wyizolowanym pierwot- nie z kory cisu krótkolistnego Ta- xus brevifolia, obecnie wytwarza- nym na drodze pó³syntetycznej z igie³ cisu europejskiego Taxus baccata [1]. Docetaksel, drugi z powszechnie stosowanych tak- sanów jest pó³syntetyczn¹ po- chodn¹ 10-deacetylobakatyny III, zwi¹zku uzyskiwanego z igie³ tej samej roœliny [2]. Taksany s¹ bar- dzo wa¿nymi lekami, wprowadzo- nymi do lecznictwa w latach 90., o ugruntowanej pozycji w lecze- niu nowotworów z³oœliwych, szcze- gólnie aktywnymi w chemioterapii raka jajnika, raka piersi, niedrob- nokomórkowego raka p³uca, no- wotworach g³owy i szyi [3–7]. G³ówny mechanizm dzia³ania przeciwnowotworowego wynika z wp³ywu na mikrotubule poprzez zwiêkszanie polimeryzacji tubuliny i hamowanie depolimeryzacji mi- krotubuli. Ponadto w postulowa- nych mechanizmach opisywane jest oddzia³ywanie taksanów na bia³ka towarzysz¹ce mikrotubulom (MAPs) oraz bia³ka cyklu komór- kowego. Pomimo podobieñstw w budo- wie chemicznej taksanów i mecha- nizmach dzia³ania zaobserwowano ma³e ró¿nice w profilu aktywnoœci pomiêdzy tymi lekami [8, 9], a tak¿e odmiennoœci w mechani- zmach opornoœci oraz chemiow- ra¿liwoœci komórek nowotworowych wobec tych taksanów. Niektóre li- nie komórkowe nowotworów z³oœli- wych, które s¹ oporne na paklitak- sel nie wykazuj¹ opornoœci w sto- sunku do docetakselu i odwrotnie – komórki oporne na docetaksel nie s¹ jednoczeœnie oporne na paklitaksel [10]. Obserwowane ró¿- nice stanowi¹ zachêtê do prowa- dzenia badañ klinicznych nad sto- sowaniem jednego taksanu u gru- py pacjentów ze stwierdzan¹ opornoœci¹ na drugi lek.","author":[{"dropping-particle":"","family":"Bodnar","given":"Lubomir","non-dropping-particle":"","parse-names":false,"suffix":""},{"dropping-particle":"","family":"Wcisło","given":"Gabriel","non-dropping-particle":"","parse-names":false,"suffix":""},{"dropping-particle":"","family":"Miedzińska-maciejewska","given":"Magdalena","non-dropping-particle":"","parse-names":false,"suffix":""},{"dropping-particle":"","family":"Szczylik","given":"Cezary","non-dropping-particle":"","parse-names":false,"suffix":""}],"container-title":"Współczesna Onkologia","id":"ITEM-1","issue":"9","issued":{"date-parts":[["2004"]]},"page":"435-446","title":"Docetaksel i paklitaksel: porównanie ich budowy, farmakologii oraz mechanizmów oporności. Docetaxel and paclitaxel: comparison of their pharmacology and mechanisms of resistance","type":"article-journal","volume":"8"},"uris":["http://www.mendeley.com/documents/?uuid=fdd684ff-3f8d-4192-9e09-345fee8dae95"]}],"mendeley":{"formattedCitation":"[37]","plainTextFormattedCitation":"[37]","previouslyFormattedCitation":"[37]"},"properties":{"noteIndex":0},"schema":"https://github.com/citation-style-language/schema/raw/master/csl-citation.json"}</w:instrText>
            </w:r>
            <w:r w:rsidRPr="00E11754">
              <w:rPr>
                <w:rFonts w:ascii="Times New Roman" w:hAnsi="Times New Roman" w:cs="Times New Roman"/>
                <w:sz w:val="24"/>
                <w:szCs w:val="24"/>
                <w:shd w:val="clear" w:color="auto" w:fill="FAFAFA"/>
              </w:rPr>
              <w:fldChar w:fldCharType="separate"/>
            </w:r>
            <w:r w:rsidR="00625E87" w:rsidRPr="00625E87">
              <w:rPr>
                <w:rFonts w:ascii="Times New Roman" w:hAnsi="Times New Roman" w:cs="Times New Roman"/>
                <w:noProof/>
                <w:sz w:val="24"/>
                <w:szCs w:val="24"/>
                <w:shd w:val="clear" w:color="auto" w:fill="FAFAFA"/>
              </w:rPr>
              <w:t>[37]</w:t>
            </w:r>
            <w:r w:rsidRPr="00E11754">
              <w:rPr>
                <w:rFonts w:ascii="Times New Roman" w:hAnsi="Times New Roman" w:cs="Times New Roman"/>
                <w:sz w:val="24"/>
                <w:szCs w:val="24"/>
                <w:shd w:val="clear" w:color="auto" w:fill="FAFAFA"/>
              </w:rPr>
              <w:fldChar w:fldCharType="end"/>
            </w:r>
            <w:r w:rsidRPr="00E11754">
              <w:rPr>
                <w:rFonts w:ascii="Times New Roman" w:hAnsi="Times New Roman" w:cs="Times New Roman"/>
                <w:sz w:val="24"/>
                <w:szCs w:val="24"/>
                <w:shd w:val="clear" w:color="auto" w:fill="FAFAFA"/>
              </w:rPr>
              <w:t>.</w:t>
            </w:r>
          </w:p>
        </w:tc>
      </w:tr>
    </w:tbl>
    <w:p w14:paraId="7E0393B9" w14:textId="77777777" w:rsidR="00807492" w:rsidRPr="00E11754" w:rsidRDefault="00807492">
      <w:pPr>
        <w:spacing w:line="360" w:lineRule="auto"/>
        <w:ind w:firstLine="708"/>
        <w:jc w:val="both"/>
        <w:rPr>
          <w:rFonts w:ascii="Times New Roman" w:hAnsi="Times New Roman" w:cs="Times New Roman"/>
          <w:sz w:val="24"/>
          <w:szCs w:val="24"/>
        </w:rPr>
      </w:pPr>
    </w:p>
    <w:p w14:paraId="4EDE8122" w14:textId="7E340CB4" w:rsidR="00C07632" w:rsidRPr="00E11754" w:rsidRDefault="00C167A0" w:rsidP="00034AB0">
      <w:pPr>
        <w:spacing w:line="360" w:lineRule="auto"/>
        <w:jc w:val="both"/>
        <w:rPr>
          <w:rFonts w:ascii="Times New Roman" w:hAnsi="Times New Roman" w:cs="Times New Roman"/>
          <w:sz w:val="24"/>
          <w:szCs w:val="24"/>
          <w:shd w:val="clear" w:color="auto" w:fill="FAFAFA"/>
        </w:rPr>
      </w:pPr>
      <w:r w:rsidRPr="00E11754">
        <w:rPr>
          <w:rFonts w:ascii="Times New Roman" w:hAnsi="Times New Roman" w:cs="Times New Roman"/>
          <w:sz w:val="24"/>
          <w:szCs w:val="24"/>
        </w:rPr>
        <w:t>Jako pierwszy</w:t>
      </w:r>
      <w:r w:rsidR="005F70C6" w:rsidRPr="00E11754">
        <w:rPr>
          <w:rFonts w:ascii="Times New Roman" w:hAnsi="Times New Roman" w:cs="Times New Roman"/>
          <w:sz w:val="24"/>
          <w:szCs w:val="24"/>
        </w:rPr>
        <w:t xml:space="preserve"> </w:t>
      </w:r>
      <w:r w:rsidR="00807492" w:rsidRPr="00E11754">
        <w:rPr>
          <w:rFonts w:ascii="Times New Roman" w:hAnsi="Times New Roman" w:cs="Times New Roman"/>
          <w:sz w:val="24"/>
          <w:szCs w:val="24"/>
        </w:rPr>
        <w:t xml:space="preserve">odkryto </w:t>
      </w:r>
      <w:proofErr w:type="spellStart"/>
      <w:r w:rsidR="00807492" w:rsidRPr="00E11754">
        <w:rPr>
          <w:rFonts w:ascii="Times New Roman" w:hAnsi="Times New Roman" w:cs="Times New Roman"/>
          <w:sz w:val="24"/>
          <w:szCs w:val="24"/>
        </w:rPr>
        <w:t>paklitaksel</w:t>
      </w:r>
      <w:proofErr w:type="spellEnd"/>
      <w:r w:rsidR="00807492" w:rsidRPr="00E11754">
        <w:rPr>
          <w:rFonts w:ascii="Times New Roman" w:hAnsi="Times New Roman" w:cs="Times New Roman"/>
          <w:sz w:val="24"/>
          <w:szCs w:val="24"/>
        </w:rPr>
        <w:t>, który to został wy</w:t>
      </w:r>
      <w:r w:rsidRPr="00E11754">
        <w:rPr>
          <w:rFonts w:ascii="Times New Roman" w:hAnsi="Times New Roman" w:cs="Times New Roman"/>
          <w:sz w:val="24"/>
          <w:szCs w:val="24"/>
        </w:rPr>
        <w:t>izol</w:t>
      </w:r>
      <w:r w:rsidR="00807492" w:rsidRPr="00E11754">
        <w:rPr>
          <w:rFonts w:ascii="Times New Roman" w:hAnsi="Times New Roman" w:cs="Times New Roman"/>
          <w:sz w:val="24"/>
          <w:szCs w:val="24"/>
        </w:rPr>
        <w:t>owany</w:t>
      </w:r>
      <w:r w:rsidRPr="00E11754">
        <w:rPr>
          <w:rFonts w:ascii="Times New Roman" w:hAnsi="Times New Roman" w:cs="Times New Roman"/>
          <w:sz w:val="24"/>
          <w:szCs w:val="24"/>
        </w:rPr>
        <w:t xml:space="preserve"> z kory cisu </w:t>
      </w:r>
      <w:proofErr w:type="spellStart"/>
      <w:r w:rsidRPr="00E11754">
        <w:rPr>
          <w:rFonts w:ascii="Times New Roman" w:hAnsi="Times New Roman" w:cs="Times New Roman"/>
          <w:sz w:val="24"/>
          <w:szCs w:val="24"/>
        </w:rPr>
        <w:t>krótkolistnego</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i/>
          <w:iCs/>
          <w:sz w:val="24"/>
          <w:szCs w:val="24"/>
        </w:rPr>
        <w:t>Taxus</w:t>
      </w:r>
      <w:proofErr w:type="spellEnd"/>
      <w:r w:rsidRPr="00E11754">
        <w:rPr>
          <w:rFonts w:ascii="Times New Roman" w:hAnsi="Times New Roman" w:cs="Times New Roman"/>
          <w:i/>
          <w:iCs/>
          <w:sz w:val="24"/>
          <w:szCs w:val="24"/>
        </w:rPr>
        <w:t xml:space="preserve"> </w:t>
      </w:r>
      <w:proofErr w:type="spellStart"/>
      <w:r w:rsidRPr="00E11754">
        <w:rPr>
          <w:rFonts w:ascii="Times New Roman" w:hAnsi="Times New Roman" w:cs="Times New Roman"/>
          <w:i/>
          <w:iCs/>
          <w:sz w:val="24"/>
          <w:szCs w:val="24"/>
        </w:rPr>
        <w:t>brevifolia</w:t>
      </w:r>
      <w:proofErr w:type="spellEnd"/>
      <w:r w:rsidRPr="00E11754">
        <w:rPr>
          <w:rFonts w:ascii="Times New Roman" w:hAnsi="Times New Roman" w:cs="Times New Roman"/>
          <w:i/>
          <w:iCs/>
          <w:sz w:val="24"/>
          <w:szCs w:val="24"/>
        </w:rPr>
        <w:t xml:space="preserve">, </w:t>
      </w:r>
      <w:r w:rsidR="00C07632" w:rsidRPr="00E11754">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{"citationItems":[{"id":"ITEM-1","itemData":{"ISSN":"00325449","PMID":"21109709","abstract":"Docetaxel (Taxotere), a new semisynthetic taxoid, is a mitotic inhibitor, widely used in monotherapy or in combination with other anticancer drugs against many types of cancer. The structure and dynamics of microtubules as the main target for docetaxel activity inside the cell and the taxane-binding site on β-tubulin are discussed. Microtubules are highly dynamic assemblies of α-and β-tubulin. They readily polymerize and depolymerize in cells and these dynamic behaviours are crucial to cell mitosis. Microtubule instability is attributed to their capability to hydrolyze GTP to GDP, which causes their depolymerization. Addition of new α-,β-tubulin heterodimer bound to GTP leads to tubulin polymerization, which increases the length of the microtubule. Docetaxel alters the polymerization dynamics of microtubules, which causes blockage of cell mitosis, and consequently induces apoptotic and non-apoptotic cell death. Docetaxel specifically acts on the S, M and G2 phases of the cell cycle. This paper reviews the current state of knowledge related to the molecular mechanisms of docetaxel action on the cell cycle and microtubule dynamics. In addition, a brief survey of the present state of research on the new generation (2nd and 3rd) of taxanes is presented.","author":[{"dropping-particle":"","family":"Tabaczar","given":"Sabina","non-dropping-particle":"","parse-names":false,"suffix":""},{"dropping-particle":"","family":"Koceva-Chył","given":"Aneta","non-dropping-particle":"","parse-names":false,"suffix":""},{"dropping-particle":"","family":"Matczak","given":"Karolina","non-dropping-particle":"","parse-names":false,"suffix":""},{"dropping-particle":"","family":"Gwoździński","given":"Krzysztof","non-dropping-particle":"","parse-names":false,"suffix":""}],"container-title":"Postepy Higieny i Medycyny Doswiadczalnej","id":"ITEM-1","issued":{"date-parts":[["2010"]]},"page":"568-581","title":"Molekularne mechanizmy aktywności przeciwnowotworowej taksanów. I. Oddziaływanie docetakselu na mikrotubule","type":"article-journal","volume":"64"},"uris":["http://www.mendeley.com/documents/?uuid=76996a82-9022-4dce-a778-22eba01d456d"]}],"mendeley":{"formattedCitation":"[38]","plainTextFormattedCitation":"[38]","previouslyFormattedCitation":"[38]"},"properties":{"noteIndex":0},"schema":"https://github.com/citation-style-language/schema/raw/master/csl-citation.json"}</w:instrText>
      </w:r>
      <w:r w:rsidR="00C07632" w:rsidRPr="00E11754">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[38]</w:t>
      </w:r>
      <w:r w:rsidR="00C07632" w:rsidRPr="00E11754">
        <w:rPr>
          <w:rFonts w:ascii="Times New Roman" w:hAnsi="Times New Roman" w:cs="Times New Roman"/>
          <w:sz w:val="24"/>
          <w:szCs w:val="24"/>
        </w:rPr>
        <w:fldChar w:fldCharType="end"/>
      </w:r>
      <w:r w:rsidRPr="00E11754">
        <w:rPr>
          <w:rFonts w:ascii="Times New Roman" w:hAnsi="Times New Roman" w:cs="Times New Roman"/>
          <w:sz w:val="24"/>
          <w:szCs w:val="24"/>
        </w:rPr>
        <w:t>. Obecnie oba leki, z</w:t>
      </w:r>
      <w:r w:rsidR="002B7738" w:rsidRPr="00E11754">
        <w:rPr>
          <w:rFonts w:ascii="Times New Roman" w:hAnsi="Times New Roman" w:cs="Times New Roman"/>
          <w:sz w:val="24"/>
          <w:szCs w:val="24"/>
        </w:rPr>
        <w:t>a</w:t>
      </w:r>
      <w:r w:rsidRPr="00E11754">
        <w:rPr>
          <w:rFonts w:ascii="Times New Roman" w:hAnsi="Times New Roman" w:cs="Times New Roman"/>
          <w:sz w:val="24"/>
          <w:szCs w:val="24"/>
        </w:rPr>
        <w:t xml:space="preserve">równo </w:t>
      </w:r>
      <w:proofErr w:type="spellStart"/>
      <w:r w:rsidRPr="00E11754">
        <w:rPr>
          <w:rFonts w:ascii="Times New Roman" w:hAnsi="Times New Roman" w:cs="Times New Roman"/>
          <w:sz w:val="24"/>
          <w:szCs w:val="24"/>
        </w:rPr>
        <w:t>paklitaksel</w:t>
      </w:r>
      <w:proofErr w:type="spellEnd"/>
      <w:r w:rsidRPr="00E11754">
        <w:rPr>
          <w:rFonts w:ascii="Times New Roman" w:hAnsi="Times New Roman" w:cs="Times New Roman"/>
          <w:sz w:val="24"/>
          <w:szCs w:val="24"/>
        </w:rPr>
        <w:t xml:space="preserve"> jak i </w:t>
      </w:r>
      <w:proofErr w:type="spellStart"/>
      <w:r w:rsidRPr="00E11754">
        <w:rPr>
          <w:rFonts w:ascii="Times New Roman" w:hAnsi="Times New Roman" w:cs="Times New Roman"/>
          <w:sz w:val="24"/>
          <w:szCs w:val="24"/>
        </w:rPr>
        <w:t>docetaksel</w:t>
      </w:r>
      <w:proofErr w:type="spellEnd"/>
      <w:r w:rsidRPr="00E11754">
        <w:rPr>
          <w:rFonts w:ascii="Times New Roman" w:hAnsi="Times New Roman" w:cs="Times New Roman"/>
          <w:sz w:val="24"/>
          <w:szCs w:val="24"/>
        </w:rPr>
        <w:t xml:space="preserve">, otrzymuje się z półsyntetycznej pochodnej substancji o nazwie 10-deacetylobakatyny III, która pochodzi z drzewa cisu pospolitego </w:t>
      </w:r>
      <w:proofErr w:type="spellStart"/>
      <w:r w:rsidRPr="00E11754">
        <w:rPr>
          <w:rFonts w:ascii="Times New Roman" w:hAnsi="Times New Roman" w:cs="Times New Roman"/>
          <w:i/>
          <w:iCs/>
          <w:sz w:val="24"/>
          <w:szCs w:val="24"/>
        </w:rPr>
        <w:t>Taxus</w:t>
      </w:r>
      <w:proofErr w:type="spellEnd"/>
      <w:r w:rsidRPr="00E11754">
        <w:rPr>
          <w:rFonts w:ascii="Times New Roman" w:hAnsi="Times New Roman" w:cs="Times New Roman"/>
          <w:i/>
          <w:iCs/>
          <w:sz w:val="24"/>
          <w:szCs w:val="24"/>
        </w:rPr>
        <w:t xml:space="preserve"> </w:t>
      </w:r>
      <w:proofErr w:type="spellStart"/>
      <w:r w:rsidRPr="00E11754">
        <w:rPr>
          <w:rFonts w:ascii="Times New Roman" w:hAnsi="Times New Roman" w:cs="Times New Roman"/>
          <w:i/>
          <w:iCs/>
          <w:sz w:val="24"/>
          <w:szCs w:val="24"/>
        </w:rPr>
        <w:t>baccata</w:t>
      </w:r>
      <w:proofErr w:type="spellEnd"/>
      <w:r w:rsidR="005B2988" w:rsidRPr="00E11754">
        <w:rPr>
          <w:rFonts w:ascii="Times New Roman" w:hAnsi="Times New Roman" w:cs="Times New Roman"/>
          <w:sz w:val="24"/>
          <w:szCs w:val="24"/>
        </w:rPr>
        <w:t>.</w:t>
      </w:r>
      <w:r w:rsidR="00582C9B" w:rsidRPr="00E11754">
        <w:rPr>
          <w:rFonts w:ascii="Times New Roman" w:hAnsi="Times New Roman" w:cs="Times New Roman"/>
          <w:sz w:val="24"/>
          <w:szCs w:val="24"/>
        </w:rPr>
        <w:t xml:space="preserve"> </w:t>
      </w:r>
      <w:r w:rsidR="008B7953" w:rsidRPr="00E11754">
        <w:rPr>
          <w:rFonts w:ascii="Times New Roman" w:hAnsi="Times New Roman" w:cs="Times New Roman"/>
          <w:sz w:val="24"/>
          <w:szCs w:val="24"/>
        </w:rPr>
        <w:t>W onkologii</w:t>
      </w:r>
      <w:r w:rsidR="008B7953" w:rsidRPr="00E11754">
        <w:rPr>
          <w:rFonts w:ascii="Times New Roman" w:hAnsi="Times New Roman" w:cs="Times New Roman"/>
          <w:i/>
          <w:iCs/>
          <w:sz w:val="24"/>
          <w:szCs w:val="24"/>
        </w:rPr>
        <w:t xml:space="preserve"> </w:t>
      </w:r>
      <w:proofErr w:type="spellStart"/>
      <w:r w:rsidR="008B7953" w:rsidRPr="00E11754">
        <w:rPr>
          <w:rFonts w:ascii="Times New Roman" w:hAnsi="Times New Roman" w:cs="Times New Roman"/>
          <w:sz w:val="24"/>
          <w:szCs w:val="24"/>
        </w:rPr>
        <w:t>docetaksel</w:t>
      </w:r>
      <w:proofErr w:type="spellEnd"/>
      <w:r w:rsidR="008B7953" w:rsidRPr="00E11754">
        <w:rPr>
          <w:rFonts w:ascii="Times New Roman" w:hAnsi="Times New Roman" w:cs="Times New Roman"/>
          <w:sz w:val="24"/>
          <w:szCs w:val="24"/>
        </w:rPr>
        <w:t xml:space="preserve"> </w:t>
      </w:r>
      <w:r w:rsidR="00CC4B38" w:rsidRPr="00E11754">
        <w:rPr>
          <w:rFonts w:ascii="Times New Roman" w:hAnsi="Times New Roman" w:cs="Times New Roman"/>
          <w:sz w:val="24"/>
          <w:szCs w:val="24"/>
        </w:rPr>
        <w:t xml:space="preserve">znany jest pod nazwą handlową </w:t>
      </w:r>
      <w:proofErr w:type="spellStart"/>
      <w:r w:rsidR="00CC4B38" w:rsidRPr="00E11754">
        <w:rPr>
          <w:rFonts w:ascii="Times New Roman" w:hAnsi="Times New Roman" w:cs="Times New Roman"/>
          <w:i/>
          <w:iCs/>
          <w:sz w:val="24"/>
          <w:szCs w:val="24"/>
        </w:rPr>
        <w:t>Taxotere</w:t>
      </w:r>
      <w:proofErr w:type="spellEnd"/>
      <w:r w:rsidR="00D34787" w:rsidRPr="00E11754">
        <w:rPr>
          <w:rFonts w:ascii="Times New Roman" w:hAnsi="Times New Roman" w:cs="Times New Roman"/>
          <w:sz w:val="24"/>
          <w:szCs w:val="24"/>
        </w:rPr>
        <w:t xml:space="preserve"> </w:t>
      </w:r>
      <w:r w:rsidR="00D34787" w:rsidRPr="00E11754">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DOI":"10.26444/ms/138611","ISSN":"1505-7054","author":[{"dropping-particle":"","family":"Bąk","given":"Weronika","non-dropping-particle":"","parse-names":false,"suffix":""},{"dropping-particle":"","family":"Cabaj","given":"Justyna","non-dropping-particle":"","parse-names":false,"suffix":""},{"dropping-particle":"","family":"Wróblewska-Łuczka","given":"Paula","non-dropping-particle":"","parse-names":false,"suffix":""}],"container-title":"Environmental Medicine","id":"ITEM-1","issue":"1-4","issued":{"date-parts":[["2021"]]},"page":"9-17","title":"Antitumour effects of taxanes with particular emphasis on their use in the treatment of melanoma","type":"article-journal","volume":"23"},"uris":["http://www.mendeley.com/documents/?uuid=20a01fcc-77e2-4050-8b8e-de4937489467"]}],"mendeley":{"formattedCitation":"[39]","plainTextFormattedCitation":"[39]","previouslyFormattedCitation":"[39]"},"properties":{"noteIndex":0},"schema":"https://github.com/citation-style-language/schema/raw/master/csl-citation.json"}</w:instrText>
      </w:r>
      <w:r w:rsidR="00D34787" w:rsidRPr="00E11754">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[39]</w:t>
      </w:r>
      <w:r w:rsidR="00D34787" w:rsidRPr="00E11754">
        <w:rPr>
          <w:rFonts w:ascii="Times New Roman" w:hAnsi="Times New Roman" w:cs="Times New Roman"/>
          <w:sz w:val="24"/>
          <w:szCs w:val="24"/>
        </w:rPr>
        <w:fldChar w:fldCharType="end"/>
      </w:r>
      <w:r w:rsidR="00B362C2" w:rsidRPr="00E11754">
        <w:rPr>
          <w:rFonts w:ascii="Times New Roman" w:hAnsi="Times New Roman" w:cs="Times New Roman"/>
          <w:sz w:val="24"/>
          <w:szCs w:val="24"/>
        </w:rPr>
        <w:t>.</w:t>
      </w:r>
      <w:r w:rsidR="00CC4B38" w:rsidRPr="00E11754">
        <w:rPr>
          <w:rFonts w:ascii="Times New Roman" w:hAnsi="Times New Roman" w:cs="Times New Roman"/>
          <w:sz w:val="24"/>
          <w:szCs w:val="24"/>
        </w:rPr>
        <w:t xml:space="preserve"> </w:t>
      </w:r>
      <w:r w:rsidR="00A3354B" w:rsidRPr="00E11754">
        <w:rPr>
          <w:rFonts w:ascii="Times New Roman" w:hAnsi="Times New Roman" w:cs="Times New Roman"/>
          <w:sz w:val="24"/>
          <w:szCs w:val="24"/>
        </w:rPr>
        <w:t>Lek ten w</w:t>
      </w:r>
      <w:r w:rsidR="00810B12" w:rsidRPr="00E11754">
        <w:rPr>
          <w:rFonts w:ascii="Times New Roman" w:hAnsi="Times New Roman" w:cs="Times New Roman"/>
          <w:sz w:val="24"/>
          <w:szCs w:val="24"/>
        </w:rPr>
        <w:t>ykazuje</w:t>
      </w:r>
      <w:r w:rsidR="008B7953" w:rsidRPr="00E11754">
        <w:rPr>
          <w:rFonts w:ascii="Times New Roman" w:hAnsi="Times New Roman" w:cs="Times New Roman"/>
          <w:sz w:val="24"/>
          <w:szCs w:val="24"/>
        </w:rPr>
        <w:t xml:space="preserve"> </w:t>
      </w:r>
      <w:r w:rsidR="00E11027" w:rsidRPr="00E11754">
        <w:rPr>
          <w:rFonts w:ascii="Times New Roman" w:hAnsi="Times New Roman" w:cs="Times New Roman"/>
          <w:sz w:val="24"/>
          <w:szCs w:val="24"/>
        </w:rPr>
        <w:t>aktywność w leczeniu</w:t>
      </w:r>
      <w:r w:rsidR="008B7953" w:rsidRPr="00E11754">
        <w:rPr>
          <w:rFonts w:ascii="Times New Roman" w:hAnsi="Times New Roman" w:cs="Times New Roman"/>
          <w:sz w:val="24"/>
          <w:szCs w:val="24"/>
        </w:rPr>
        <w:t xml:space="preserve"> </w:t>
      </w:r>
      <w:r w:rsidR="005A7DDD" w:rsidRPr="00E11754">
        <w:rPr>
          <w:rFonts w:ascii="Times New Roman" w:hAnsi="Times New Roman" w:cs="Times New Roman"/>
          <w:sz w:val="24"/>
          <w:szCs w:val="24"/>
        </w:rPr>
        <w:t>rak</w:t>
      </w:r>
      <w:r w:rsidR="008B7953" w:rsidRPr="00E11754">
        <w:rPr>
          <w:rFonts w:ascii="Times New Roman" w:hAnsi="Times New Roman" w:cs="Times New Roman"/>
          <w:sz w:val="24"/>
          <w:szCs w:val="24"/>
        </w:rPr>
        <w:t>a</w:t>
      </w:r>
      <w:r w:rsidR="005A7DDD" w:rsidRPr="00E11754">
        <w:rPr>
          <w:rFonts w:ascii="Times New Roman" w:hAnsi="Times New Roman" w:cs="Times New Roman"/>
          <w:sz w:val="24"/>
          <w:szCs w:val="24"/>
        </w:rPr>
        <w:t xml:space="preserve"> piersi</w:t>
      </w:r>
      <w:r w:rsidR="00264BC9" w:rsidRPr="00E11754">
        <w:rPr>
          <w:rFonts w:ascii="Times New Roman" w:hAnsi="Times New Roman" w:cs="Times New Roman"/>
          <w:sz w:val="24"/>
          <w:szCs w:val="24"/>
          <w:shd w:val="clear" w:color="auto" w:fill="FAFAFA"/>
        </w:rPr>
        <w:t>,</w:t>
      </w:r>
      <w:r w:rsidR="008B7953" w:rsidRPr="00E11754">
        <w:rPr>
          <w:rFonts w:ascii="Times New Roman" w:hAnsi="Times New Roman" w:cs="Times New Roman"/>
          <w:sz w:val="24"/>
          <w:szCs w:val="24"/>
          <w:shd w:val="clear" w:color="auto" w:fill="FAFAFA"/>
        </w:rPr>
        <w:t xml:space="preserve"> żołądka, gruczołu krokowego, </w:t>
      </w:r>
      <w:proofErr w:type="spellStart"/>
      <w:r w:rsidR="008B7953" w:rsidRPr="00E11754">
        <w:rPr>
          <w:rFonts w:ascii="Times New Roman" w:hAnsi="Times New Roman" w:cs="Times New Roman"/>
          <w:sz w:val="24"/>
          <w:szCs w:val="24"/>
          <w:shd w:val="clear" w:color="auto" w:fill="FAFAFA"/>
        </w:rPr>
        <w:t>niedrobnokomórkowego</w:t>
      </w:r>
      <w:proofErr w:type="spellEnd"/>
      <w:r w:rsidR="008B7953" w:rsidRPr="00E11754">
        <w:rPr>
          <w:rFonts w:ascii="Times New Roman" w:hAnsi="Times New Roman" w:cs="Times New Roman"/>
          <w:sz w:val="24"/>
          <w:szCs w:val="24"/>
          <w:shd w:val="clear" w:color="auto" w:fill="FAFAFA"/>
        </w:rPr>
        <w:t xml:space="preserve"> </w:t>
      </w:r>
      <w:r w:rsidR="00264BC9" w:rsidRPr="00E11754">
        <w:rPr>
          <w:rFonts w:ascii="Times New Roman" w:hAnsi="Times New Roman" w:cs="Times New Roman"/>
          <w:sz w:val="24"/>
          <w:szCs w:val="24"/>
          <w:shd w:val="clear" w:color="auto" w:fill="FAFAFA"/>
        </w:rPr>
        <w:t>rak</w:t>
      </w:r>
      <w:r w:rsidR="00A3354B" w:rsidRPr="00E11754">
        <w:rPr>
          <w:rFonts w:ascii="Times New Roman" w:hAnsi="Times New Roman" w:cs="Times New Roman"/>
          <w:sz w:val="24"/>
          <w:szCs w:val="24"/>
          <w:shd w:val="clear" w:color="auto" w:fill="FAFAFA"/>
        </w:rPr>
        <w:t>a</w:t>
      </w:r>
      <w:r w:rsidR="00264BC9" w:rsidRPr="00E11754">
        <w:rPr>
          <w:rFonts w:ascii="Times New Roman" w:hAnsi="Times New Roman" w:cs="Times New Roman"/>
          <w:sz w:val="24"/>
          <w:szCs w:val="24"/>
          <w:shd w:val="clear" w:color="auto" w:fill="FAFAFA"/>
        </w:rPr>
        <w:t xml:space="preserve"> płuc</w:t>
      </w:r>
      <w:r w:rsidR="001E5F7B">
        <w:rPr>
          <w:rFonts w:ascii="Times New Roman" w:hAnsi="Times New Roman" w:cs="Times New Roman"/>
          <w:sz w:val="24"/>
          <w:szCs w:val="24"/>
          <w:shd w:val="clear" w:color="auto" w:fill="FAFAFA"/>
        </w:rPr>
        <w:t xml:space="preserve"> </w:t>
      </w:r>
      <w:r w:rsidR="001E5F7B">
        <w:rPr>
          <w:rFonts w:ascii="Times New Roman" w:hAnsi="Times New Roman" w:cs="Times New Roman"/>
          <w:sz w:val="24"/>
          <w:szCs w:val="24"/>
          <w:shd w:val="clear" w:color="auto" w:fill="FAFAFA"/>
        </w:rPr>
        <w:fldChar w:fldCharType="begin" w:fldLock="1"/>
      </w:r>
      <w:r w:rsidR="00794BBE">
        <w:rPr>
          <w:rFonts w:ascii="Times New Roman" w:hAnsi="Times New Roman" w:cs="Times New Roman"/>
          <w:sz w:val="24"/>
          <w:szCs w:val="24"/>
          <w:shd w:val="clear" w:color="auto" w:fill="FAFAFA"/>
        </w:rPr>
        <w:instrText>ADDIN CSL_CITATION {"citationItems":[{"id":"ITEM-1","itemData":{"DOI":"10.26444/ms/138611","ISSN":"1505-7054","author":[{"dropping-particle":"","family":"Bąk","given":"Weronika","non-dropping-particle":"","parse-names":false,"suffix":""},{"dropping-particle":"","family":"Cabaj","given":"Justyna","non-dropping-particle":"","parse-names":false,"suffix":""},{"dropping-particle":"","family":"Wróblewska-Łuczka","given":"Paula","non-dropping-particle":"","parse-names":false,"suffix":""}],"container-title":"Environmental Medicine","id":"ITEM-1","issue":"1-4","issued":{"date-parts":[["2021"]]},"page":"9-17","title":"Antitumour effects of taxanes with particular emphasis on their use in the treatment of melanoma","type":"article-journal","volume":"23"},"uris":["http://www.mendeley.com/documents/?uuid=20a01fcc-77e2-4050-8b8e-de4937489467"]}],"mendeley":{"formattedCitation":"[39]","plainTextFormattedCitation":"[39]","previouslyFormattedCitation":"[39]"},"properties":{"noteIndex":0},"schema":"https://github.com/citation-style-language/schema/raw/master/csl-citation.json"}</w:instrText>
      </w:r>
      <w:r w:rsidR="001E5F7B">
        <w:rPr>
          <w:rFonts w:ascii="Times New Roman" w:hAnsi="Times New Roman" w:cs="Times New Roman"/>
          <w:sz w:val="24"/>
          <w:szCs w:val="24"/>
          <w:shd w:val="clear" w:color="auto" w:fill="FAFAFA"/>
        </w:rPr>
        <w:fldChar w:fldCharType="separate"/>
      </w:r>
      <w:r w:rsidR="00625E87" w:rsidRPr="00625E87">
        <w:rPr>
          <w:rFonts w:ascii="Times New Roman" w:hAnsi="Times New Roman" w:cs="Times New Roman"/>
          <w:noProof/>
          <w:sz w:val="24"/>
          <w:szCs w:val="24"/>
          <w:shd w:val="clear" w:color="auto" w:fill="FAFAFA"/>
        </w:rPr>
        <w:t>[39]</w:t>
      </w:r>
      <w:r w:rsidR="001E5F7B">
        <w:rPr>
          <w:rFonts w:ascii="Times New Roman" w:hAnsi="Times New Roman" w:cs="Times New Roman"/>
          <w:sz w:val="24"/>
          <w:szCs w:val="24"/>
          <w:shd w:val="clear" w:color="auto" w:fill="FAFAFA"/>
        </w:rPr>
        <w:fldChar w:fldCharType="end"/>
      </w:r>
      <w:r w:rsidR="005A7DDD" w:rsidRPr="00E11754">
        <w:rPr>
          <w:rFonts w:ascii="Times New Roman" w:hAnsi="Times New Roman" w:cs="Times New Roman"/>
          <w:sz w:val="24"/>
          <w:szCs w:val="24"/>
        </w:rPr>
        <w:t>.</w:t>
      </w:r>
      <w:r w:rsidR="004B5C3F" w:rsidRPr="00E11754">
        <w:rPr>
          <w:rFonts w:ascii="Times New Roman" w:hAnsi="Times New Roman" w:cs="Times New Roman"/>
          <w:sz w:val="24"/>
          <w:szCs w:val="24"/>
        </w:rPr>
        <w:t xml:space="preserve"> Standardowe schematy leczenia obejmują dawkowanie 75 mg/m</w:t>
      </w:r>
      <w:r w:rsidR="004B5C3F" w:rsidRPr="00E11754">
        <w:rPr>
          <w:rFonts w:ascii="Times New Roman" w:hAnsi="Times New Roman" w:cs="Times New Roman"/>
          <w:sz w:val="24"/>
          <w:szCs w:val="24"/>
          <w:vertAlign w:val="superscript"/>
        </w:rPr>
        <w:t xml:space="preserve">2 </w:t>
      </w:r>
      <w:proofErr w:type="spellStart"/>
      <w:r w:rsidR="004B5C3F" w:rsidRPr="00E11754">
        <w:rPr>
          <w:rFonts w:ascii="Times New Roman" w:hAnsi="Times New Roman" w:cs="Times New Roman"/>
          <w:sz w:val="24"/>
          <w:szCs w:val="24"/>
        </w:rPr>
        <w:t>docetakselu</w:t>
      </w:r>
      <w:proofErr w:type="spellEnd"/>
      <w:r w:rsidR="004B5C3F" w:rsidRPr="00E11754">
        <w:rPr>
          <w:rFonts w:ascii="Times New Roman" w:hAnsi="Times New Roman" w:cs="Times New Roman"/>
          <w:sz w:val="24"/>
          <w:szCs w:val="24"/>
        </w:rPr>
        <w:t xml:space="preserve"> co trzy tygodnie w 1 godzinnym podaniu dożylnym </w:t>
      </w:r>
      <w:r w:rsidR="00FA1306">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{"citationItems":[{"id":"ITEM-1","itemData":{"DOI":"10.1016/j.clgc.2022.02.009","ISSN":"19380682","PMID":"35317987","abstract":"Introduction: Docetaxel 75 mg/m2 every 3 weeks is the standard schedule for metastatic prostate cancer (mPC). Alternative dosing of 50 mg/m2 every 2 weeks may be an option for frail patients. Our aim is to define which factors influence the choice of schedule and to compare the outcomes of both schedules in daily clinical practice. Patients and Methods: We retrospectively included patients with mPC treated with docetaxel in our institution. We compared data from patients treated with 3-weekly, 75 mg/m2 docetaxel or 2-weekly, 50 mg/m2 docetaxel, including basal characteristics, predefined prognostic factors, treatment received, toxicity and survival data. Results: We included 200 patients, 86% of whom presented castration resistant mPC. A total of 158 patients (79%) were treated with 3-weekly scheme. Compared with these patients, patients treated with 2-weekly scheme were significantly older, had higher Eastern Cooperative Oncology Group performance status (ECOG PS) and Charlson Comorbidity Index, presented more visceral metastases and needed opioid treatment more frequently. Patients treated with 2-weekly scheme presented shorter median overall survival; however, these differences were not shown after multivariate analysis with significant prognostic factors. Patients treated with 2-weekly scheme had more treatment delays and suspensions, but less clinically impairing toxicities such as febrile neutropenia, neuropathy and diarrhea; toxic deaths were 5 in the 3-weekly group while none in the 2-weekly group. Conclusion: Compared to docetaxel 75 mg/m2 every 3 weeks, dosing of 50 mg/m2 every 2 weeks may be an alternative for older, frailer and more comorbid patients. Two-weekly dosing may be used more frequently in selected patients.","author":[{"dropping-particle":"","family":"Martinez-Recio","given":"Sergio","non-dropping-particle":"","parse-names":false,"suffix":""},{"dropping-particle":"","family":"Perez-Wert","given":"Juan Pablo","non-dropping-particle":"","parse-names":false,"suffix":""},{"dropping-particle":"","family":"Martinez-Fdez","given":"Sara","non-dropping-particle":"","parse-names":false,"suffix":""},{"dropping-particle":"","family":"Jimenez-Bou","given":"Diego","non-dropping-particle":"","parse-names":false,"suffix":""},{"dropping-particle":"","family":"Ruiz-Gutierrez","given":"Iciar","non-dropping-particle":"","parse-names":false,"suffix":""},{"dropping-particle":"","family":"Peña","given":"Jesus","non-dropping-particle":"","parse-names":false,"suffix":""},{"dropping-particle":"","family":"Pertejo","given":"Ana","non-dropping-particle":"","parse-names":false,"suffix":""},{"dropping-particle":"","family":"Espinosa","given":"Enrique","non-dropping-particle":"","parse-names":false,"suffix":""},{"dropping-particle":"","family":"Pinto","given":"Alvaro","non-dropping-particle":"","parse-names":false,"suffix":""}],"container-title":"Clinical Genitourinary Cancer","id":"ITEM-1","issue":"4","issued":{"date-parts":[["2022"]]},"page":"363-370","publisher":"Elsevier Inc.","title":"Comparison of 2-Weekly and 3-Weekly Dosing of Docetaxel in Metastatic Prostate Cancer","type":"article-journal","volume":"20"},"uris":["http://www.mendeley.com/documents/?uuid=60d1d337-0a19-46c4-82e8-ce1f45d1eabf"]}],"mendeley":{"formattedCitation":"[40]","plainTextFormattedCitation":"[40]","previouslyFormattedCitation":"[40]"},"properties":{"noteIndex":0},"schema":"https://github.com/citation-style-language/schema/raw/master/csl-citation.json"}</w:instrText>
      </w:r>
      <w:r w:rsidR="00FA1306">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[40]</w:t>
      </w:r>
      <w:r w:rsidR="00FA1306">
        <w:rPr>
          <w:rFonts w:ascii="Times New Roman" w:hAnsi="Times New Roman" w:cs="Times New Roman"/>
          <w:sz w:val="24"/>
          <w:szCs w:val="24"/>
        </w:rPr>
        <w:fldChar w:fldCharType="end"/>
      </w:r>
      <w:r w:rsidR="00FA1306">
        <w:rPr>
          <w:rFonts w:ascii="Times New Roman" w:hAnsi="Times New Roman" w:cs="Times New Roman"/>
          <w:sz w:val="24"/>
          <w:szCs w:val="24"/>
        </w:rPr>
        <w:t xml:space="preserve">. </w:t>
      </w:r>
      <w:proofErr w:type="spellStart"/>
      <w:r w:rsidR="00CF7147" w:rsidRPr="00E11754">
        <w:rPr>
          <w:rFonts w:ascii="Times New Roman" w:hAnsi="Times New Roman" w:cs="Times New Roman"/>
          <w:sz w:val="24"/>
          <w:szCs w:val="24"/>
        </w:rPr>
        <w:t>P</w:t>
      </w:r>
      <w:r w:rsidR="005A7DDD" w:rsidRPr="00E11754">
        <w:rPr>
          <w:rFonts w:ascii="Times New Roman" w:hAnsi="Times New Roman" w:cs="Times New Roman"/>
          <w:sz w:val="24"/>
          <w:szCs w:val="24"/>
        </w:rPr>
        <w:t>aklitaksel</w:t>
      </w:r>
      <w:proofErr w:type="spellEnd"/>
      <w:r w:rsidR="006D27B2" w:rsidRPr="00E11754">
        <w:rPr>
          <w:rFonts w:ascii="Times New Roman" w:hAnsi="Times New Roman" w:cs="Times New Roman"/>
          <w:sz w:val="24"/>
          <w:szCs w:val="24"/>
        </w:rPr>
        <w:t xml:space="preserve"> </w:t>
      </w:r>
      <w:r w:rsidR="008B7953" w:rsidRPr="00E11754">
        <w:rPr>
          <w:rFonts w:ascii="Times New Roman" w:hAnsi="Times New Roman" w:cs="Times New Roman"/>
          <w:sz w:val="24"/>
          <w:szCs w:val="24"/>
        </w:rPr>
        <w:t>jest stosowany</w:t>
      </w:r>
      <w:r w:rsidR="005A7DDD" w:rsidRPr="00E11754">
        <w:rPr>
          <w:rFonts w:ascii="Times New Roman" w:hAnsi="Times New Roman" w:cs="Times New Roman"/>
          <w:sz w:val="24"/>
          <w:szCs w:val="24"/>
        </w:rPr>
        <w:t xml:space="preserve"> w raku jajnika</w:t>
      </w:r>
      <w:r w:rsidR="004B5C3F" w:rsidRPr="00E11754">
        <w:rPr>
          <w:rFonts w:ascii="Times New Roman" w:hAnsi="Times New Roman" w:cs="Times New Roman"/>
          <w:sz w:val="24"/>
          <w:szCs w:val="24"/>
        </w:rPr>
        <w:t xml:space="preserve">, piersi oraz </w:t>
      </w:r>
      <w:proofErr w:type="spellStart"/>
      <w:r w:rsidR="004B5C3F" w:rsidRPr="00E11754">
        <w:rPr>
          <w:rFonts w:ascii="Times New Roman" w:hAnsi="Times New Roman" w:cs="Times New Roman"/>
          <w:sz w:val="24"/>
          <w:szCs w:val="24"/>
          <w:shd w:val="clear" w:color="auto" w:fill="FAFAFA"/>
        </w:rPr>
        <w:t>niedrobnokomórkowego</w:t>
      </w:r>
      <w:proofErr w:type="spellEnd"/>
      <w:r w:rsidR="004B5C3F" w:rsidRPr="00E11754">
        <w:rPr>
          <w:rFonts w:ascii="Times New Roman" w:hAnsi="Times New Roman" w:cs="Times New Roman"/>
          <w:sz w:val="24"/>
          <w:szCs w:val="24"/>
          <w:shd w:val="clear" w:color="auto" w:fill="FAFAFA"/>
        </w:rPr>
        <w:t xml:space="preserve"> raka płuc</w:t>
      </w:r>
      <w:r w:rsidR="00A3354B" w:rsidRPr="00E11754">
        <w:rPr>
          <w:rFonts w:ascii="Times New Roman" w:hAnsi="Times New Roman" w:cs="Times New Roman"/>
          <w:sz w:val="24"/>
          <w:szCs w:val="24"/>
          <w:shd w:val="clear" w:color="auto" w:fill="FAFAFA"/>
        </w:rPr>
        <w:t>, ale</w:t>
      </w:r>
      <w:r w:rsidR="004B5C3F" w:rsidRPr="00E11754">
        <w:rPr>
          <w:rFonts w:ascii="Times New Roman" w:hAnsi="Times New Roman" w:cs="Times New Roman"/>
          <w:sz w:val="24"/>
          <w:szCs w:val="24"/>
        </w:rPr>
        <w:t xml:space="preserve"> </w:t>
      </w:r>
      <w:r w:rsidR="00994217" w:rsidRPr="00E11754">
        <w:rPr>
          <w:rFonts w:ascii="Times New Roman" w:hAnsi="Times New Roman" w:cs="Times New Roman"/>
          <w:sz w:val="24"/>
          <w:szCs w:val="24"/>
        </w:rPr>
        <w:t xml:space="preserve">jest </w:t>
      </w:r>
      <w:r w:rsidR="00A3354B" w:rsidRPr="00E11754">
        <w:rPr>
          <w:rFonts w:ascii="Times New Roman" w:hAnsi="Times New Roman" w:cs="Times New Roman"/>
          <w:sz w:val="24"/>
          <w:szCs w:val="24"/>
        </w:rPr>
        <w:t>c</w:t>
      </w:r>
      <w:r w:rsidR="00DA281F" w:rsidRPr="00E11754">
        <w:rPr>
          <w:rFonts w:ascii="Times New Roman" w:hAnsi="Times New Roman" w:cs="Times New Roman"/>
          <w:sz w:val="24"/>
          <w:szCs w:val="24"/>
        </w:rPr>
        <w:t>zęst</w:t>
      </w:r>
      <w:r w:rsidR="00A3354B" w:rsidRPr="00E11754">
        <w:rPr>
          <w:rFonts w:ascii="Times New Roman" w:hAnsi="Times New Roman" w:cs="Times New Roman"/>
          <w:sz w:val="24"/>
          <w:szCs w:val="24"/>
        </w:rPr>
        <w:t xml:space="preserve">o </w:t>
      </w:r>
      <w:r w:rsidR="00994217" w:rsidRPr="00E11754">
        <w:rPr>
          <w:rFonts w:ascii="Times New Roman" w:hAnsi="Times New Roman" w:cs="Times New Roman"/>
          <w:sz w:val="24"/>
          <w:szCs w:val="24"/>
        </w:rPr>
        <w:t xml:space="preserve">zastępowany  </w:t>
      </w:r>
      <w:proofErr w:type="spellStart"/>
      <w:r w:rsidR="00994217" w:rsidRPr="00E11754">
        <w:rPr>
          <w:rFonts w:ascii="Times New Roman" w:hAnsi="Times New Roman" w:cs="Times New Roman"/>
          <w:sz w:val="24"/>
          <w:szCs w:val="24"/>
        </w:rPr>
        <w:t>docetakselem</w:t>
      </w:r>
      <w:proofErr w:type="spellEnd"/>
      <w:r w:rsidR="00994217" w:rsidRPr="00E11754">
        <w:rPr>
          <w:rFonts w:ascii="Times New Roman" w:hAnsi="Times New Roman" w:cs="Times New Roman"/>
          <w:sz w:val="24"/>
          <w:szCs w:val="24"/>
        </w:rPr>
        <w:t xml:space="preserve"> z uwagi na jego mniejszą toksyczność oraz rzadsze wywoływanie silnych</w:t>
      </w:r>
      <w:r w:rsidR="002D5F93" w:rsidRPr="00E11754">
        <w:rPr>
          <w:rFonts w:ascii="Times New Roman" w:hAnsi="Times New Roman" w:cs="Times New Roman"/>
          <w:sz w:val="24"/>
          <w:szCs w:val="24"/>
        </w:rPr>
        <w:t xml:space="preserve"> reakcj</w:t>
      </w:r>
      <w:r w:rsidR="00994217" w:rsidRPr="00E11754">
        <w:rPr>
          <w:rFonts w:ascii="Times New Roman" w:hAnsi="Times New Roman" w:cs="Times New Roman"/>
          <w:sz w:val="24"/>
          <w:szCs w:val="24"/>
        </w:rPr>
        <w:t>i</w:t>
      </w:r>
      <w:r w:rsidR="002D5F93" w:rsidRPr="00E11754">
        <w:rPr>
          <w:rFonts w:ascii="Times New Roman" w:hAnsi="Times New Roman" w:cs="Times New Roman"/>
          <w:sz w:val="24"/>
          <w:szCs w:val="24"/>
        </w:rPr>
        <w:t xml:space="preserve"> </w:t>
      </w:r>
      <w:proofErr w:type="spellStart"/>
      <w:r w:rsidR="00DA281F" w:rsidRPr="00E11754">
        <w:rPr>
          <w:rFonts w:ascii="Times New Roman" w:hAnsi="Times New Roman" w:cs="Times New Roman"/>
          <w:sz w:val="24"/>
          <w:szCs w:val="24"/>
        </w:rPr>
        <w:t>nadwarażliwości</w:t>
      </w:r>
      <w:proofErr w:type="spellEnd"/>
      <w:r w:rsidR="00A3354B" w:rsidRPr="00E11754">
        <w:rPr>
          <w:rFonts w:ascii="Times New Roman" w:hAnsi="Times New Roman" w:cs="Times New Roman"/>
          <w:sz w:val="24"/>
          <w:szCs w:val="24"/>
        </w:rPr>
        <w:t>,</w:t>
      </w:r>
      <w:r w:rsidR="00496DA4" w:rsidRPr="00E11754">
        <w:rPr>
          <w:rFonts w:ascii="Times New Roman" w:hAnsi="Times New Roman" w:cs="Times New Roman"/>
          <w:sz w:val="24"/>
          <w:szCs w:val="24"/>
        </w:rPr>
        <w:t xml:space="preserve"> </w:t>
      </w:r>
      <w:r w:rsidR="00994217" w:rsidRPr="00E11754">
        <w:rPr>
          <w:rFonts w:ascii="Times New Roman" w:hAnsi="Times New Roman" w:cs="Times New Roman"/>
          <w:sz w:val="24"/>
          <w:szCs w:val="24"/>
        </w:rPr>
        <w:t xml:space="preserve">które w wielu przypadkach występują po podaniu </w:t>
      </w:r>
      <w:proofErr w:type="spellStart"/>
      <w:r w:rsidR="00496DA4" w:rsidRPr="00E11754">
        <w:rPr>
          <w:rFonts w:ascii="Times New Roman" w:hAnsi="Times New Roman" w:cs="Times New Roman"/>
          <w:sz w:val="24"/>
          <w:szCs w:val="24"/>
        </w:rPr>
        <w:t>paklitaksel</w:t>
      </w:r>
      <w:r w:rsidR="00994217" w:rsidRPr="00E11754">
        <w:rPr>
          <w:rFonts w:ascii="Times New Roman" w:hAnsi="Times New Roman" w:cs="Times New Roman"/>
          <w:sz w:val="24"/>
          <w:szCs w:val="24"/>
        </w:rPr>
        <w:t>u</w:t>
      </w:r>
      <w:proofErr w:type="spellEnd"/>
      <w:r w:rsidR="00496DA4" w:rsidRPr="00E11754">
        <w:rPr>
          <w:rFonts w:ascii="Times New Roman" w:hAnsi="Times New Roman" w:cs="Times New Roman"/>
          <w:sz w:val="24"/>
          <w:szCs w:val="24"/>
        </w:rPr>
        <w:t xml:space="preserve">. </w:t>
      </w:r>
    </w:p>
    <w:p w14:paraId="35C0979A" w14:textId="6D859343" w:rsidR="7FED27BB" w:rsidRPr="00E11754" w:rsidRDefault="7FED27BB" w:rsidP="7FED27BB">
      <w:pPr>
        <w:spacing w:line="360" w:lineRule="auto"/>
        <w:jc w:val="both"/>
        <w:rPr>
          <w:rFonts w:ascii="Times New Roman" w:hAnsi="Times New Roman" w:cs="Times New Roman"/>
          <w:sz w:val="24"/>
          <w:szCs w:val="24"/>
        </w:rPr>
      </w:pPr>
    </w:p>
    <w:p w14:paraId="7D6308FC" w14:textId="7CB7D369" w:rsidR="007072CA" w:rsidRPr="00E11754" w:rsidRDefault="004265B2" w:rsidP="7FED27BB">
      <w:pPr>
        <w:pStyle w:val="Nagwek2"/>
        <w:numPr>
          <w:ilvl w:val="1"/>
          <w:numId w:val="13"/>
        </w:numPr>
        <w:spacing w:before="240" w:after="120" w:line="360" w:lineRule="auto"/>
        <w:rPr>
          <w:rFonts w:ascii="Times New Roman" w:hAnsi="Times New Roman" w:cs="Times New Roman"/>
          <w:b/>
          <w:bCs/>
          <w:color w:val="auto"/>
          <w:sz w:val="24"/>
          <w:szCs w:val="24"/>
        </w:rPr>
      </w:pPr>
      <w:r w:rsidRPr="00E11754">
        <w:rPr>
          <w:rFonts w:ascii="Times New Roman" w:hAnsi="Times New Roman" w:cs="Times New Roman"/>
          <w:b/>
          <w:bCs/>
          <w:color w:val="auto"/>
          <w:sz w:val="24"/>
          <w:szCs w:val="24"/>
        </w:rPr>
        <w:t xml:space="preserve"> </w:t>
      </w:r>
      <w:bookmarkStart w:id="15" w:name="_Toc137702476"/>
      <w:r w:rsidR="607BFCA9" w:rsidRPr="00E11754">
        <w:rPr>
          <w:rFonts w:ascii="Times New Roman" w:hAnsi="Times New Roman" w:cs="Times New Roman"/>
          <w:b/>
          <w:bCs/>
          <w:color w:val="auto"/>
          <w:sz w:val="24"/>
          <w:szCs w:val="24"/>
        </w:rPr>
        <w:t>Terapia monitorowania stężeniem leku</w:t>
      </w:r>
      <w:bookmarkEnd w:id="15"/>
      <w:r w:rsidR="607BFCA9" w:rsidRPr="00E11754">
        <w:rPr>
          <w:rFonts w:ascii="Times New Roman" w:hAnsi="Times New Roman" w:cs="Times New Roman"/>
          <w:b/>
          <w:bCs/>
          <w:color w:val="auto"/>
          <w:sz w:val="24"/>
          <w:szCs w:val="24"/>
        </w:rPr>
        <w:t xml:space="preserve">  </w:t>
      </w:r>
    </w:p>
    <w:p w14:paraId="0F217B17" w14:textId="31545704" w:rsidR="004E6156" w:rsidRPr="00E11754" w:rsidRDefault="004E6156" w:rsidP="7FED27BB">
      <w:pPr>
        <w:rPr>
          <w:rFonts w:ascii="Times New Roman" w:hAnsi="Times New Roman" w:cs="Times New Roman"/>
          <w:sz w:val="24"/>
          <w:szCs w:val="24"/>
        </w:rPr>
      </w:pPr>
    </w:p>
    <w:p w14:paraId="1134B005" w14:textId="57EE9C3D" w:rsidR="004E6156" w:rsidRPr="00E11754" w:rsidRDefault="002F5E25" w:rsidP="0560FCF3">
      <w:pPr>
        <w:spacing w:line="36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rPr>
        <w:tab/>
      </w:r>
      <w:r w:rsidR="000757A5" w:rsidRPr="00E11754">
        <w:rPr>
          <w:rFonts w:ascii="Times New Roman" w:hAnsi="Times New Roman" w:cs="Times New Roman"/>
          <w:sz w:val="24"/>
          <w:szCs w:val="24"/>
        </w:rPr>
        <w:t>Obecny, rozwój medycyny wskazuje na potrzebę prowadzenia terapii</w:t>
      </w:r>
      <w:r w:rsidR="00034AB0" w:rsidRPr="00E11754">
        <w:rPr>
          <w:rFonts w:ascii="Times New Roman" w:hAnsi="Times New Roman" w:cs="Times New Roman"/>
          <w:sz w:val="24"/>
          <w:szCs w:val="24"/>
        </w:rPr>
        <w:t xml:space="preserve"> onkologicznej</w:t>
      </w:r>
      <w:r w:rsidR="000757A5" w:rsidRPr="00E11754">
        <w:rPr>
          <w:rFonts w:ascii="Times New Roman" w:hAnsi="Times New Roman" w:cs="Times New Roman"/>
          <w:sz w:val="24"/>
          <w:szCs w:val="24"/>
        </w:rPr>
        <w:t xml:space="preserve"> opartej na bardziej zindywidualizowanym podejściu do pacjenta. Jedną z metod</w:t>
      </w:r>
      <w:r w:rsidR="00034AB0" w:rsidRPr="00E11754">
        <w:rPr>
          <w:rFonts w:ascii="Times New Roman" w:hAnsi="Times New Roman" w:cs="Times New Roman"/>
          <w:sz w:val="24"/>
          <w:szCs w:val="24"/>
        </w:rPr>
        <w:t xml:space="preserve">, która to zapewnia </w:t>
      </w:r>
      <w:r w:rsidR="000757A5" w:rsidRPr="00E11754">
        <w:rPr>
          <w:rFonts w:ascii="Times New Roman" w:hAnsi="Times New Roman" w:cs="Times New Roman"/>
          <w:sz w:val="24"/>
          <w:szCs w:val="24"/>
        </w:rPr>
        <w:t xml:space="preserve">jest terapia monitorowania stężeniem leku (ang. </w:t>
      </w:r>
      <w:proofErr w:type="spellStart"/>
      <w:r w:rsidR="000757A5" w:rsidRPr="7918CE45">
        <w:rPr>
          <w:rFonts w:ascii="Times New Roman" w:hAnsi="Times New Roman" w:cs="Times New Roman"/>
          <w:i/>
          <w:iCs/>
          <w:sz w:val="24"/>
          <w:szCs w:val="24"/>
          <w:shd w:val="clear" w:color="auto" w:fill="FFFFFF"/>
        </w:rPr>
        <w:t>Therapeutic</w:t>
      </w:r>
      <w:proofErr w:type="spellEnd"/>
      <w:r w:rsidR="000757A5" w:rsidRPr="7918CE45">
        <w:rPr>
          <w:rFonts w:ascii="Times New Roman" w:hAnsi="Times New Roman" w:cs="Times New Roman"/>
          <w:i/>
          <w:iCs/>
          <w:sz w:val="24"/>
          <w:szCs w:val="24"/>
          <w:shd w:val="clear" w:color="auto" w:fill="FFFFFF"/>
        </w:rPr>
        <w:t xml:space="preserve"> </w:t>
      </w:r>
      <w:proofErr w:type="spellStart"/>
      <w:r w:rsidR="000757A5" w:rsidRPr="7918CE45">
        <w:rPr>
          <w:rFonts w:ascii="Times New Roman" w:hAnsi="Times New Roman" w:cs="Times New Roman"/>
          <w:i/>
          <w:iCs/>
          <w:sz w:val="24"/>
          <w:szCs w:val="24"/>
          <w:shd w:val="clear" w:color="auto" w:fill="FFFFFF"/>
        </w:rPr>
        <w:t>Drug</w:t>
      </w:r>
      <w:proofErr w:type="spellEnd"/>
      <w:r w:rsidR="000757A5" w:rsidRPr="7918CE45">
        <w:rPr>
          <w:rFonts w:ascii="Times New Roman" w:hAnsi="Times New Roman" w:cs="Times New Roman"/>
          <w:i/>
          <w:iCs/>
          <w:sz w:val="24"/>
          <w:szCs w:val="24"/>
          <w:shd w:val="clear" w:color="auto" w:fill="FFFFFF"/>
        </w:rPr>
        <w:t xml:space="preserve"> Monitoring</w:t>
      </w:r>
      <w:r w:rsidR="000757A5" w:rsidRPr="00E11754">
        <w:rPr>
          <w:rFonts w:ascii="Times New Roman" w:hAnsi="Times New Roman" w:cs="Times New Roman"/>
          <w:sz w:val="24"/>
          <w:szCs w:val="24"/>
        </w:rPr>
        <w:t xml:space="preserve">, TDM), </w:t>
      </w:r>
      <w:r w:rsidR="004078A6" w:rsidRPr="00E11754">
        <w:rPr>
          <w:rFonts w:ascii="Times New Roman" w:hAnsi="Times New Roman" w:cs="Times New Roman"/>
          <w:sz w:val="24"/>
          <w:szCs w:val="24"/>
        </w:rPr>
        <w:t>której</w:t>
      </w:r>
      <w:r w:rsidR="00695977" w:rsidRPr="00E11754">
        <w:rPr>
          <w:rFonts w:ascii="Times New Roman" w:hAnsi="Times New Roman" w:cs="Times New Roman"/>
          <w:sz w:val="24"/>
          <w:szCs w:val="24"/>
        </w:rPr>
        <w:t xml:space="preserve"> założeniem jest</w:t>
      </w:r>
      <w:r w:rsidR="00D96660" w:rsidRPr="00E11754">
        <w:rPr>
          <w:rFonts w:ascii="Times New Roman" w:hAnsi="Times New Roman" w:cs="Times New Roman"/>
          <w:sz w:val="24"/>
          <w:szCs w:val="24"/>
        </w:rPr>
        <w:t xml:space="preserve"> </w:t>
      </w:r>
      <w:r w:rsidR="00695977" w:rsidRPr="00E11754">
        <w:rPr>
          <w:rFonts w:ascii="Times New Roman" w:hAnsi="Times New Roman" w:cs="Times New Roman"/>
          <w:sz w:val="24"/>
          <w:szCs w:val="24"/>
        </w:rPr>
        <w:t>kont</w:t>
      </w:r>
      <w:r w:rsidR="00D92D25" w:rsidRPr="00E11754">
        <w:rPr>
          <w:rFonts w:ascii="Times New Roman" w:hAnsi="Times New Roman" w:cs="Times New Roman"/>
          <w:sz w:val="24"/>
          <w:szCs w:val="24"/>
        </w:rPr>
        <w:t xml:space="preserve">rolowanie </w:t>
      </w:r>
      <w:r w:rsidR="00690C6B" w:rsidRPr="00E11754">
        <w:rPr>
          <w:rFonts w:ascii="Times New Roman" w:hAnsi="Times New Roman" w:cs="Times New Roman"/>
          <w:sz w:val="24"/>
          <w:szCs w:val="24"/>
        </w:rPr>
        <w:t xml:space="preserve">stężenia </w:t>
      </w:r>
      <w:r w:rsidR="00D92D25" w:rsidRPr="00E11754">
        <w:rPr>
          <w:rFonts w:ascii="Times New Roman" w:hAnsi="Times New Roman" w:cs="Times New Roman"/>
          <w:sz w:val="24"/>
          <w:szCs w:val="24"/>
        </w:rPr>
        <w:t>substancji czynnej</w:t>
      </w:r>
      <w:r w:rsidR="00690C6B" w:rsidRPr="00E11754">
        <w:rPr>
          <w:rFonts w:ascii="Times New Roman" w:hAnsi="Times New Roman" w:cs="Times New Roman"/>
          <w:sz w:val="24"/>
          <w:szCs w:val="24"/>
        </w:rPr>
        <w:t xml:space="preserve"> w płynach ustrojowych </w:t>
      </w:r>
      <w:r w:rsidR="006C0FBD" w:rsidRPr="00E11754">
        <w:rPr>
          <w:rFonts w:ascii="Times New Roman" w:hAnsi="Times New Roman" w:cs="Times New Roman"/>
          <w:sz w:val="24"/>
          <w:szCs w:val="24"/>
        </w:rPr>
        <w:t xml:space="preserve">pacjentów </w:t>
      </w:r>
      <w:r w:rsidR="00690C6B" w:rsidRPr="00E11754">
        <w:rPr>
          <w:rFonts w:ascii="Times New Roman" w:hAnsi="Times New Roman" w:cs="Times New Roman"/>
          <w:sz w:val="24"/>
          <w:szCs w:val="24"/>
        </w:rPr>
        <w:t xml:space="preserve">po </w:t>
      </w:r>
      <w:r w:rsidR="00F2203E" w:rsidRPr="00E11754">
        <w:rPr>
          <w:rFonts w:ascii="Times New Roman" w:hAnsi="Times New Roman" w:cs="Times New Roman"/>
          <w:sz w:val="24"/>
          <w:szCs w:val="24"/>
        </w:rPr>
        <w:t xml:space="preserve">jego </w:t>
      </w:r>
      <w:r w:rsidR="00690C6B" w:rsidRPr="00E11754">
        <w:rPr>
          <w:rFonts w:ascii="Times New Roman" w:hAnsi="Times New Roman" w:cs="Times New Roman"/>
          <w:sz w:val="24"/>
          <w:szCs w:val="24"/>
        </w:rPr>
        <w:t>podaniu</w:t>
      </w:r>
      <w:r w:rsidR="00EC3855" w:rsidRPr="00E11754">
        <w:rPr>
          <w:rFonts w:ascii="Times New Roman" w:hAnsi="Times New Roman" w:cs="Times New Roman"/>
          <w:sz w:val="24"/>
          <w:szCs w:val="24"/>
        </w:rPr>
        <w:t xml:space="preserve"> </w:t>
      </w:r>
      <w:r w:rsidR="000757A5" w:rsidRPr="7918CE45">
        <w:rPr>
          <w:rFonts w:ascii="Times New Roman" w:hAnsi="Times New Roman" w:cs="Times New Roman"/>
          <w:sz w:val="24"/>
          <w:szCs w:val="24"/>
        </w:rPr>
        <w:fldChar w:fldCharType="begin" w:fldLock="1"/>
      </w:r>
      <w:r w:rsidR="00794BBE">
        <w:rPr>
          <w:rFonts w:ascii="Times New Roman" w:hAnsi="Times New Roman" w:cs="Times New Roman"/>
          <w:sz w:val="24"/>
          <w:szCs w:val="24"/>
        </w:rPr>
        <w:instrText>ADDIN CSL_CITATION {"citationItems":[{"id":"ITEM-1","itemData":{"DOI":"10.2165/00003088-200544020-00002","ISSN":"03125963","PMID":"15656695","abstract":"Therapeutic drug monitoring (TDM) is increasingly used in clinical practice for the optimisation of drug treatment. Although pharmacokinetic variability is an established factor involved in the variation of therapeutic outcome of many chemotherapeutic agents, the use of TDM in the field of oncology has been limited thus far. An important reason for this is that a therapeutic index for most anticancer agents has not been established; however, in the last 20 years, relationships between plasma drug concentrations and clinical outcome have been defined for various chemotherapeutic agents. Several attempts have been made to use these relationships for optimising the administration of chemotherapeutics by applying pharmacokinetically guided dosage. These prospective studies, individualising chemotherapy dose during therapy based on measured drug concentrations, are discussed in this review. We focus on the way a target value is defined, the methodologies used for dose adaptation and the way the performance of the dose-adaptation approach is evaluated. Furthermore, attention is paid to the results of the studies and the applicability of the strategies in clinical practice. It can be concluded that TDM may contribute to improving cancer chemotherapy in terms of patient outcome and survival and should therefore be further investigated.","author":[{"dropping-particle":"","family":"Jonge","given":"Milly E.","non-dropping-particle":"De","parse-names":false,"suffix":""},{"dropping-particle":"","family":"Huitema","given":"Alwin D.R.","non-dropping-particle":"","parse-names":false,"suffix":""},{"dropping-particle":"","family":"Schellens","given":"Jan H.M.","non-dropping-particle":"","parse-names":false,"suffix":""},{"dropping-particle":"","family":"Rodenhuis","given":"Sjoerd","non-dropping-particle":"","parse-names":false,"suffix":""},{"dropping-particle":"","family":"Beijnen","given":"Jos H.","non-dropping-particle":"","parse-names":false,"suffix":""}],"container-title":"Clinical Pharmacokinetics","id":"ITEM-1","issue":"2","issued":{"date-parts":[["2005"]]},"page":"147-173","title":"Individualised cancer chemotherapy: Strategies and performance of prospective studies on therapeutic drug monitoring with dose adaptation: A review","type":"article-journal","volume":"44"},"uris":["http://www.mendeley.com/documents/?uuid=087dc9c8-3518-48f5-a1c7-66799429e595"]}],"mendeley":{"formattedCitation":"[41]","plainTextFormattedCitation":"[41]","previouslyFormattedCitation":"[41]"},"properties":{"noteIndex":0},"schema":"https://github.com/citation-style-language/schema/raw/master/csl-citation.json"}</w:instrText>
      </w:r>
      <w:r w:rsidR="000757A5" w:rsidRPr="7918CE45">
        <w:rPr>
          <w:rFonts w:ascii="Times New Roman" w:hAnsi="Times New Roman" w:cs="Times New Roman"/>
          <w:sz w:val="24"/>
          <w:szCs w:val="24"/>
        </w:rPr>
        <w:fldChar w:fldCharType="separate"/>
      </w:r>
      <w:r w:rsidR="00625E87" w:rsidRPr="00625E87">
        <w:rPr>
          <w:rFonts w:ascii="Times New Roman" w:hAnsi="Times New Roman" w:cs="Times New Roman"/>
          <w:noProof/>
          <w:sz w:val="24"/>
          <w:szCs w:val="24"/>
        </w:rPr>
        <w:t>[41]</w:t>
      </w:r>
      <w:r w:rsidR="000757A5" w:rsidRPr="7918CE45">
        <w:rPr>
          <w:rFonts w:ascii="Times New Roman" w:hAnsi="Times New Roman" w:cs="Times New Roman"/>
          <w:sz w:val="24"/>
          <w:szCs w:val="24"/>
        </w:rPr>
        <w:fldChar w:fldCharType="end"/>
      </w:r>
      <w:r w:rsidR="001269BF" w:rsidRPr="00E11754">
        <w:rPr>
          <w:rFonts w:ascii="Times New Roman" w:hAnsi="Times New Roman" w:cs="Times New Roman"/>
          <w:sz w:val="24"/>
          <w:szCs w:val="24"/>
        </w:rPr>
        <w:t>. Na tej podstawie</w:t>
      </w:r>
      <w:r w:rsidR="00406788" w:rsidRPr="00E11754">
        <w:rPr>
          <w:rFonts w:ascii="Times New Roman" w:hAnsi="Times New Roman" w:cs="Times New Roman"/>
          <w:sz w:val="24"/>
          <w:szCs w:val="24"/>
        </w:rPr>
        <w:t xml:space="preserve"> możliwe jest</w:t>
      </w:r>
      <w:r w:rsidR="001269BF" w:rsidRPr="00E11754">
        <w:rPr>
          <w:rFonts w:ascii="Times New Roman" w:hAnsi="Times New Roman" w:cs="Times New Roman"/>
          <w:sz w:val="24"/>
          <w:szCs w:val="24"/>
        </w:rPr>
        <w:t xml:space="preserve"> </w:t>
      </w:r>
      <w:r w:rsidR="002B7738" w:rsidRPr="00E11754">
        <w:rPr>
          <w:rFonts w:ascii="Times New Roman" w:hAnsi="Times New Roman" w:cs="Times New Roman"/>
          <w:sz w:val="24"/>
          <w:szCs w:val="24"/>
        </w:rPr>
        <w:t>dopasowanie dawki do indywidualnych potrzeb pacjenta</w:t>
      </w:r>
      <w:r w:rsidR="001269BF" w:rsidRPr="00E11754">
        <w:rPr>
          <w:rFonts w:ascii="Times New Roman" w:hAnsi="Times New Roman" w:cs="Times New Roman"/>
          <w:sz w:val="24"/>
          <w:szCs w:val="24"/>
        </w:rPr>
        <w:t xml:space="preserve">, </w:t>
      </w:r>
      <w:r w:rsidR="00406788" w:rsidRPr="00E11754">
        <w:rPr>
          <w:rFonts w:ascii="Times New Roman" w:hAnsi="Times New Roman" w:cs="Times New Roman"/>
          <w:sz w:val="24"/>
          <w:szCs w:val="24"/>
        </w:rPr>
        <w:t xml:space="preserve">a to może skutkować </w:t>
      </w:r>
      <w:r w:rsidR="001269BF" w:rsidRPr="00E11754">
        <w:rPr>
          <w:rFonts w:ascii="Times New Roman" w:hAnsi="Times New Roman" w:cs="Times New Roman"/>
          <w:sz w:val="24"/>
          <w:szCs w:val="24"/>
        </w:rPr>
        <w:t xml:space="preserve">zarówno </w:t>
      </w:r>
      <w:r w:rsidR="00600F99" w:rsidRPr="00E11754">
        <w:rPr>
          <w:rFonts w:ascii="Times New Roman" w:hAnsi="Times New Roman" w:cs="Times New Roman"/>
          <w:sz w:val="24"/>
          <w:szCs w:val="24"/>
        </w:rPr>
        <w:t>popraw</w:t>
      </w:r>
      <w:r w:rsidR="00406788" w:rsidRPr="00E11754">
        <w:rPr>
          <w:rFonts w:ascii="Times New Roman" w:hAnsi="Times New Roman" w:cs="Times New Roman"/>
          <w:sz w:val="24"/>
          <w:szCs w:val="24"/>
        </w:rPr>
        <w:t>ą</w:t>
      </w:r>
      <w:r w:rsidR="00600F99" w:rsidRPr="00E11754">
        <w:rPr>
          <w:rFonts w:ascii="Times New Roman" w:hAnsi="Times New Roman" w:cs="Times New Roman"/>
          <w:sz w:val="24"/>
          <w:szCs w:val="24"/>
        </w:rPr>
        <w:t xml:space="preserve"> efektów </w:t>
      </w:r>
      <w:r w:rsidR="00600F99" w:rsidRPr="00E11754">
        <w:rPr>
          <w:rFonts w:ascii="Times New Roman" w:hAnsi="Times New Roman" w:cs="Times New Roman"/>
          <w:sz w:val="24"/>
          <w:szCs w:val="24"/>
        </w:rPr>
        <w:lastRenderedPageBreak/>
        <w:t>leczenia</w:t>
      </w:r>
      <w:r w:rsidR="001269BF" w:rsidRPr="00E11754">
        <w:rPr>
          <w:rFonts w:ascii="Times New Roman" w:hAnsi="Times New Roman" w:cs="Times New Roman"/>
          <w:sz w:val="24"/>
          <w:szCs w:val="24"/>
        </w:rPr>
        <w:t xml:space="preserve"> jak i </w:t>
      </w:r>
      <w:r w:rsidR="00600F99" w:rsidRPr="00E11754">
        <w:rPr>
          <w:rFonts w:ascii="Times New Roman" w:hAnsi="Times New Roman" w:cs="Times New Roman"/>
          <w:sz w:val="24"/>
          <w:szCs w:val="24"/>
        </w:rPr>
        <w:t xml:space="preserve">jednoczesne </w:t>
      </w:r>
      <w:r w:rsidR="00466DDE" w:rsidRPr="00E11754">
        <w:rPr>
          <w:rFonts w:ascii="Times New Roman" w:hAnsi="Times New Roman" w:cs="Times New Roman"/>
          <w:sz w:val="24"/>
          <w:szCs w:val="24"/>
        </w:rPr>
        <w:t>zmniejszenie</w:t>
      </w:r>
      <w:r w:rsidR="00406788" w:rsidRPr="00E11754">
        <w:rPr>
          <w:rFonts w:ascii="Times New Roman" w:hAnsi="Times New Roman" w:cs="Times New Roman"/>
          <w:sz w:val="24"/>
          <w:szCs w:val="24"/>
        </w:rPr>
        <w:t>m</w:t>
      </w:r>
      <w:r w:rsidR="00600F99" w:rsidRPr="00E11754">
        <w:rPr>
          <w:rFonts w:ascii="Times New Roman" w:hAnsi="Times New Roman" w:cs="Times New Roman"/>
          <w:sz w:val="24"/>
          <w:szCs w:val="24"/>
        </w:rPr>
        <w:t xml:space="preserve"> efektów ubocznych.</w:t>
      </w:r>
      <w:r w:rsidR="0060367A" w:rsidRPr="00E11754">
        <w:rPr>
          <w:rFonts w:ascii="Times New Roman" w:hAnsi="Times New Roman" w:cs="Times New Roman"/>
          <w:sz w:val="24"/>
          <w:szCs w:val="24"/>
        </w:rPr>
        <w:t xml:space="preserve"> </w:t>
      </w:r>
      <w:r w:rsidR="007732CC" w:rsidRPr="00E11754">
        <w:rPr>
          <w:rFonts w:ascii="Times New Roman" w:hAnsi="Times New Roman" w:cs="Times New Roman"/>
          <w:sz w:val="24"/>
          <w:szCs w:val="24"/>
        </w:rPr>
        <w:t>Początki</w:t>
      </w:r>
      <w:r w:rsidR="002A2205" w:rsidRPr="00E11754">
        <w:rPr>
          <w:rFonts w:ascii="Times New Roman" w:hAnsi="Times New Roman" w:cs="Times New Roman"/>
          <w:sz w:val="24"/>
          <w:szCs w:val="24"/>
        </w:rPr>
        <w:t xml:space="preserve"> TDM datuje się na lata 70</w:t>
      </w:r>
      <w:r w:rsidR="00406788" w:rsidRPr="00E11754">
        <w:rPr>
          <w:rFonts w:ascii="Times New Roman" w:hAnsi="Times New Roman" w:cs="Times New Roman"/>
          <w:sz w:val="24"/>
          <w:szCs w:val="24"/>
        </w:rPr>
        <w:t>-te</w:t>
      </w:r>
      <w:r w:rsidR="002A2205" w:rsidRPr="00E11754">
        <w:rPr>
          <w:rFonts w:ascii="Times New Roman" w:hAnsi="Times New Roman" w:cs="Times New Roman"/>
          <w:sz w:val="24"/>
          <w:szCs w:val="24"/>
        </w:rPr>
        <w:t xml:space="preserve">, kiedy po raz pierwszy zastosowano kontrolę stężenia takich leków jak </w:t>
      </w:r>
      <w:proofErr w:type="spellStart"/>
      <w:r w:rsidR="002A2205" w:rsidRPr="007F0DE9">
        <w:rPr>
          <w:rFonts w:ascii="Times New Roman" w:hAnsi="Times New Roman" w:cs="Times New Roman"/>
          <w:sz w:val="24"/>
          <w:szCs w:val="24"/>
          <w:shd w:val="clear" w:color="auto" w:fill="FFFFFF"/>
        </w:rPr>
        <w:t>digoksyna</w:t>
      </w:r>
      <w:proofErr w:type="spellEnd"/>
      <w:r w:rsidR="002A2205" w:rsidRPr="007F0DE9">
        <w:rPr>
          <w:rFonts w:ascii="Times New Roman" w:hAnsi="Times New Roman" w:cs="Times New Roman"/>
          <w:sz w:val="24"/>
          <w:szCs w:val="24"/>
          <w:shd w:val="clear" w:color="auto" w:fill="FFFFFF"/>
        </w:rPr>
        <w:t xml:space="preserve">, </w:t>
      </w:r>
      <w:r w:rsidR="00BC0C7D" w:rsidRPr="007F0DE9">
        <w:rPr>
          <w:rFonts w:ascii="Times New Roman" w:hAnsi="Times New Roman" w:cs="Times New Roman"/>
          <w:sz w:val="24"/>
          <w:szCs w:val="24"/>
          <w:shd w:val="clear" w:color="auto" w:fill="FFFFFF"/>
        </w:rPr>
        <w:t xml:space="preserve">czy </w:t>
      </w:r>
      <w:r w:rsidR="002A2205" w:rsidRPr="007F0DE9">
        <w:rPr>
          <w:rFonts w:ascii="Times New Roman" w:hAnsi="Times New Roman" w:cs="Times New Roman"/>
          <w:sz w:val="24"/>
          <w:szCs w:val="24"/>
          <w:shd w:val="clear" w:color="auto" w:fill="FFFFFF"/>
        </w:rPr>
        <w:t>fenytoina</w:t>
      </w:r>
      <w:r w:rsidR="001269BF" w:rsidRPr="007F0DE9">
        <w:rPr>
          <w:rFonts w:ascii="Times New Roman" w:hAnsi="Times New Roman" w:cs="Times New Roman"/>
          <w:sz w:val="24"/>
          <w:szCs w:val="24"/>
          <w:shd w:val="clear" w:color="auto" w:fill="FFFFFF"/>
        </w:rPr>
        <w:t xml:space="preserve"> </w:t>
      </w:r>
      <w:r w:rsidR="00A43F4A" w:rsidRPr="007F0DE9">
        <w:rPr>
          <w:rFonts w:ascii="Times New Roman" w:hAnsi="Times New Roman" w:cs="Times New Roman"/>
          <w:sz w:val="24"/>
          <w:szCs w:val="24"/>
          <w:shd w:val="clear" w:color="auto" w:fill="FFFFFF"/>
        </w:rPr>
        <w:fldChar w:fldCharType="begin" w:fldLock="1"/>
      </w:r>
      <w:r w:rsidR="00794BBE">
        <w:rPr>
          <w:rFonts w:ascii="Times New Roman" w:hAnsi="Times New Roman" w:cs="Times New Roman"/>
          <w:sz w:val="24"/>
          <w:szCs w:val="24"/>
          <w:shd w:val="clear" w:color="auto" w:fill="FFFFFF"/>
        </w:rPr>
        <w:instrText>ADDIN CSL_CITATION {"citationItems":[{"id":"ITEM-1","itemData":{"DOI":"10.3904/kjim.2009.24.1.1","ISBN":"8222292668","ISSN":"12263303","PMID":"19270474","abstract":"Therapeutic drug monitoring (TDM) is the clinical practice of measuring specific drugs at designated intervals to maintain a constant concentration in a patient's bloodstream, thereby optimizing individual dosage regimens. It is unnecessary to employ TDM for the majority of medications, and it is used mainly for monitoring drugs with narrow therapeutic ranges, drugs with marked pharmacokinetic variability, medications for which target concentrations are difficult to monitor, and drugs known to cause therapeutic and adverse effects. The process of TDM is predicated on the assumption that there is a definable relationship between dose and plasma or blood drug concentration, and between concentration and therapeutic effects. TDM begins when the drug is first prescribed, and involves determining an initial dosage regimen appropriate for the clinical condition and such patient characteristics as age, weight, organ function, and concomitant drug therapy. When interpreting concentration measurements, factors that need to be considered include the sampling time in relation to drug dose, dosage history, patient response, and the desired medicinal targets. The goal of TDM is to use appropriate concentrations of difficult-to-manage medications to optimize clinical outcomes in patients in various clinical situations.","author":[{"dropping-particle":"","family":"Kang","given":"Ju Seop","non-dropping-particle":"","parse-names":false,"suffix":""},{"dropping-particle":"","family":"Lee","given":"Min Ho","non-dropping-particle":"","parse-names":false,"suffix":""}],"container-title":"Korean Journal of Internal Medicine","id":"ITEM-1","issue":"1","issued":{"date-parts":[["2009"]]},"page":"1-10","title":"Overview of therapeutic drug monitoring","type":"article-journal","volume":"24"},"uris":["http://www.mendeley.com/documents/?uuid=57c5ffee-0ef7-4bf4-8937-5ff11ba13280"]}],"mendeley":{"formattedCitation":"[42]","plainTextFormattedCitation":"[42]","previouslyFormattedCitation":"[42]"},"properties":{"noteIndex":0},"schema":"https://github.com/citation-style-language/schema/raw/master/csl-citation.json"}</w:instrText>
      </w:r>
      <w:r w:rsidR="00A43F4A" w:rsidRPr="007F0DE9">
        <w:rPr>
          <w:rFonts w:ascii="Times New Roman" w:hAnsi="Times New Roman" w:cs="Times New Roman"/>
          <w:sz w:val="24"/>
          <w:szCs w:val="24"/>
          <w:shd w:val="clear" w:color="auto" w:fill="FFFFFF"/>
        </w:rPr>
        <w:fldChar w:fldCharType="separate"/>
      </w:r>
      <w:r w:rsidR="00625E87" w:rsidRPr="00625E87">
        <w:rPr>
          <w:rFonts w:ascii="Times New Roman" w:hAnsi="Times New Roman" w:cs="Times New Roman"/>
          <w:noProof/>
          <w:sz w:val="24"/>
          <w:szCs w:val="24"/>
          <w:shd w:val="clear" w:color="auto" w:fill="FFFFFF"/>
        </w:rPr>
        <w:t>[42]</w:t>
      </w:r>
      <w:r w:rsidR="00A43F4A" w:rsidRPr="007F0DE9">
        <w:rPr>
          <w:rFonts w:ascii="Times New Roman" w:hAnsi="Times New Roman" w:cs="Times New Roman"/>
          <w:sz w:val="24"/>
          <w:szCs w:val="24"/>
          <w:shd w:val="clear" w:color="auto" w:fill="FFFFFF"/>
        </w:rPr>
        <w:fldChar w:fldCharType="end"/>
      </w:r>
      <w:r w:rsidR="002A2205" w:rsidRPr="007F0DE9">
        <w:rPr>
          <w:rFonts w:ascii="Times New Roman" w:hAnsi="Times New Roman" w:cs="Times New Roman"/>
          <w:sz w:val="24"/>
          <w:szCs w:val="24"/>
          <w:shd w:val="clear" w:color="auto" w:fill="FFFFFF"/>
        </w:rPr>
        <w:t xml:space="preserve">. </w:t>
      </w:r>
      <w:r w:rsidR="002A2205" w:rsidRPr="00E11754">
        <w:rPr>
          <w:rFonts w:ascii="Times New Roman" w:hAnsi="Times New Roman" w:cs="Times New Roman"/>
          <w:sz w:val="24"/>
          <w:szCs w:val="24"/>
          <w:shd w:val="clear" w:color="auto" w:fill="FFFFFF"/>
        </w:rPr>
        <w:t xml:space="preserve">Obecnie </w:t>
      </w:r>
      <w:r w:rsidR="007F6823" w:rsidRPr="00E11754">
        <w:rPr>
          <w:rFonts w:ascii="Times New Roman" w:hAnsi="Times New Roman" w:cs="Times New Roman"/>
          <w:sz w:val="24"/>
          <w:szCs w:val="24"/>
        </w:rPr>
        <w:t xml:space="preserve">w praktyce </w:t>
      </w:r>
      <w:r w:rsidR="004573CC" w:rsidRPr="00E11754">
        <w:rPr>
          <w:rFonts w:ascii="Times New Roman" w:hAnsi="Times New Roman" w:cs="Times New Roman"/>
          <w:sz w:val="24"/>
          <w:szCs w:val="24"/>
        </w:rPr>
        <w:t>klinicznej</w:t>
      </w:r>
      <w:r w:rsidR="0060367A" w:rsidRPr="00E11754">
        <w:rPr>
          <w:rFonts w:ascii="Times New Roman" w:hAnsi="Times New Roman" w:cs="Times New Roman"/>
          <w:sz w:val="24"/>
          <w:szCs w:val="24"/>
        </w:rPr>
        <w:t xml:space="preserve"> </w:t>
      </w:r>
      <w:r w:rsidR="002A2205" w:rsidRPr="00E11754">
        <w:rPr>
          <w:rFonts w:ascii="Times New Roman" w:hAnsi="Times New Roman" w:cs="Times New Roman"/>
          <w:sz w:val="24"/>
          <w:szCs w:val="24"/>
        </w:rPr>
        <w:t xml:space="preserve">wśród monitorowanych leków </w:t>
      </w:r>
      <w:r w:rsidR="0060367A" w:rsidRPr="00E11754">
        <w:rPr>
          <w:rFonts w:ascii="Times New Roman" w:hAnsi="Times New Roman" w:cs="Times New Roman"/>
          <w:sz w:val="24"/>
          <w:szCs w:val="24"/>
        </w:rPr>
        <w:t>można wyróżnić</w:t>
      </w:r>
      <w:r w:rsidR="002A2205" w:rsidRPr="00E11754">
        <w:rPr>
          <w:rFonts w:ascii="Times New Roman" w:hAnsi="Times New Roman" w:cs="Times New Roman"/>
          <w:sz w:val="24"/>
          <w:szCs w:val="24"/>
        </w:rPr>
        <w:t xml:space="preserve"> m.in.</w:t>
      </w:r>
      <w:r w:rsidR="00466DDE" w:rsidRPr="00E11754">
        <w:rPr>
          <w:rFonts w:ascii="Times New Roman" w:hAnsi="Times New Roman" w:cs="Times New Roman"/>
          <w:sz w:val="24"/>
          <w:szCs w:val="24"/>
        </w:rPr>
        <w:t xml:space="preserve"> </w:t>
      </w:r>
      <w:r w:rsidR="0060367A" w:rsidRPr="00E11754">
        <w:rPr>
          <w:rFonts w:ascii="Times New Roman" w:hAnsi="Times New Roman" w:cs="Times New Roman"/>
          <w:sz w:val="24"/>
          <w:szCs w:val="24"/>
        </w:rPr>
        <w:t>antybiotyki, leki przeciwcukrzycowe</w:t>
      </w:r>
      <w:r w:rsidR="00A66A7F" w:rsidRPr="00E11754">
        <w:rPr>
          <w:rFonts w:ascii="Times New Roman" w:hAnsi="Times New Roman" w:cs="Times New Roman"/>
          <w:sz w:val="24"/>
          <w:szCs w:val="24"/>
        </w:rPr>
        <w:t xml:space="preserve"> czy</w:t>
      </w:r>
      <w:r w:rsidR="00F532DD" w:rsidRPr="00E11754">
        <w:rPr>
          <w:rFonts w:ascii="Times New Roman" w:hAnsi="Times New Roman" w:cs="Times New Roman"/>
          <w:sz w:val="24"/>
          <w:szCs w:val="24"/>
        </w:rPr>
        <w:t xml:space="preserve"> przeciwpadaczkowe</w:t>
      </w:r>
      <w:r w:rsidR="008D518D">
        <w:rPr>
          <w:rFonts w:ascii="Times New Roman" w:hAnsi="Times New Roman" w:cs="Times New Roman"/>
          <w:sz w:val="24"/>
          <w:szCs w:val="24"/>
        </w:rPr>
        <w:t xml:space="preserve"> </w:t>
      </w:r>
      <w:r w:rsidR="008D518D">
        <w:rPr>
          <w:rFonts w:ascii="Times New Roman" w:hAnsi="Times New Roman" w:cs="Times New Roman"/>
          <w:sz w:val="24"/>
          <w:szCs w:val="24"/>
        </w:rPr>
        <w:fldChar w:fldCharType="begin" w:fldLock="1"/>
      </w:r>
      <w:r w:rsidR="003F3548">
        <w:rPr>
          <w:rFonts w:ascii="Times New Roman" w:hAnsi="Times New Roman" w:cs="Times New Roman"/>
          <w:sz w:val="24"/>
          <w:szCs w:val="24"/>
        </w:rPr>
        <w:instrText>ADDIN CSL_CITATION {"citationItems":[{"id":"ITEM-1","itemData":{"DOI":"10.1097/00007691-200502000-00004","ISSN":"01634356","PMID":"15665740","abstract":"There are a number of effective but highly toxic drugs that exhibit a narrow therapeutic index and marked interpatient pharmacokinetic variability. Individualized therapy with such drugs requires therapeutic drug monitoring (TDM) to obtain the desired clinical effects safely. Cost-effectiveness analysis in health care is still at an early stage of development, especially for TDM. A systematic review was carried out to document studies that have addressed the cost-effectiveness of TDM. The Cochrane database and Medline were searched. References identified by this approach were then searched manually for relevant articles. Very few studies have been performed that document the cost-effectiveness of TDM, and TDM has been demonstrated to be cost-effective only for aminoglycosides. For the other classes of drugs that are monitored, the rationale for TDM has been supported, but appropriate cost-effectiveness analyses have not been performed. Because the use of many of these drugs without TDM would increase the risk of under- or overdosing, emphasis should not be placed solely on cost-effectiveness but rather on how such interventions can be applied in the most cost-effective and clinically useful manner.","author":[{"dropping-particle":"","family":"Touw","given":"D. J.","non-dropping-particle":"","parse-names":false,"suffix":""},{"dropping-particle":"","family":"Neef","given":"C.","non-dropping-particle":"","parse-names":false,"suffix":""},{"dropping-particle":"","family":"Thomson","given":"A. H.","non-dropping-particle":"","parse-names":false,"suffix":""},{"dropping-particle":"","family":"Vinks","given":"A. A.","non-dropping-particle":"","parse-names":false,"suffix":""}],"container-title":"Therapeutic Drug Monitoring","id":"ITEM-1","issue":"1","issued":{"date-parts":[["2005"]]},"page":"10-17","title":"Cost-effectiveness of therapeutic drug monitoring: A systematic review","type":"article-journal","volume":"27"},"uris":["http://www.mendeley.com/documents/?uuid=4b1ed0d1-56e7-43e6-aac4-49fc90d5ca4d"]}],"mendeley":{"formattedCitation":"[43]","plainTextFormattedCitation":"[43]","previouslyFormattedCitation":"[43]"},"properties":{"noteIndex":0},"schema":"https://github.com/citation-style-language/schema/raw/master/csl-citation.json"}</w:instrText>
      </w:r>
      <w:r w:rsidR="008D518D">
        <w:rPr>
          <w:rFonts w:ascii="Times New Roman" w:hAnsi="Times New Roman" w:cs="Times New Roman"/>
          <w:sz w:val="24"/>
          <w:szCs w:val="24"/>
        </w:rPr>
        <w:fldChar w:fldCharType="separate"/>
      </w:r>
      <w:r w:rsidR="008D518D" w:rsidRPr="008D518D">
        <w:rPr>
          <w:rFonts w:ascii="Times New Roman" w:hAnsi="Times New Roman" w:cs="Times New Roman"/>
          <w:noProof/>
          <w:sz w:val="24"/>
          <w:szCs w:val="24"/>
        </w:rPr>
        <w:t>[43]</w:t>
      </w:r>
      <w:r w:rsidR="008D518D">
        <w:rPr>
          <w:rFonts w:ascii="Times New Roman" w:hAnsi="Times New Roman" w:cs="Times New Roman"/>
          <w:sz w:val="24"/>
          <w:szCs w:val="24"/>
        </w:rPr>
        <w:fldChar w:fldCharType="end"/>
      </w:r>
      <w:r w:rsidR="008D518D">
        <w:rPr>
          <w:rFonts w:ascii="Times New Roman" w:hAnsi="Times New Roman" w:cs="Times New Roman"/>
          <w:sz w:val="24"/>
          <w:szCs w:val="24"/>
        </w:rPr>
        <w:t>,</w:t>
      </w:r>
      <w:r w:rsidR="007E029A">
        <w:rPr>
          <w:rFonts w:ascii="Times New Roman" w:hAnsi="Times New Roman" w:cs="Times New Roman"/>
          <w:sz w:val="24"/>
          <w:szCs w:val="24"/>
        </w:rPr>
        <w:t xml:space="preserve"> </w:t>
      </w:r>
      <w:r w:rsidR="001269BF" w:rsidRPr="00045D4B">
        <w:rPr>
          <w:rFonts w:ascii="Times New Roman" w:hAnsi="Times New Roman" w:cs="Times New Roman"/>
          <w:sz w:val="24"/>
          <w:szCs w:val="24"/>
        </w:rPr>
        <w:t xml:space="preserve">a także </w:t>
      </w:r>
      <w:proofErr w:type="spellStart"/>
      <w:r w:rsidR="001269BF" w:rsidRPr="00045D4B">
        <w:rPr>
          <w:rFonts w:ascii="Times New Roman" w:hAnsi="Times New Roman" w:cs="Times New Roman"/>
          <w:sz w:val="24"/>
          <w:szCs w:val="24"/>
        </w:rPr>
        <w:t>metotreksat</w:t>
      </w:r>
      <w:proofErr w:type="spellEnd"/>
      <w:r w:rsidR="001269BF" w:rsidRPr="00045D4B">
        <w:rPr>
          <w:rFonts w:ascii="Times New Roman" w:hAnsi="Times New Roman" w:cs="Times New Roman"/>
          <w:sz w:val="24"/>
          <w:szCs w:val="24"/>
        </w:rPr>
        <w:t xml:space="preserve">, 5-flourouracyl, </w:t>
      </w:r>
      <w:proofErr w:type="spellStart"/>
      <w:r w:rsidR="001269BF" w:rsidRPr="00045D4B">
        <w:rPr>
          <w:rFonts w:ascii="Times New Roman" w:hAnsi="Times New Roman" w:cs="Times New Roman"/>
          <w:sz w:val="24"/>
          <w:szCs w:val="24"/>
        </w:rPr>
        <w:t>bu</w:t>
      </w:r>
      <w:r w:rsidR="001D5C7F" w:rsidRPr="00045D4B">
        <w:rPr>
          <w:rFonts w:ascii="Times New Roman" w:hAnsi="Times New Roman" w:cs="Times New Roman"/>
          <w:sz w:val="24"/>
          <w:szCs w:val="24"/>
        </w:rPr>
        <w:t>s</w:t>
      </w:r>
      <w:r w:rsidR="00FE0850" w:rsidRPr="00045D4B">
        <w:rPr>
          <w:rFonts w:ascii="Times New Roman" w:hAnsi="Times New Roman" w:cs="Times New Roman"/>
          <w:sz w:val="24"/>
          <w:szCs w:val="24"/>
        </w:rPr>
        <w:t>u</w:t>
      </w:r>
      <w:r w:rsidR="001269BF" w:rsidRPr="00045D4B">
        <w:rPr>
          <w:rFonts w:ascii="Times New Roman" w:hAnsi="Times New Roman" w:cs="Times New Roman"/>
          <w:sz w:val="24"/>
          <w:szCs w:val="24"/>
        </w:rPr>
        <w:t>lfan</w:t>
      </w:r>
      <w:proofErr w:type="spellEnd"/>
      <w:r w:rsidR="001269BF" w:rsidRPr="00045D4B">
        <w:rPr>
          <w:rFonts w:ascii="Times New Roman" w:hAnsi="Times New Roman" w:cs="Times New Roman"/>
          <w:sz w:val="24"/>
          <w:szCs w:val="24"/>
        </w:rPr>
        <w:t xml:space="preserve"> czy </w:t>
      </w:r>
      <w:proofErr w:type="spellStart"/>
      <w:r w:rsidR="001269BF" w:rsidRPr="00045D4B">
        <w:rPr>
          <w:rFonts w:ascii="Times New Roman" w:hAnsi="Times New Roman" w:cs="Times New Roman"/>
          <w:sz w:val="24"/>
          <w:szCs w:val="24"/>
        </w:rPr>
        <w:t>karboplatyna</w:t>
      </w:r>
      <w:proofErr w:type="spellEnd"/>
      <w:r w:rsidR="001269BF" w:rsidRPr="00045D4B">
        <w:rPr>
          <w:rFonts w:ascii="Times New Roman" w:hAnsi="Times New Roman" w:cs="Times New Roman"/>
          <w:sz w:val="24"/>
          <w:szCs w:val="24"/>
        </w:rPr>
        <w:t xml:space="preserve"> należące do leków o działaniu przeciwnowotworowym </w:t>
      </w:r>
      <w:r w:rsidR="008429C3">
        <w:rPr>
          <w:rFonts w:ascii="Times New Roman" w:hAnsi="Times New Roman" w:cs="Times New Roman"/>
          <w:sz w:val="24"/>
          <w:szCs w:val="24"/>
        </w:rPr>
        <w:fldChar w:fldCharType="begin" w:fldLock="1"/>
      </w:r>
      <w:r w:rsidR="003F3548">
        <w:rPr>
          <w:rFonts w:ascii="Times New Roman" w:hAnsi="Times New Roman" w:cs="Times New Roman"/>
          <w:sz w:val="24"/>
          <w:szCs w:val="24"/>
        </w:rPr>
        <w:instrText>ADDIN CSL_CITATION {"citationItems":[{"id":"ITEM-1","itemData":{"DOI":"10.1002/cpt.1124","ISSN":"15326535","PMID":"29923599","abstract":"5-Fluorouracil (5-FU) is dosed by body surface area, a practice unable to reduce the interindividual variability in exposure. Endorsed by the International Association of Therapeutic Drug Monitoring and Clinical Toxicology (IATDMCT), we evaluated clinical evidence and strongly recommend TDM for the management of 5-FU therapy in patients with colorectal or head-and-neck cancer receiving common 5-FU regimens. Our systematic methodology provides a framework to evaluate published evidence in support of TDM recommendations in oncology.","author":[{"dropping-particle":"","family":"Beumer","given":"Jan H.","non-dropping-particle":"","parse-names":false,"suffix":""},{"dropping-particle":"","family":"Chu","given":"Edward","non-dropping-particle":"","parse-names":false,"suffix":""},{"dropping-particle":"","family":"Allegra","given":"Carmen","non-dropping-particle":"","parse-names":false,"suffix":""},{"dropping-particle":"","family":"Tanigawara","given":"Yusuke","non-dropping-particle":"","parse-names":false,"suffix":""},{"dropping-particle":"","family":"Milano","given":"Gerard","non-dropping-particle":"","parse-names":false,"suffix":""},{"dropping-particle":"","family":"Diasio","given":"Robert","non-dropping-particle":"","parse-names":false,"suffix":""},{"dropping-particle":"","family":"Kim","given":"Tae Won","non-dropping-particle":"","parse-names":false,"suffix":""},{"dropping-particle":"","family":"Mathijssen","given":"Ron H.","non-dropping-particle":"","parse-names":false,"suffix":""},{"dropping-particle":"","family":"Zhang","given":"Li","non-dropping-particle":"","parse-names":false,"suffix":""},{"dropping-particle":"","family":"Arnold","given":"Dirk","non-dropping-particle":"","parse-names":false,"suffix":""},{"dropping-particle":"","family":"Muneoka","given":"Katsuki","non-dropping-particle":"","parse-names":false,"suffix":""},{"dropping-particle":"","family":"Boku","given":"Narikazu","non-dropping-particle":"","parse-names":false,"suffix":""},{"dropping-particle":"","family":"Joerger","given":"Markus","non-dropping-particle":"","parse-names":false,"suffix":""}],"container-title":"Clinical Pharmacology and Therapeutics","id":"ITEM-1","issue":"3","issued":{"date-parts":[["2019"]]},"page":"598-613","title":"Therapeutic Drug Monitoring in Oncology: International Association of Therapeutic Drug Monitoring and Clinical Toxicology Recommendations for 5-Fluorouracil Therapy","type":"article-journal","volume":"105"},"uris":["http://www.mendeley.com/documents/?uuid=15d30ed5-7de5-4daa-b100-fc04852a77f9"]}],"mendeley":{"formattedCitation":"[44]","plainTextFormattedCitation":"[44]","previouslyFormattedCitation":"[44]"},"properties":{"noteIndex":0},"schema":"https://github.com/citation-style-language/schema/raw/master/csl-citation.json"}</w:instrText>
      </w:r>
      <w:r w:rsidR="008429C3">
        <w:rPr>
          <w:rFonts w:ascii="Times New Roman" w:hAnsi="Times New Roman" w:cs="Times New Roman"/>
          <w:sz w:val="24"/>
          <w:szCs w:val="24"/>
        </w:rPr>
        <w:fldChar w:fldCharType="separate"/>
      </w:r>
      <w:r w:rsidR="008D518D" w:rsidRPr="008D518D">
        <w:rPr>
          <w:rFonts w:ascii="Times New Roman" w:hAnsi="Times New Roman" w:cs="Times New Roman"/>
          <w:noProof/>
          <w:sz w:val="24"/>
          <w:szCs w:val="24"/>
        </w:rPr>
        <w:t>[44]</w:t>
      </w:r>
      <w:r w:rsidR="008429C3">
        <w:rPr>
          <w:rFonts w:ascii="Times New Roman" w:hAnsi="Times New Roman" w:cs="Times New Roman"/>
          <w:sz w:val="24"/>
          <w:szCs w:val="24"/>
        </w:rPr>
        <w:fldChar w:fldCharType="end"/>
      </w:r>
      <w:r w:rsidR="008429C3">
        <w:rPr>
          <w:rFonts w:ascii="Times New Roman" w:hAnsi="Times New Roman" w:cs="Times New Roman"/>
          <w:sz w:val="24"/>
          <w:szCs w:val="24"/>
        </w:rPr>
        <w:t>.</w:t>
      </w:r>
      <w:r>
        <w:rPr>
          <w:rFonts w:ascii="Times New Roman" w:hAnsi="Times New Roman" w:cs="Times New Roman"/>
          <w:sz w:val="24"/>
          <w:szCs w:val="24"/>
        </w:rPr>
        <w:t xml:space="preserve"> </w:t>
      </w:r>
      <w:r w:rsidR="008D310F" w:rsidRPr="00E11754">
        <w:rPr>
          <w:rFonts w:ascii="Times New Roman" w:hAnsi="Times New Roman" w:cs="Times New Roman"/>
          <w:sz w:val="24"/>
          <w:szCs w:val="24"/>
        </w:rPr>
        <w:t xml:space="preserve">Wskazaniem do </w:t>
      </w:r>
      <w:r w:rsidR="00406788" w:rsidRPr="00E11754">
        <w:rPr>
          <w:rFonts w:ascii="Times New Roman" w:hAnsi="Times New Roman" w:cs="Times New Roman"/>
          <w:sz w:val="24"/>
          <w:szCs w:val="24"/>
        </w:rPr>
        <w:t xml:space="preserve">ich </w:t>
      </w:r>
      <w:r w:rsidR="008D310F" w:rsidRPr="00E11754">
        <w:rPr>
          <w:rFonts w:ascii="Times New Roman" w:hAnsi="Times New Roman" w:cs="Times New Roman"/>
          <w:sz w:val="24"/>
          <w:szCs w:val="24"/>
        </w:rPr>
        <w:t xml:space="preserve">monitorowania </w:t>
      </w:r>
      <w:r w:rsidR="004E6156" w:rsidRPr="00E11754">
        <w:rPr>
          <w:rFonts w:ascii="Times New Roman" w:hAnsi="Times New Roman" w:cs="Times New Roman"/>
          <w:sz w:val="24"/>
          <w:szCs w:val="24"/>
        </w:rPr>
        <w:t>jest wąski indeks terapeutyczny</w:t>
      </w:r>
      <w:r w:rsidR="004A25F4" w:rsidRPr="00E11754">
        <w:rPr>
          <w:rFonts w:ascii="Times New Roman" w:hAnsi="Times New Roman" w:cs="Times New Roman"/>
          <w:sz w:val="24"/>
          <w:szCs w:val="24"/>
        </w:rPr>
        <w:t>, którym</w:t>
      </w:r>
      <w:r w:rsidR="00A3354B" w:rsidRPr="00E11754">
        <w:rPr>
          <w:rFonts w:ascii="Times New Roman" w:hAnsi="Times New Roman" w:cs="Times New Roman"/>
          <w:sz w:val="24"/>
          <w:szCs w:val="24"/>
        </w:rPr>
        <w:t>i te substancje czynne się</w:t>
      </w:r>
      <w:r w:rsidR="004A25F4" w:rsidRPr="00E11754">
        <w:rPr>
          <w:rFonts w:ascii="Times New Roman" w:hAnsi="Times New Roman" w:cs="Times New Roman"/>
          <w:sz w:val="24"/>
          <w:szCs w:val="24"/>
        </w:rPr>
        <w:t xml:space="preserve"> charakteryzują</w:t>
      </w:r>
      <w:r w:rsidR="00406788" w:rsidRPr="00E11754">
        <w:rPr>
          <w:rFonts w:ascii="Times New Roman" w:hAnsi="Times New Roman" w:cs="Times New Roman"/>
          <w:sz w:val="24"/>
          <w:szCs w:val="24"/>
        </w:rPr>
        <w:t>. Tą samą</w:t>
      </w:r>
      <w:r w:rsidR="00A3354B" w:rsidRPr="00E11754">
        <w:rPr>
          <w:rFonts w:ascii="Times New Roman" w:hAnsi="Times New Roman" w:cs="Times New Roman"/>
          <w:sz w:val="24"/>
          <w:szCs w:val="24"/>
        </w:rPr>
        <w:t xml:space="preserve"> właściwość </w:t>
      </w:r>
      <w:r w:rsidR="00406788" w:rsidRPr="00E11754">
        <w:rPr>
          <w:rFonts w:ascii="Times New Roman" w:hAnsi="Times New Roman" w:cs="Times New Roman"/>
          <w:sz w:val="24"/>
          <w:szCs w:val="24"/>
        </w:rPr>
        <w:t xml:space="preserve">posiada także szereg innych </w:t>
      </w:r>
      <w:r w:rsidR="004A25F4" w:rsidRPr="00E11754">
        <w:rPr>
          <w:rFonts w:ascii="Times New Roman" w:hAnsi="Times New Roman" w:cs="Times New Roman"/>
          <w:sz w:val="24"/>
          <w:szCs w:val="24"/>
        </w:rPr>
        <w:t xml:space="preserve">leków o działaniu cytostatycznym czy cytotoksycznym. </w:t>
      </w:r>
      <w:r w:rsidR="004F15F1" w:rsidRPr="00E11754">
        <w:rPr>
          <w:rFonts w:ascii="Times New Roman" w:hAnsi="Times New Roman" w:cs="Times New Roman"/>
          <w:sz w:val="24"/>
          <w:szCs w:val="24"/>
        </w:rPr>
        <w:t>Dla te</w:t>
      </w:r>
      <w:r w:rsidR="00A3354B" w:rsidRPr="00E11754">
        <w:rPr>
          <w:rFonts w:ascii="Times New Roman" w:hAnsi="Times New Roman" w:cs="Times New Roman"/>
          <w:sz w:val="24"/>
          <w:szCs w:val="24"/>
        </w:rPr>
        <w:t xml:space="preserve">go typu </w:t>
      </w:r>
      <w:r w:rsidR="004F15F1" w:rsidRPr="00E11754">
        <w:rPr>
          <w:rFonts w:ascii="Times New Roman" w:hAnsi="Times New Roman" w:cs="Times New Roman"/>
          <w:sz w:val="24"/>
          <w:szCs w:val="24"/>
        </w:rPr>
        <w:t xml:space="preserve">leków szczególnie trudno jest </w:t>
      </w:r>
      <w:r w:rsidR="00406788" w:rsidRPr="00E11754">
        <w:rPr>
          <w:rFonts w:ascii="Times New Roman" w:hAnsi="Times New Roman" w:cs="Times New Roman"/>
          <w:sz w:val="24"/>
          <w:szCs w:val="24"/>
        </w:rPr>
        <w:t>ustalić</w:t>
      </w:r>
      <w:r w:rsidR="004F15F1" w:rsidRPr="00E11754">
        <w:rPr>
          <w:rFonts w:ascii="Times New Roman" w:hAnsi="Times New Roman" w:cs="Times New Roman"/>
          <w:sz w:val="24"/>
          <w:szCs w:val="24"/>
        </w:rPr>
        <w:t xml:space="preserve"> właściwą dawkę</w:t>
      </w:r>
      <w:r w:rsidR="008B44B8" w:rsidRPr="00E11754">
        <w:rPr>
          <w:rFonts w:ascii="Times New Roman" w:hAnsi="Times New Roman" w:cs="Times New Roman"/>
          <w:sz w:val="24"/>
          <w:szCs w:val="24"/>
        </w:rPr>
        <w:t xml:space="preserve"> z uwagi na </w:t>
      </w:r>
      <w:r w:rsidR="00406788" w:rsidRPr="00E11754">
        <w:rPr>
          <w:rFonts w:ascii="Times New Roman" w:hAnsi="Times New Roman" w:cs="Times New Roman"/>
          <w:sz w:val="24"/>
          <w:szCs w:val="24"/>
        </w:rPr>
        <w:t>duż</w:t>
      </w:r>
      <w:r w:rsidR="007532E8" w:rsidRPr="00E11754">
        <w:rPr>
          <w:rFonts w:ascii="Times New Roman" w:hAnsi="Times New Roman" w:cs="Times New Roman"/>
          <w:sz w:val="24"/>
          <w:szCs w:val="24"/>
        </w:rPr>
        <w:t>ą</w:t>
      </w:r>
      <w:r w:rsidR="00406788" w:rsidRPr="00E11754">
        <w:rPr>
          <w:rFonts w:ascii="Times New Roman" w:hAnsi="Times New Roman" w:cs="Times New Roman"/>
          <w:sz w:val="24"/>
          <w:szCs w:val="24"/>
        </w:rPr>
        <w:t xml:space="preserve"> zmiennoś</w:t>
      </w:r>
      <w:r w:rsidR="007532E8" w:rsidRPr="00E11754">
        <w:rPr>
          <w:rFonts w:ascii="Times New Roman" w:hAnsi="Times New Roman" w:cs="Times New Roman"/>
          <w:sz w:val="24"/>
          <w:szCs w:val="24"/>
        </w:rPr>
        <w:t>ć</w:t>
      </w:r>
      <w:r w:rsidR="00406788" w:rsidRPr="00E11754">
        <w:rPr>
          <w:rFonts w:ascii="Times New Roman" w:hAnsi="Times New Roman" w:cs="Times New Roman"/>
          <w:sz w:val="24"/>
          <w:szCs w:val="24"/>
        </w:rPr>
        <w:t xml:space="preserve"> wewnątrz- i </w:t>
      </w:r>
      <w:r w:rsidR="001269BF" w:rsidRPr="00E11754">
        <w:rPr>
          <w:rFonts w:ascii="Times New Roman" w:hAnsi="Times New Roman" w:cs="Times New Roman"/>
          <w:sz w:val="24"/>
          <w:szCs w:val="24"/>
        </w:rPr>
        <w:t>międzyosobnicz</w:t>
      </w:r>
      <w:r w:rsidR="007532E8" w:rsidRPr="00E11754">
        <w:rPr>
          <w:rFonts w:ascii="Times New Roman" w:hAnsi="Times New Roman" w:cs="Times New Roman"/>
          <w:sz w:val="24"/>
          <w:szCs w:val="24"/>
        </w:rPr>
        <w:t xml:space="preserve">ą oraz ogólny stan zdrowotny pacjenta, które </w:t>
      </w:r>
      <w:r w:rsidR="001269BF" w:rsidRPr="00E11754">
        <w:rPr>
          <w:rFonts w:ascii="Times New Roman" w:hAnsi="Times New Roman" w:cs="Times New Roman"/>
          <w:sz w:val="24"/>
          <w:szCs w:val="24"/>
        </w:rPr>
        <w:t>mogą</w:t>
      </w:r>
      <w:r w:rsidR="001F479D" w:rsidRPr="00E11754">
        <w:rPr>
          <w:rFonts w:ascii="Times New Roman" w:hAnsi="Times New Roman" w:cs="Times New Roman"/>
          <w:sz w:val="24"/>
          <w:szCs w:val="24"/>
        </w:rPr>
        <w:t xml:space="preserve"> </w:t>
      </w:r>
      <w:r w:rsidR="001269BF" w:rsidRPr="00E11754">
        <w:rPr>
          <w:rFonts w:ascii="Times New Roman" w:hAnsi="Times New Roman" w:cs="Times New Roman"/>
          <w:sz w:val="24"/>
          <w:szCs w:val="24"/>
        </w:rPr>
        <w:t>znacząco różnicować procesy wchłaniania, dystrybucji, metabolizmu czy eliminacji leku z organizmu</w:t>
      </w:r>
      <w:r w:rsidR="007532E8" w:rsidRPr="00E11754">
        <w:rPr>
          <w:rFonts w:ascii="Times New Roman" w:hAnsi="Times New Roman" w:cs="Times New Roman"/>
          <w:sz w:val="24"/>
          <w:szCs w:val="24"/>
        </w:rPr>
        <w:t xml:space="preserve">. W efekcie, </w:t>
      </w:r>
      <w:r w:rsidR="004F15F1" w:rsidRPr="00E11754">
        <w:rPr>
          <w:rFonts w:ascii="Times New Roman" w:hAnsi="Times New Roman" w:cs="Times New Roman"/>
          <w:sz w:val="24"/>
          <w:szCs w:val="24"/>
        </w:rPr>
        <w:t>ostateczn</w:t>
      </w:r>
      <w:r w:rsidR="007532E8" w:rsidRPr="00E11754">
        <w:rPr>
          <w:rFonts w:ascii="Times New Roman" w:hAnsi="Times New Roman" w:cs="Times New Roman"/>
          <w:sz w:val="24"/>
          <w:szCs w:val="24"/>
        </w:rPr>
        <w:t>e</w:t>
      </w:r>
      <w:r w:rsidR="004F15F1" w:rsidRPr="00E11754">
        <w:rPr>
          <w:rFonts w:ascii="Times New Roman" w:hAnsi="Times New Roman" w:cs="Times New Roman"/>
          <w:sz w:val="24"/>
          <w:szCs w:val="24"/>
        </w:rPr>
        <w:t xml:space="preserve"> </w:t>
      </w:r>
      <w:r w:rsidR="001269BF" w:rsidRPr="00E11754">
        <w:rPr>
          <w:rFonts w:ascii="Times New Roman" w:hAnsi="Times New Roman" w:cs="Times New Roman"/>
          <w:sz w:val="24"/>
          <w:szCs w:val="24"/>
        </w:rPr>
        <w:t>poziom</w:t>
      </w:r>
      <w:r w:rsidR="007532E8" w:rsidRPr="00E11754">
        <w:rPr>
          <w:rFonts w:ascii="Times New Roman" w:hAnsi="Times New Roman" w:cs="Times New Roman"/>
          <w:sz w:val="24"/>
          <w:szCs w:val="24"/>
        </w:rPr>
        <w:t>y</w:t>
      </w:r>
      <w:r w:rsidR="001269BF" w:rsidRPr="00E11754">
        <w:rPr>
          <w:rFonts w:ascii="Times New Roman" w:hAnsi="Times New Roman" w:cs="Times New Roman"/>
          <w:sz w:val="24"/>
          <w:szCs w:val="24"/>
        </w:rPr>
        <w:t xml:space="preserve"> substancji lecznicz</w:t>
      </w:r>
      <w:r w:rsidR="004F15F1" w:rsidRPr="00E11754">
        <w:rPr>
          <w:rFonts w:ascii="Times New Roman" w:hAnsi="Times New Roman" w:cs="Times New Roman"/>
          <w:sz w:val="24"/>
          <w:szCs w:val="24"/>
        </w:rPr>
        <w:t>ej u człowieka mogą charakteryzować</w:t>
      </w:r>
      <w:r w:rsidR="007532E8" w:rsidRPr="00E11754">
        <w:rPr>
          <w:rFonts w:ascii="Times New Roman" w:hAnsi="Times New Roman" w:cs="Times New Roman"/>
          <w:sz w:val="24"/>
          <w:szCs w:val="24"/>
        </w:rPr>
        <w:t xml:space="preserve"> się bardzo dużą zmiennością</w:t>
      </w:r>
      <w:r w:rsidR="004F15F1" w:rsidRPr="00E11754">
        <w:rPr>
          <w:rFonts w:ascii="Times New Roman" w:hAnsi="Times New Roman" w:cs="Times New Roman"/>
          <w:sz w:val="24"/>
          <w:szCs w:val="24"/>
        </w:rPr>
        <w:t>.</w:t>
      </w:r>
      <w:r w:rsidR="001269BF" w:rsidRPr="00E11754">
        <w:rPr>
          <w:rFonts w:ascii="Times New Roman" w:hAnsi="Times New Roman" w:cs="Times New Roman"/>
          <w:sz w:val="24"/>
          <w:szCs w:val="24"/>
        </w:rPr>
        <w:t xml:space="preserve"> </w:t>
      </w:r>
      <w:r w:rsidR="004F15F1" w:rsidRPr="00E11754">
        <w:rPr>
          <w:rFonts w:ascii="Times New Roman" w:hAnsi="Times New Roman" w:cs="Times New Roman"/>
          <w:sz w:val="24"/>
          <w:szCs w:val="24"/>
        </w:rPr>
        <w:t>Kolejnymi czynnikami</w:t>
      </w:r>
      <w:r w:rsidR="00A3354B" w:rsidRPr="00E11754">
        <w:rPr>
          <w:rFonts w:ascii="Times New Roman" w:hAnsi="Times New Roman" w:cs="Times New Roman"/>
          <w:sz w:val="24"/>
          <w:szCs w:val="24"/>
        </w:rPr>
        <w:t xml:space="preserve"> </w:t>
      </w:r>
      <w:r w:rsidR="00802886" w:rsidRPr="00E11754">
        <w:rPr>
          <w:rFonts w:ascii="Times New Roman" w:hAnsi="Times New Roman" w:cs="Times New Roman"/>
          <w:sz w:val="24"/>
          <w:szCs w:val="24"/>
        </w:rPr>
        <w:t>są</w:t>
      </w:r>
      <w:r w:rsidR="001269BF" w:rsidRPr="00E11754">
        <w:rPr>
          <w:rFonts w:ascii="Times New Roman" w:hAnsi="Times New Roman" w:cs="Times New Roman"/>
          <w:sz w:val="24"/>
          <w:szCs w:val="24"/>
        </w:rPr>
        <w:t xml:space="preserve"> wiek, płeć czy masa ciała. </w:t>
      </w:r>
      <w:r w:rsidR="004A25F4" w:rsidRPr="00E11754">
        <w:rPr>
          <w:rFonts w:ascii="Times New Roman" w:hAnsi="Times New Roman" w:cs="Times New Roman"/>
          <w:sz w:val="24"/>
          <w:szCs w:val="24"/>
        </w:rPr>
        <w:t xml:space="preserve">Mimo </w:t>
      </w:r>
      <w:r w:rsidR="001930D6" w:rsidRPr="00E11754">
        <w:rPr>
          <w:rFonts w:ascii="Times New Roman" w:hAnsi="Times New Roman" w:cs="Times New Roman"/>
          <w:sz w:val="24"/>
          <w:szCs w:val="24"/>
        </w:rPr>
        <w:t xml:space="preserve">to, TDM </w:t>
      </w:r>
      <w:r w:rsidR="00CA4027" w:rsidRPr="00E11754">
        <w:rPr>
          <w:rFonts w:ascii="Times New Roman" w:hAnsi="Times New Roman" w:cs="Times New Roman"/>
          <w:sz w:val="24"/>
          <w:szCs w:val="24"/>
        </w:rPr>
        <w:t xml:space="preserve">dla pacjentów przyjmujących cytostatyki </w:t>
      </w:r>
      <w:r w:rsidR="001930D6" w:rsidRPr="00E11754">
        <w:rPr>
          <w:rFonts w:ascii="Times New Roman" w:hAnsi="Times New Roman" w:cs="Times New Roman"/>
          <w:sz w:val="24"/>
          <w:szCs w:val="24"/>
        </w:rPr>
        <w:t>nie jest tak popularn</w:t>
      </w:r>
      <w:r w:rsidR="00CA4027" w:rsidRPr="00E11754">
        <w:rPr>
          <w:rFonts w:ascii="Times New Roman" w:hAnsi="Times New Roman" w:cs="Times New Roman"/>
          <w:sz w:val="24"/>
          <w:szCs w:val="24"/>
        </w:rPr>
        <w:t>a</w:t>
      </w:r>
      <w:r w:rsidR="001930D6" w:rsidRPr="00E11754">
        <w:rPr>
          <w:rFonts w:ascii="Times New Roman" w:hAnsi="Times New Roman" w:cs="Times New Roman"/>
          <w:sz w:val="24"/>
          <w:szCs w:val="24"/>
        </w:rPr>
        <w:t xml:space="preserve"> w praktyce klinicznej</w:t>
      </w:r>
      <w:r w:rsidR="00CA4027" w:rsidRPr="00E11754">
        <w:rPr>
          <w:rFonts w:ascii="Times New Roman" w:hAnsi="Times New Roman" w:cs="Times New Roman"/>
          <w:sz w:val="24"/>
          <w:szCs w:val="24"/>
        </w:rPr>
        <w:t>, jak</w:t>
      </w:r>
      <w:r w:rsidR="001930D6" w:rsidRPr="00E11754">
        <w:rPr>
          <w:rFonts w:ascii="Times New Roman" w:hAnsi="Times New Roman" w:cs="Times New Roman"/>
          <w:sz w:val="24"/>
          <w:szCs w:val="24"/>
        </w:rPr>
        <w:t xml:space="preserve"> w przypadku </w:t>
      </w:r>
      <w:r w:rsidR="00CA4027" w:rsidRPr="00E11754">
        <w:rPr>
          <w:rFonts w:ascii="Times New Roman" w:hAnsi="Times New Roman" w:cs="Times New Roman"/>
          <w:sz w:val="24"/>
          <w:szCs w:val="24"/>
        </w:rPr>
        <w:t>innych</w:t>
      </w:r>
      <w:r w:rsidR="001930D6" w:rsidRPr="00E11754">
        <w:rPr>
          <w:rFonts w:ascii="Times New Roman" w:hAnsi="Times New Roman" w:cs="Times New Roman"/>
          <w:sz w:val="24"/>
          <w:szCs w:val="24"/>
        </w:rPr>
        <w:t xml:space="preserve"> grup </w:t>
      </w:r>
      <w:r w:rsidR="00A3354B" w:rsidRPr="00E11754">
        <w:rPr>
          <w:rFonts w:ascii="Times New Roman" w:hAnsi="Times New Roman" w:cs="Times New Roman"/>
          <w:sz w:val="24"/>
          <w:szCs w:val="24"/>
        </w:rPr>
        <w:t>farmako</w:t>
      </w:r>
      <w:r w:rsidR="00406788" w:rsidRPr="00E11754">
        <w:rPr>
          <w:rFonts w:ascii="Times New Roman" w:hAnsi="Times New Roman" w:cs="Times New Roman"/>
          <w:sz w:val="24"/>
          <w:szCs w:val="24"/>
        </w:rPr>
        <w:t>lo</w:t>
      </w:r>
      <w:r w:rsidR="00A3354B" w:rsidRPr="00E11754">
        <w:rPr>
          <w:rFonts w:ascii="Times New Roman" w:hAnsi="Times New Roman" w:cs="Times New Roman"/>
          <w:sz w:val="24"/>
          <w:szCs w:val="24"/>
        </w:rPr>
        <w:t>gicznych</w:t>
      </w:r>
      <w:r w:rsidR="001930D6" w:rsidRPr="00E11754">
        <w:rPr>
          <w:rFonts w:ascii="Times New Roman" w:hAnsi="Times New Roman" w:cs="Times New Roman"/>
          <w:sz w:val="24"/>
          <w:szCs w:val="24"/>
        </w:rPr>
        <w:t>.</w:t>
      </w:r>
      <w:r w:rsidR="00F532DD" w:rsidRPr="00E11754">
        <w:rPr>
          <w:rFonts w:ascii="Times New Roman" w:hAnsi="Times New Roman" w:cs="Times New Roman"/>
          <w:sz w:val="24"/>
          <w:szCs w:val="24"/>
        </w:rPr>
        <w:t xml:space="preserve"> </w:t>
      </w:r>
      <w:r w:rsidR="001876D5" w:rsidRPr="00E11754">
        <w:rPr>
          <w:rFonts w:ascii="Times New Roman" w:hAnsi="Times New Roman" w:cs="Times New Roman"/>
          <w:sz w:val="24"/>
          <w:szCs w:val="24"/>
        </w:rPr>
        <w:t>W celu zwiększenia</w:t>
      </w:r>
      <w:r w:rsidR="008D3636" w:rsidRPr="00E11754">
        <w:rPr>
          <w:rFonts w:ascii="Times New Roman" w:hAnsi="Times New Roman" w:cs="Times New Roman"/>
          <w:sz w:val="24"/>
          <w:szCs w:val="24"/>
        </w:rPr>
        <w:t xml:space="preserve"> świadomości</w:t>
      </w:r>
      <w:r w:rsidR="00AB07FD" w:rsidRPr="00E11754">
        <w:rPr>
          <w:rFonts w:ascii="Times New Roman" w:hAnsi="Times New Roman" w:cs="Times New Roman"/>
          <w:sz w:val="24"/>
          <w:szCs w:val="24"/>
        </w:rPr>
        <w:t xml:space="preserve"> zastosowania TDM w terapii </w:t>
      </w:r>
      <w:r w:rsidR="008D4F26" w:rsidRPr="00E11754">
        <w:rPr>
          <w:rFonts w:ascii="Times New Roman" w:hAnsi="Times New Roman" w:cs="Times New Roman"/>
          <w:sz w:val="24"/>
          <w:szCs w:val="24"/>
        </w:rPr>
        <w:t>przeciwnowotworowej</w:t>
      </w:r>
      <w:r w:rsidR="003F4200" w:rsidRPr="00E11754">
        <w:rPr>
          <w:rFonts w:ascii="Times New Roman" w:hAnsi="Times New Roman" w:cs="Times New Roman"/>
          <w:sz w:val="24"/>
          <w:szCs w:val="24"/>
        </w:rPr>
        <w:t xml:space="preserve"> </w:t>
      </w:r>
      <w:r w:rsidR="000A258A" w:rsidRPr="00E11754">
        <w:rPr>
          <w:rFonts w:ascii="Times New Roman" w:hAnsi="Times New Roman" w:cs="Times New Roman"/>
          <w:sz w:val="24"/>
          <w:szCs w:val="24"/>
        </w:rPr>
        <w:t xml:space="preserve">powstało </w:t>
      </w:r>
      <w:r w:rsidR="0006763D" w:rsidRPr="00E11754">
        <w:rPr>
          <w:rFonts w:ascii="Times New Roman" w:hAnsi="Times New Roman" w:cs="Times New Roman"/>
          <w:sz w:val="24"/>
          <w:szCs w:val="24"/>
        </w:rPr>
        <w:t>Międzynarodowe</w:t>
      </w:r>
      <w:r w:rsidR="000A258A" w:rsidRPr="00E11754">
        <w:rPr>
          <w:rFonts w:ascii="Times New Roman" w:hAnsi="Times New Roman" w:cs="Times New Roman"/>
          <w:sz w:val="24"/>
          <w:szCs w:val="24"/>
        </w:rPr>
        <w:t xml:space="preserve"> Stowarzyszenie </w:t>
      </w:r>
      <w:r w:rsidR="00CC3502" w:rsidRPr="00E11754">
        <w:rPr>
          <w:rFonts w:ascii="Times New Roman" w:hAnsi="Times New Roman" w:cs="Times New Roman"/>
          <w:sz w:val="24"/>
          <w:szCs w:val="24"/>
        </w:rPr>
        <w:t xml:space="preserve">Monitorowania Leków Terapeutycznych i </w:t>
      </w:r>
      <w:r w:rsidR="0006763D" w:rsidRPr="00E11754">
        <w:rPr>
          <w:rFonts w:ascii="Times New Roman" w:hAnsi="Times New Roman" w:cs="Times New Roman"/>
          <w:sz w:val="24"/>
          <w:szCs w:val="24"/>
        </w:rPr>
        <w:t>Toksykologii</w:t>
      </w:r>
      <w:r w:rsidR="00CC3502" w:rsidRPr="00E11754">
        <w:rPr>
          <w:rFonts w:ascii="Times New Roman" w:hAnsi="Times New Roman" w:cs="Times New Roman"/>
          <w:sz w:val="24"/>
          <w:szCs w:val="24"/>
        </w:rPr>
        <w:t xml:space="preserve"> Klinicznej (ang. </w:t>
      </w:r>
      <w:r w:rsidR="00640907" w:rsidRPr="7918CE45">
        <w:rPr>
          <w:rFonts w:ascii="Times New Roman" w:hAnsi="Times New Roman" w:cs="Times New Roman"/>
          <w:i/>
          <w:iCs/>
          <w:sz w:val="24"/>
          <w:szCs w:val="24"/>
          <w:lang w:val="en-GB"/>
        </w:rPr>
        <w:t>International Association</w:t>
      </w:r>
      <w:r w:rsidR="00A37FC2" w:rsidRPr="7918CE45">
        <w:rPr>
          <w:rFonts w:ascii="Times New Roman" w:hAnsi="Times New Roman" w:cs="Times New Roman"/>
          <w:i/>
          <w:iCs/>
          <w:sz w:val="24"/>
          <w:szCs w:val="24"/>
          <w:lang w:val="en-GB"/>
        </w:rPr>
        <w:t xml:space="preserve"> of Therapeutic Drug Monitoring and </w:t>
      </w:r>
      <w:r w:rsidR="009062B2" w:rsidRPr="7918CE45">
        <w:rPr>
          <w:rFonts w:ascii="Times New Roman" w:hAnsi="Times New Roman" w:cs="Times New Roman"/>
          <w:i/>
          <w:iCs/>
          <w:sz w:val="24"/>
          <w:szCs w:val="24"/>
          <w:lang w:val="en-GB"/>
        </w:rPr>
        <w:t>Clinical</w:t>
      </w:r>
      <w:r w:rsidR="00A37FC2" w:rsidRPr="7918CE45">
        <w:rPr>
          <w:rFonts w:ascii="Times New Roman" w:hAnsi="Times New Roman" w:cs="Times New Roman"/>
          <w:i/>
          <w:iCs/>
          <w:sz w:val="24"/>
          <w:szCs w:val="24"/>
          <w:lang w:val="en-GB"/>
        </w:rPr>
        <w:t xml:space="preserve"> Toxi</w:t>
      </w:r>
      <w:r w:rsidR="009062B2" w:rsidRPr="7918CE45">
        <w:rPr>
          <w:rFonts w:ascii="Times New Roman" w:hAnsi="Times New Roman" w:cs="Times New Roman"/>
          <w:i/>
          <w:iCs/>
          <w:sz w:val="24"/>
          <w:szCs w:val="24"/>
          <w:lang w:val="en-GB"/>
        </w:rPr>
        <w:t>cology</w:t>
      </w:r>
      <w:r w:rsidR="009062B2" w:rsidRPr="00E11754">
        <w:rPr>
          <w:rFonts w:ascii="Times New Roman" w:hAnsi="Times New Roman" w:cs="Times New Roman"/>
          <w:sz w:val="24"/>
          <w:szCs w:val="24"/>
          <w:lang w:val="en-GB"/>
        </w:rPr>
        <w:t xml:space="preserve">, </w:t>
      </w:r>
      <w:r w:rsidR="00CC3502" w:rsidRPr="00E11754">
        <w:rPr>
          <w:rFonts w:ascii="Times New Roman" w:eastAsia="Times New Roman" w:hAnsi="Times New Roman" w:cs="Times New Roman"/>
          <w:sz w:val="24"/>
          <w:szCs w:val="24"/>
          <w:bdr w:val="none" w:sz="0" w:space="0" w:color="auto" w:frame="1"/>
          <w:lang w:val="en-GB" w:eastAsia="pl-PL"/>
        </w:rPr>
        <w:t>IATDMCT)</w:t>
      </w:r>
      <w:r w:rsidR="00027152">
        <w:rPr>
          <w:rFonts w:ascii="Times New Roman" w:eastAsia="Times New Roman" w:hAnsi="Times New Roman" w:cs="Times New Roman"/>
          <w:sz w:val="24"/>
          <w:szCs w:val="24"/>
          <w:bdr w:val="none" w:sz="0" w:space="0" w:color="auto" w:frame="1"/>
          <w:lang w:val="en-GB" w:eastAsia="pl-PL"/>
        </w:rPr>
        <w:t xml:space="preserve"> </w:t>
      </w:r>
      <w:r w:rsidR="000757A5" w:rsidRPr="7918CE45">
        <w:rPr>
          <w:rFonts w:ascii="Times New Roman" w:eastAsia="Times New Roman" w:hAnsi="Times New Roman" w:cs="Times New Roman"/>
          <w:sz w:val="24"/>
          <w:szCs w:val="24"/>
          <w:lang w:val="en-GB" w:eastAsia="pl-PL"/>
        </w:rPr>
        <w:fldChar w:fldCharType="begin" w:fldLock="1"/>
      </w:r>
      <w:r w:rsidR="003F3548">
        <w:rPr>
          <w:rFonts w:ascii="Times New Roman" w:eastAsia="Times New Roman" w:hAnsi="Times New Roman" w:cs="Times New Roman"/>
          <w:sz w:val="24"/>
          <w:szCs w:val="24"/>
          <w:bdr w:val="none" w:sz="0" w:space="0" w:color="auto" w:frame="1"/>
          <w:lang w:val="en-GB" w:eastAsia="pl-PL"/>
        </w:rPr>
        <w:instrText>ADDIN CSL_CITATION {"citationItems":[{"id":"ITEM-1","itemData":{"DOI":"10.1002/cpt.1124","ISSN":"15326535","PMID":"29923599","abstract":"5-Fluorouracil (5-FU) is dosed by body surface area, a practice unable to reduce the interindividual variability in exposure. Endorsed by the International Association of Therapeutic Drug Monitoring and Clinical Toxicology (IATDMCT), we evaluated clinical evidence and strongly recommend TDM for the management of 5-FU therapy in patients with colorectal or head-and-neck cancer receiving common 5-FU regimens. Our systematic methodology provides a framework to evaluate published evidence in support of TDM recommendations in oncology.","author":[{"dropping-particle":"","family":"Beumer","given":"Jan H.","non-dropping-particle":"","parse-names":false,"suffix":""},{"dropping-particle":"","family":"Chu","given":"Edward","non-dropping-particle":"","parse-names":false,"suffix":""},{"dropping-particle":"","family":"Allegra","given":"Carmen","non-dropping-particle":"","parse-names":false,"suffix":""},{"dropping-particle":"","family":"Tanigawara","given":"Yusuke","non-dropping-particle":"","parse-names":false,"suffix":""},{"dropping-particle":"","family":"Milano","given":"Gerard","non-dropping-particle":"","parse-names":false,"suffix":""},{"dropping-particle":"","family":"Diasio","given":"Robert","non-dropping-particle":"","parse-names":false,"suffix":""},{"droppi</w:instrText>
      </w:r>
      <w:r w:rsidR="003F3548" w:rsidRPr="003F3548">
        <w:rPr>
          <w:rFonts w:ascii="Times New Roman" w:eastAsia="Times New Roman" w:hAnsi="Times New Roman" w:cs="Times New Roman"/>
          <w:sz w:val="24"/>
          <w:szCs w:val="24"/>
          <w:bdr w:val="none" w:sz="0" w:space="0" w:color="auto" w:frame="1"/>
          <w:lang w:eastAsia="pl-PL"/>
        </w:rPr>
        <w:instrText>ng-particle":"","family":"Kim","given":"Tae Won","non-dropping-particle":"","parse-names":false,"suffix":""},{"dropping-particle":"","family":"Mathijssen","given":"Ron H.","non-dropping-particle":"","parse-names":false,"suffix":""},{"dropping-particle":"","family":"Zhang","given":"Li","non-dropping-particle":"","parse-names":false,"suffix":""},{"dropping-particle":"","family":"Arnold","given":"Dirk","non-dropping-particle":"","parse-names":false,"suffix":""},{"dropping-particle":"","family":"Muneoka","given":"Katsuki","non-dropping-particle":"","parse-names":false,"suffix":""},{"dropping-particle":"","family":"Boku","given":"Narikazu","non-dropping-particle":"","parse-names":false,"suffix":""},{"dropping-particle":"","family":"Joerger","given":"Markus","non-dropping-particle":"","parse-names":false,"suffix":""}],"container-title":"Clinical Pharmacology and Therapeutics","id":"ITEM-1","issue":"3","issued":{"date-parts":[["2019"]]},"page":"598-613","title":"Therapeutic Drug Monitoring in Oncology: International Association of Therapeutic Drug Monitoring and Clinical Toxicology Recommendations for 5-Fluorouracil Therapy","type":"article-journal","volume":"105"},"uris":["http://www.mendeley.com/documents/?uuid=15d30ed5-7de5-4daa-b100-fc04852a77f9"]}],"mendeley":{"formattedCitation":"[44]","plainTextFormattedCitation":"[44]","previouslyFormattedCitation":"[44]"},"properties":{"noteIndex":0},"schema":"https://github.com/citation-style-language/schema/raw/master/csl-citation.json"}</w:instrText>
      </w:r>
      <w:r w:rsidR="000757A5" w:rsidRPr="7918CE45">
        <w:rPr>
          <w:rFonts w:ascii="Times New Roman" w:eastAsia="Times New Roman" w:hAnsi="Times New Roman" w:cs="Times New Roman"/>
          <w:sz w:val="24"/>
          <w:szCs w:val="24"/>
          <w:bdr w:val="none" w:sz="0" w:space="0" w:color="auto" w:frame="1"/>
          <w:lang w:val="en-GB" w:eastAsia="pl-PL"/>
        </w:rPr>
        <w:fldChar w:fldCharType="separate"/>
      </w:r>
      <w:r w:rsidR="008D518D" w:rsidRPr="008D518D">
        <w:rPr>
          <w:rFonts w:ascii="Times New Roman" w:eastAsia="Times New Roman" w:hAnsi="Times New Roman" w:cs="Times New Roman"/>
          <w:noProof/>
          <w:sz w:val="24"/>
          <w:szCs w:val="24"/>
          <w:bdr w:val="none" w:sz="0" w:space="0" w:color="auto" w:frame="1"/>
          <w:lang w:eastAsia="pl-PL"/>
        </w:rPr>
        <w:t>[44]</w:t>
      </w:r>
      <w:r w:rsidR="000757A5" w:rsidRPr="7918CE45">
        <w:rPr>
          <w:rFonts w:ascii="Times New Roman" w:eastAsia="Times New Roman" w:hAnsi="Times New Roman" w:cs="Times New Roman"/>
          <w:sz w:val="24"/>
          <w:szCs w:val="24"/>
          <w:lang w:val="en-GB" w:eastAsia="pl-PL"/>
        </w:rPr>
        <w:fldChar w:fldCharType="end"/>
      </w:r>
      <w:r w:rsidR="00F47091" w:rsidRPr="000D6A5E">
        <w:rPr>
          <w:rFonts w:ascii="Times New Roman" w:eastAsia="Times New Roman" w:hAnsi="Times New Roman" w:cs="Times New Roman"/>
          <w:sz w:val="24"/>
          <w:szCs w:val="24"/>
          <w:bdr w:val="none" w:sz="0" w:space="0" w:color="auto" w:frame="1"/>
          <w:lang w:eastAsia="pl-PL"/>
        </w:rPr>
        <w:t xml:space="preserve">. </w:t>
      </w:r>
      <w:r w:rsidR="005B4B65" w:rsidRPr="00E11754">
        <w:rPr>
          <w:rFonts w:ascii="Times New Roman" w:eastAsia="Times New Roman" w:hAnsi="Times New Roman" w:cs="Times New Roman"/>
          <w:sz w:val="24"/>
          <w:szCs w:val="24"/>
          <w:bdr w:val="none" w:sz="0" w:space="0" w:color="auto" w:frame="1"/>
          <w:lang w:eastAsia="pl-PL"/>
        </w:rPr>
        <w:t xml:space="preserve">Aktualne badania </w:t>
      </w:r>
      <w:r w:rsidR="005C1C9E" w:rsidRPr="00E11754">
        <w:rPr>
          <w:rFonts w:ascii="Times New Roman" w:eastAsia="Times New Roman" w:hAnsi="Times New Roman" w:cs="Times New Roman"/>
          <w:sz w:val="24"/>
          <w:szCs w:val="24"/>
          <w:bdr w:val="none" w:sz="0" w:space="0" w:color="auto" w:frame="1"/>
          <w:lang w:eastAsia="pl-PL"/>
        </w:rPr>
        <w:t xml:space="preserve">naukowe </w:t>
      </w:r>
      <w:r w:rsidR="005B4B65" w:rsidRPr="00E11754">
        <w:rPr>
          <w:rFonts w:ascii="Times New Roman" w:eastAsia="Times New Roman" w:hAnsi="Times New Roman" w:cs="Times New Roman"/>
          <w:sz w:val="24"/>
          <w:szCs w:val="24"/>
          <w:bdr w:val="none" w:sz="0" w:space="0" w:color="auto" w:frame="1"/>
          <w:lang w:eastAsia="pl-PL"/>
        </w:rPr>
        <w:t xml:space="preserve">potwierdzają skuteczność </w:t>
      </w:r>
      <w:r w:rsidR="005C1C9E" w:rsidRPr="00E11754">
        <w:rPr>
          <w:rFonts w:ascii="Times New Roman" w:eastAsia="Times New Roman" w:hAnsi="Times New Roman" w:cs="Times New Roman"/>
          <w:sz w:val="24"/>
          <w:szCs w:val="24"/>
          <w:bdr w:val="none" w:sz="0" w:space="0" w:color="auto" w:frame="1"/>
          <w:lang w:eastAsia="pl-PL"/>
        </w:rPr>
        <w:t>prowadzenia TDM u pacjentów onkologicznych</w:t>
      </w:r>
      <w:r w:rsidR="00027152">
        <w:rPr>
          <w:rFonts w:ascii="Times New Roman" w:eastAsia="Times New Roman" w:hAnsi="Times New Roman" w:cs="Times New Roman"/>
          <w:sz w:val="24"/>
          <w:szCs w:val="24"/>
          <w:bdr w:val="none" w:sz="0" w:space="0" w:color="auto" w:frame="1"/>
          <w:lang w:eastAsia="pl-PL"/>
        </w:rPr>
        <w:t xml:space="preserve"> </w:t>
      </w:r>
      <w:r w:rsidR="00027152">
        <w:rPr>
          <w:rFonts w:ascii="Times New Roman" w:eastAsia="Times New Roman" w:hAnsi="Times New Roman" w:cs="Times New Roman"/>
          <w:sz w:val="24"/>
          <w:szCs w:val="24"/>
          <w:bdr w:val="none" w:sz="0" w:space="0" w:color="auto" w:frame="1"/>
          <w:lang w:eastAsia="pl-PL"/>
        </w:rPr>
        <w:fldChar w:fldCharType="begin" w:fldLock="1"/>
      </w:r>
      <w:r w:rsidR="003F3548">
        <w:rPr>
          <w:rFonts w:ascii="Times New Roman" w:eastAsia="Times New Roman" w:hAnsi="Times New Roman" w:cs="Times New Roman"/>
          <w:sz w:val="24"/>
          <w:szCs w:val="24"/>
          <w:bdr w:val="none" w:sz="0" w:space="0" w:color="auto" w:frame="1"/>
          <w:lang w:eastAsia="pl-PL"/>
        </w:rPr>
        <w:instrText>ADDIN CSL_CITATION {"citationItems":[{"id":"ITEM-1","itemData":{"DOI":"10.3389/fonc.2022.1015200","ISSN":"2234943X","abstract":"Cytotoxic drugs are highly efficacious and also have low therapeutic index. A great degree of caution needs to be exercised in their usage. To optimize the efficacy these drugs need to be given at maximum tolerated dose which leads to significant amount of toxicity to the patient. The fine balance between efficacy and safety is the key to the success of cytotoxic chemotherapeutics. However, it is possibly more rewarding to obtain that balance for this class drugs as the frequency of drug related toxicities are higher compared to the other therapeutic class and are potentially life threatening and may cause prolonged morbidity. Significant efforts have been invested in last three to four decades in therapeutic drug monitoring (TDM) research to understand the relationship between the drug concentration and the response achieved for therapeutic efficacy as well as drug toxicity for cytotoxic drugs. TDM evolved over this period and the evidence gathered favored its routine use for certain drugs. Since, TDM is an expensive endeavor both from economic and logistic point of view, to justify its use it is necessary to demonstrate that the implementation leads to perceivable improvement in the patient outcomes. It is indeed challenging to prove the utility of TDM in randomized controlled trials and at times may be nearly impossible to generate such data in view of the obvious findings and concern of compromising patient safety. Therefore, good quality data from well-designed observational study do add immense value to the scientific knowledge base, when they are examined in totality, despite the heterogeneity amongst them. This article compiles the summary of the evidence and the best practices for TDM for the three cytotoxic drug, busulfan, 5-FU and methotrexate. Traditional use of TDM or drug concentration data for dose modification has been witnessing a sea change and model informed precision dosing is the future of cytotoxic drug therapeutic management.","author":[{"dropping-particle":"","family":"Smita","given":"Pattanaik","non-dropping-particle":"","parse-names":false,"suffix":""},{"dropping-particle":"","family":"Narayan","given":"Patil Amol","non-dropping-particle":"","parse-names":false,"suffix":""},{"dropping-particle":"","family":"Kumaravel","given":"J.","non-dropping-particle":"","parse-names":false,"suffix":""},{"dropping-particle":"","family":"Gaurav","given":"Prakash","non-dropping-particle":"","parse-names":false,"suffix":""}],"container-title":"Frontiers in Oncology","id":"ITEM-1","issue":"December","issued":{"date-parts":[["2022"]]},"page":"1-17","title":"Therapeutic drug monitoring for cytotoxic anticancer drugs: Principles and evidence-based practices","type":"article-journal","volume":"12"},"uris":["http://www.mendeley.com/documents/?uuid=fd957946-5a4f-45fc-b11f-8f08b048fcdb"]}],"mendeley":{"formattedCitation":"[45]","plainTextFormattedCitation":"[45]","previouslyFormattedCitation":"[45]"},"properties":{"noteIndex":0},"schema":"https://github.com/citation-style-language/schema/raw/master/csl-citation.json"}</w:instrText>
      </w:r>
      <w:r w:rsidR="00027152">
        <w:rPr>
          <w:rFonts w:ascii="Times New Roman" w:eastAsia="Times New Roman" w:hAnsi="Times New Roman" w:cs="Times New Roman"/>
          <w:sz w:val="24"/>
          <w:szCs w:val="24"/>
          <w:bdr w:val="none" w:sz="0" w:space="0" w:color="auto" w:frame="1"/>
          <w:lang w:eastAsia="pl-PL"/>
        </w:rPr>
        <w:fldChar w:fldCharType="separate"/>
      </w:r>
      <w:r w:rsidR="008D518D" w:rsidRPr="008D518D">
        <w:rPr>
          <w:rFonts w:ascii="Times New Roman" w:eastAsia="Times New Roman" w:hAnsi="Times New Roman" w:cs="Times New Roman"/>
          <w:noProof/>
          <w:sz w:val="24"/>
          <w:szCs w:val="24"/>
          <w:bdr w:val="none" w:sz="0" w:space="0" w:color="auto" w:frame="1"/>
          <w:lang w:eastAsia="pl-PL"/>
        </w:rPr>
        <w:t>[45]</w:t>
      </w:r>
      <w:r w:rsidR="00027152">
        <w:rPr>
          <w:rFonts w:ascii="Times New Roman" w:eastAsia="Times New Roman" w:hAnsi="Times New Roman" w:cs="Times New Roman"/>
          <w:sz w:val="24"/>
          <w:szCs w:val="24"/>
          <w:bdr w:val="none" w:sz="0" w:space="0" w:color="auto" w:frame="1"/>
          <w:lang w:eastAsia="pl-PL"/>
        </w:rPr>
        <w:fldChar w:fldCharType="end"/>
      </w:r>
      <w:r w:rsidR="005C1C9E" w:rsidRPr="00E11754">
        <w:rPr>
          <w:rFonts w:ascii="Times New Roman" w:eastAsia="Times New Roman" w:hAnsi="Times New Roman" w:cs="Times New Roman"/>
          <w:sz w:val="24"/>
          <w:szCs w:val="24"/>
          <w:bdr w:val="none" w:sz="0" w:space="0" w:color="auto" w:frame="1"/>
          <w:lang w:eastAsia="pl-PL"/>
        </w:rPr>
        <w:t>. Jednakże, a</w:t>
      </w:r>
      <w:r w:rsidR="00C1608E" w:rsidRPr="00E11754">
        <w:rPr>
          <w:rFonts w:ascii="Times New Roman" w:eastAsia="Times New Roman" w:hAnsi="Times New Roman" w:cs="Times New Roman"/>
          <w:sz w:val="24"/>
          <w:szCs w:val="24"/>
          <w:bdr w:val="none" w:sz="0" w:space="0" w:color="auto" w:frame="1"/>
          <w:lang w:eastAsia="pl-PL"/>
        </w:rPr>
        <w:t xml:space="preserve">by </w:t>
      </w:r>
      <w:r w:rsidR="00FA5F85" w:rsidRPr="00E11754">
        <w:rPr>
          <w:rFonts w:ascii="Times New Roman" w:eastAsia="Times New Roman" w:hAnsi="Times New Roman" w:cs="Times New Roman"/>
          <w:sz w:val="24"/>
          <w:szCs w:val="24"/>
          <w:bdr w:val="none" w:sz="0" w:space="0" w:color="auto" w:frame="1"/>
          <w:lang w:eastAsia="pl-PL"/>
        </w:rPr>
        <w:t>prowadzenie</w:t>
      </w:r>
      <w:r w:rsidR="00C1608E" w:rsidRPr="00E11754">
        <w:rPr>
          <w:rFonts w:ascii="Times New Roman" w:eastAsia="Times New Roman" w:hAnsi="Times New Roman" w:cs="Times New Roman"/>
          <w:sz w:val="24"/>
          <w:szCs w:val="24"/>
          <w:bdr w:val="none" w:sz="0" w:space="0" w:color="auto" w:frame="1"/>
          <w:lang w:eastAsia="pl-PL"/>
        </w:rPr>
        <w:t xml:space="preserve"> </w:t>
      </w:r>
      <w:r w:rsidR="00713DDD" w:rsidRPr="00E11754">
        <w:rPr>
          <w:rFonts w:ascii="Times New Roman" w:eastAsia="Times New Roman" w:hAnsi="Times New Roman" w:cs="Times New Roman"/>
          <w:sz w:val="24"/>
          <w:szCs w:val="24"/>
          <w:bdr w:val="none" w:sz="0" w:space="0" w:color="auto" w:frame="1"/>
          <w:lang w:eastAsia="pl-PL"/>
        </w:rPr>
        <w:t>TDM było możliwe, konieczny jest rozwój nowy</w:t>
      </w:r>
      <w:r w:rsidR="008B3132" w:rsidRPr="00E11754">
        <w:rPr>
          <w:rFonts w:ascii="Times New Roman" w:eastAsia="Times New Roman" w:hAnsi="Times New Roman" w:cs="Times New Roman"/>
          <w:sz w:val="24"/>
          <w:szCs w:val="24"/>
          <w:bdr w:val="none" w:sz="0" w:space="0" w:color="auto" w:frame="1"/>
          <w:lang w:eastAsia="pl-PL"/>
        </w:rPr>
        <w:t>ch</w:t>
      </w:r>
      <w:r w:rsidR="00CA4027" w:rsidRPr="00E11754">
        <w:rPr>
          <w:rFonts w:ascii="Times New Roman" w:eastAsia="Times New Roman" w:hAnsi="Times New Roman" w:cs="Times New Roman"/>
          <w:sz w:val="24"/>
          <w:szCs w:val="24"/>
          <w:bdr w:val="none" w:sz="0" w:space="0" w:color="auto" w:frame="1"/>
          <w:lang w:eastAsia="pl-PL"/>
        </w:rPr>
        <w:t>,</w:t>
      </w:r>
      <w:r w:rsidR="00713DDD" w:rsidRPr="00E11754">
        <w:rPr>
          <w:rFonts w:ascii="Times New Roman" w:eastAsia="Times New Roman" w:hAnsi="Times New Roman" w:cs="Times New Roman"/>
          <w:sz w:val="24"/>
          <w:szCs w:val="24"/>
          <w:bdr w:val="none" w:sz="0" w:space="0" w:color="auto" w:frame="1"/>
          <w:lang w:eastAsia="pl-PL"/>
        </w:rPr>
        <w:t xml:space="preserve"> precyzyjny</w:t>
      </w:r>
      <w:r w:rsidR="008B3132" w:rsidRPr="00E11754">
        <w:rPr>
          <w:rFonts w:ascii="Times New Roman" w:eastAsia="Times New Roman" w:hAnsi="Times New Roman" w:cs="Times New Roman"/>
          <w:sz w:val="24"/>
          <w:szCs w:val="24"/>
          <w:bdr w:val="none" w:sz="0" w:space="0" w:color="auto" w:frame="1"/>
          <w:lang w:eastAsia="pl-PL"/>
        </w:rPr>
        <w:t>ch</w:t>
      </w:r>
      <w:r w:rsidR="00713DDD" w:rsidRPr="00E11754">
        <w:rPr>
          <w:rFonts w:ascii="Times New Roman" w:eastAsia="Times New Roman" w:hAnsi="Times New Roman" w:cs="Times New Roman"/>
          <w:sz w:val="24"/>
          <w:szCs w:val="24"/>
          <w:bdr w:val="none" w:sz="0" w:space="0" w:color="auto" w:frame="1"/>
          <w:lang w:eastAsia="pl-PL"/>
        </w:rPr>
        <w:t xml:space="preserve"> i dokładny</w:t>
      </w:r>
      <w:r w:rsidR="008B3132" w:rsidRPr="00E11754">
        <w:rPr>
          <w:rFonts w:ascii="Times New Roman" w:eastAsia="Times New Roman" w:hAnsi="Times New Roman" w:cs="Times New Roman"/>
          <w:sz w:val="24"/>
          <w:szCs w:val="24"/>
          <w:bdr w:val="none" w:sz="0" w:space="0" w:color="auto" w:frame="1"/>
          <w:lang w:eastAsia="pl-PL"/>
        </w:rPr>
        <w:t>ch</w:t>
      </w:r>
      <w:r w:rsidR="00713DDD" w:rsidRPr="00E11754">
        <w:rPr>
          <w:rFonts w:ascii="Times New Roman" w:eastAsia="Times New Roman" w:hAnsi="Times New Roman" w:cs="Times New Roman"/>
          <w:sz w:val="24"/>
          <w:szCs w:val="24"/>
          <w:bdr w:val="none" w:sz="0" w:space="0" w:color="auto" w:frame="1"/>
          <w:lang w:eastAsia="pl-PL"/>
        </w:rPr>
        <w:t xml:space="preserve"> metod analityczny</w:t>
      </w:r>
      <w:r w:rsidR="008B3132" w:rsidRPr="00E11754">
        <w:rPr>
          <w:rFonts w:ascii="Times New Roman" w:eastAsia="Times New Roman" w:hAnsi="Times New Roman" w:cs="Times New Roman"/>
          <w:sz w:val="24"/>
          <w:szCs w:val="24"/>
          <w:bdr w:val="none" w:sz="0" w:space="0" w:color="auto" w:frame="1"/>
          <w:lang w:eastAsia="pl-PL"/>
        </w:rPr>
        <w:t>ch</w:t>
      </w:r>
      <w:r w:rsidR="00713DDD" w:rsidRPr="00E11754">
        <w:rPr>
          <w:rFonts w:ascii="Times New Roman" w:eastAsia="Times New Roman" w:hAnsi="Times New Roman" w:cs="Times New Roman"/>
          <w:sz w:val="24"/>
          <w:szCs w:val="24"/>
          <w:bdr w:val="none" w:sz="0" w:space="0" w:color="auto" w:frame="1"/>
          <w:lang w:eastAsia="pl-PL"/>
        </w:rPr>
        <w:t>, które</w:t>
      </w:r>
      <w:r w:rsidR="00D94CB2" w:rsidRPr="00E11754">
        <w:rPr>
          <w:rFonts w:ascii="Times New Roman" w:eastAsia="Times New Roman" w:hAnsi="Times New Roman" w:cs="Times New Roman"/>
          <w:sz w:val="24"/>
          <w:szCs w:val="24"/>
          <w:bdr w:val="none" w:sz="0" w:space="0" w:color="auto" w:frame="1"/>
          <w:lang w:eastAsia="pl-PL"/>
        </w:rPr>
        <w:t xml:space="preserve"> </w:t>
      </w:r>
      <w:r w:rsidR="00713DDD" w:rsidRPr="00E11754">
        <w:rPr>
          <w:rFonts w:ascii="Times New Roman" w:eastAsia="Times New Roman" w:hAnsi="Times New Roman" w:cs="Times New Roman"/>
          <w:sz w:val="24"/>
          <w:szCs w:val="24"/>
          <w:bdr w:val="none" w:sz="0" w:space="0" w:color="auto" w:frame="1"/>
          <w:lang w:eastAsia="pl-PL"/>
        </w:rPr>
        <w:t xml:space="preserve">pozwolą na określanie stężenia </w:t>
      </w:r>
      <w:r w:rsidR="00C52509" w:rsidRPr="00E11754">
        <w:rPr>
          <w:rFonts w:ascii="Times New Roman" w:eastAsia="Times New Roman" w:hAnsi="Times New Roman" w:cs="Times New Roman"/>
          <w:sz w:val="24"/>
          <w:szCs w:val="24"/>
          <w:bdr w:val="none" w:sz="0" w:space="0" w:color="auto" w:frame="1"/>
          <w:lang w:eastAsia="pl-PL"/>
        </w:rPr>
        <w:t>leków w płynach ustrojowych człowieka.</w:t>
      </w:r>
      <w:r w:rsidR="00713DDD" w:rsidRPr="00E11754">
        <w:rPr>
          <w:rFonts w:ascii="Times New Roman" w:eastAsia="Times New Roman" w:hAnsi="Times New Roman" w:cs="Times New Roman"/>
          <w:sz w:val="24"/>
          <w:szCs w:val="24"/>
          <w:bdr w:val="none" w:sz="0" w:space="0" w:color="auto" w:frame="1"/>
          <w:lang w:eastAsia="pl-PL"/>
        </w:rPr>
        <w:t xml:space="preserve"> </w:t>
      </w:r>
      <w:r w:rsidR="00EA39EB" w:rsidRPr="00E11754">
        <w:rPr>
          <w:rFonts w:ascii="Times New Roman" w:eastAsia="Times New Roman" w:hAnsi="Times New Roman" w:cs="Times New Roman"/>
          <w:sz w:val="24"/>
          <w:szCs w:val="24"/>
          <w:bdr w:val="none" w:sz="0" w:space="0" w:color="auto" w:frame="1"/>
          <w:lang w:eastAsia="pl-PL"/>
        </w:rPr>
        <w:t>Ponadto</w:t>
      </w:r>
      <w:r w:rsidR="00300781" w:rsidRPr="00E11754">
        <w:rPr>
          <w:rFonts w:ascii="Times New Roman" w:eastAsia="Times New Roman" w:hAnsi="Times New Roman" w:cs="Times New Roman"/>
          <w:sz w:val="24"/>
          <w:szCs w:val="24"/>
          <w:bdr w:val="none" w:sz="0" w:space="0" w:color="auto" w:frame="1"/>
          <w:lang w:eastAsia="pl-PL"/>
        </w:rPr>
        <w:t>, ci</w:t>
      </w:r>
      <w:r w:rsidR="00C52509" w:rsidRPr="00E11754">
        <w:rPr>
          <w:rFonts w:ascii="Times New Roman" w:eastAsia="Times New Roman" w:hAnsi="Times New Roman" w:cs="Times New Roman"/>
          <w:sz w:val="24"/>
          <w:szCs w:val="24"/>
          <w:bdr w:val="none" w:sz="0" w:space="0" w:color="auto" w:frame="1"/>
          <w:lang w:eastAsia="pl-PL"/>
        </w:rPr>
        <w:t>ąg</w:t>
      </w:r>
      <w:r w:rsidR="00300781" w:rsidRPr="00E11754">
        <w:rPr>
          <w:rFonts w:ascii="Times New Roman" w:eastAsia="Times New Roman" w:hAnsi="Times New Roman" w:cs="Times New Roman"/>
          <w:sz w:val="24"/>
          <w:szCs w:val="24"/>
          <w:bdr w:val="none" w:sz="0" w:space="0" w:color="auto" w:frame="1"/>
          <w:lang w:eastAsia="pl-PL"/>
        </w:rPr>
        <w:t xml:space="preserve">ły rozwój medycyny </w:t>
      </w:r>
      <w:r w:rsidR="00DA1F1E" w:rsidRPr="00E11754">
        <w:rPr>
          <w:rFonts w:ascii="Times New Roman" w:eastAsia="Times New Roman" w:hAnsi="Times New Roman" w:cs="Times New Roman"/>
          <w:sz w:val="24"/>
          <w:szCs w:val="24"/>
          <w:bdr w:val="none" w:sz="0" w:space="0" w:color="auto" w:frame="1"/>
          <w:lang w:eastAsia="pl-PL"/>
        </w:rPr>
        <w:t>przynosi coraz to nowsze rozwiązania i innowacje w leczeniu onkol</w:t>
      </w:r>
      <w:r w:rsidR="00C270C0" w:rsidRPr="00E11754">
        <w:rPr>
          <w:rFonts w:ascii="Times New Roman" w:eastAsia="Times New Roman" w:hAnsi="Times New Roman" w:cs="Times New Roman"/>
          <w:sz w:val="24"/>
          <w:szCs w:val="24"/>
          <w:bdr w:val="none" w:sz="0" w:space="0" w:color="auto" w:frame="1"/>
          <w:lang w:eastAsia="pl-PL"/>
        </w:rPr>
        <w:t>ogicznym</w:t>
      </w:r>
      <w:r w:rsidR="00CA4027" w:rsidRPr="00E11754">
        <w:rPr>
          <w:rFonts w:ascii="Times New Roman" w:eastAsia="Times New Roman" w:hAnsi="Times New Roman" w:cs="Times New Roman"/>
          <w:sz w:val="24"/>
          <w:szCs w:val="24"/>
          <w:bdr w:val="none" w:sz="0" w:space="0" w:color="auto" w:frame="1"/>
          <w:lang w:eastAsia="pl-PL"/>
        </w:rPr>
        <w:t xml:space="preserve">, </w:t>
      </w:r>
      <w:r w:rsidR="00802886" w:rsidRPr="00E11754">
        <w:rPr>
          <w:rFonts w:ascii="Times New Roman" w:eastAsia="Times New Roman" w:hAnsi="Times New Roman" w:cs="Times New Roman"/>
          <w:sz w:val="24"/>
          <w:szCs w:val="24"/>
          <w:bdr w:val="none" w:sz="0" w:space="0" w:color="auto" w:frame="1"/>
          <w:lang w:eastAsia="pl-PL"/>
        </w:rPr>
        <w:t xml:space="preserve">ale ich </w:t>
      </w:r>
      <w:r w:rsidR="001C5059" w:rsidRPr="00E11754">
        <w:rPr>
          <w:rFonts w:ascii="Times New Roman" w:eastAsia="Times New Roman" w:hAnsi="Times New Roman" w:cs="Times New Roman"/>
          <w:sz w:val="24"/>
          <w:szCs w:val="24"/>
          <w:bdr w:val="none" w:sz="0" w:space="0" w:color="auto" w:frame="1"/>
          <w:lang w:eastAsia="pl-PL"/>
        </w:rPr>
        <w:t xml:space="preserve">wprowadzenie do </w:t>
      </w:r>
      <w:r w:rsidR="00B33D01" w:rsidRPr="00E11754">
        <w:rPr>
          <w:rFonts w:ascii="Times New Roman" w:eastAsia="Times New Roman" w:hAnsi="Times New Roman" w:cs="Times New Roman"/>
          <w:sz w:val="24"/>
          <w:szCs w:val="24"/>
          <w:bdr w:val="none" w:sz="0" w:space="0" w:color="auto" w:frame="1"/>
          <w:lang w:eastAsia="pl-PL"/>
        </w:rPr>
        <w:t>uży</w:t>
      </w:r>
      <w:r w:rsidR="00F17CB2" w:rsidRPr="00E11754">
        <w:rPr>
          <w:rFonts w:ascii="Times New Roman" w:eastAsia="Times New Roman" w:hAnsi="Times New Roman" w:cs="Times New Roman"/>
          <w:sz w:val="24"/>
          <w:szCs w:val="24"/>
          <w:bdr w:val="none" w:sz="0" w:space="0" w:color="auto" w:frame="1"/>
          <w:lang w:eastAsia="pl-PL"/>
        </w:rPr>
        <w:t>tku</w:t>
      </w:r>
      <w:r w:rsidR="00887534" w:rsidRPr="00E11754">
        <w:rPr>
          <w:rFonts w:ascii="Times New Roman" w:eastAsia="Times New Roman" w:hAnsi="Times New Roman" w:cs="Times New Roman"/>
          <w:sz w:val="24"/>
          <w:szCs w:val="24"/>
          <w:bdr w:val="none" w:sz="0" w:space="0" w:color="auto" w:frame="1"/>
          <w:lang w:eastAsia="pl-PL"/>
        </w:rPr>
        <w:t xml:space="preserve"> </w:t>
      </w:r>
      <w:r w:rsidR="007E31FD" w:rsidRPr="00E11754">
        <w:rPr>
          <w:rFonts w:ascii="Times New Roman" w:eastAsia="Times New Roman" w:hAnsi="Times New Roman" w:cs="Times New Roman"/>
          <w:sz w:val="24"/>
          <w:szCs w:val="24"/>
          <w:bdr w:val="none" w:sz="0" w:space="0" w:color="auto" w:frame="1"/>
          <w:lang w:eastAsia="pl-PL"/>
        </w:rPr>
        <w:t xml:space="preserve">zawsze jest </w:t>
      </w:r>
      <w:r w:rsidR="00802886" w:rsidRPr="00E11754">
        <w:rPr>
          <w:rFonts w:ascii="Times New Roman" w:eastAsia="Times New Roman" w:hAnsi="Times New Roman" w:cs="Times New Roman"/>
          <w:sz w:val="24"/>
          <w:szCs w:val="24"/>
          <w:bdr w:val="none" w:sz="0" w:space="0" w:color="auto" w:frame="1"/>
          <w:lang w:eastAsia="pl-PL"/>
        </w:rPr>
        <w:t>poprzedz</w:t>
      </w:r>
      <w:r w:rsidR="007E31FD" w:rsidRPr="00E11754">
        <w:rPr>
          <w:rFonts w:ascii="Times New Roman" w:eastAsia="Times New Roman" w:hAnsi="Times New Roman" w:cs="Times New Roman"/>
          <w:sz w:val="24"/>
          <w:szCs w:val="24"/>
          <w:bdr w:val="none" w:sz="0" w:space="0" w:color="auto" w:frame="1"/>
          <w:lang w:eastAsia="pl-PL"/>
        </w:rPr>
        <w:t>one</w:t>
      </w:r>
      <w:r w:rsidR="00F17CB2" w:rsidRPr="00E11754">
        <w:rPr>
          <w:rFonts w:ascii="Times New Roman" w:eastAsia="Times New Roman" w:hAnsi="Times New Roman" w:cs="Times New Roman"/>
          <w:sz w:val="24"/>
          <w:szCs w:val="24"/>
          <w:bdr w:val="none" w:sz="0" w:space="0" w:color="auto" w:frame="1"/>
          <w:lang w:eastAsia="pl-PL"/>
        </w:rPr>
        <w:t xml:space="preserve"> szereg</w:t>
      </w:r>
      <w:r w:rsidR="008B3132" w:rsidRPr="00E11754">
        <w:rPr>
          <w:rFonts w:ascii="Times New Roman" w:eastAsia="Times New Roman" w:hAnsi="Times New Roman" w:cs="Times New Roman"/>
          <w:sz w:val="24"/>
          <w:szCs w:val="24"/>
          <w:bdr w:val="none" w:sz="0" w:space="0" w:color="auto" w:frame="1"/>
          <w:lang w:eastAsia="pl-PL"/>
        </w:rPr>
        <w:t>iem</w:t>
      </w:r>
      <w:r w:rsidR="007E31FD" w:rsidRPr="00E11754">
        <w:rPr>
          <w:rFonts w:ascii="Times New Roman" w:eastAsia="Times New Roman" w:hAnsi="Times New Roman" w:cs="Times New Roman"/>
          <w:sz w:val="24"/>
          <w:szCs w:val="24"/>
          <w:bdr w:val="none" w:sz="0" w:space="0" w:color="auto" w:frame="1"/>
          <w:lang w:eastAsia="pl-PL"/>
        </w:rPr>
        <w:t xml:space="preserve"> </w:t>
      </w:r>
      <w:r w:rsidR="003629FB" w:rsidRPr="00E11754">
        <w:rPr>
          <w:rFonts w:ascii="Times New Roman" w:eastAsia="Times New Roman" w:hAnsi="Times New Roman" w:cs="Times New Roman"/>
          <w:sz w:val="24"/>
          <w:szCs w:val="24"/>
          <w:bdr w:val="none" w:sz="0" w:space="0" w:color="auto" w:frame="1"/>
          <w:lang w:eastAsia="pl-PL"/>
        </w:rPr>
        <w:t>badań</w:t>
      </w:r>
      <w:r w:rsidR="00CA4027" w:rsidRPr="00E11754">
        <w:rPr>
          <w:rFonts w:ascii="Times New Roman" w:eastAsia="Times New Roman" w:hAnsi="Times New Roman" w:cs="Times New Roman"/>
          <w:sz w:val="24"/>
          <w:szCs w:val="24"/>
          <w:bdr w:val="none" w:sz="0" w:space="0" w:color="auto" w:frame="1"/>
          <w:lang w:eastAsia="pl-PL"/>
        </w:rPr>
        <w:t>, w tym</w:t>
      </w:r>
      <w:r w:rsidR="003629FB" w:rsidRPr="00E11754">
        <w:rPr>
          <w:rFonts w:ascii="Times New Roman" w:eastAsia="Times New Roman" w:hAnsi="Times New Roman" w:cs="Times New Roman"/>
          <w:sz w:val="24"/>
          <w:szCs w:val="24"/>
          <w:bdr w:val="none" w:sz="0" w:space="0" w:color="auto" w:frame="1"/>
          <w:lang w:eastAsia="pl-PL"/>
        </w:rPr>
        <w:t xml:space="preserve"> </w:t>
      </w:r>
      <w:r w:rsidR="008B3132" w:rsidRPr="00E11754">
        <w:rPr>
          <w:rFonts w:ascii="Times New Roman" w:eastAsia="Times New Roman" w:hAnsi="Times New Roman" w:cs="Times New Roman"/>
          <w:sz w:val="24"/>
          <w:szCs w:val="24"/>
          <w:bdr w:val="none" w:sz="0" w:space="0" w:color="auto" w:frame="1"/>
          <w:lang w:eastAsia="pl-PL"/>
        </w:rPr>
        <w:t xml:space="preserve">tych </w:t>
      </w:r>
      <w:r w:rsidR="00802886" w:rsidRPr="00E11754">
        <w:rPr>
          <w:rFonts w:ascii="Times New Roman" w:eastAsia="Times New Roman" w:hAnsi="Times New Roman" w:cs="Times New Roman"/>
          <w:sz w:val="24"/>
          <w:szCs w:val="24"/>
          <w:bdr w:val="none" w:sz="0" w:space="0" w:color="auto" w:frame="1"/>
          <w:lang w:eastAsia="pl-PL"/>
        </w:rPr>
        <w:t xml:space="preserve">dotyczących </w:t>
      </w:r>
      <w:r w:rsidR="003629FB" w:rsidRPr="00E11754">
        <w:rPr>
          <w:rFonts w:ascii="Times New Roman" w:eastAsia="Times New Roman" w:hAnsi="Times New Roman" w:cs="Times New Roman"/>
          <w:sz w:val="24"/>
          <w:szCs w:val="24"/>
          <w:bdr w:val="none" w:sz="0" w:space="0" w:color="auto" w:frame="1"/>
          <w:lang w:eastAsia="pl-PL"/>
        </w:rPr>
        <w:t>test</w:t>
      </w:r>
      <w:r w:rsidR="00802886" w:rsidRPr="00E11754">
        <w:rPr>
          <w:rFonts w:ascii="Times New Roman" w:eastAsia="Times New Roman" w:hAnsi="Times New Roman" w:cs="Times New Roman"/>
          <w:sz w:val="24"/>
          <w:szCs w:val="24"/>
          <w:bdr w:val="none" w:sz="0" w:space="0" w:color="auto" w:frame="1"/>
          <w:lang w:eastAsia="pl-PL"/>
        </w:rPr>
        <w:t>ów</w:t>
      </w:r>
      <w:r w:rsidR="003629FB" w:rsidRPr="00E11754">
        <w:rPr>
          <w:rFonts w:ascii="Times New Roman" w:eastAsia="Times New Roman" w:hAnsi="Times New Roman" w:cs="Times New Roman"/>
          <w:sz w:val="24"/>
          <w:szCs w:val="24"/>
          <w:bdr w:val="none" w:sz="0" w:space="0" w:color="auto" w:frame="1"/>
          <w:lang w:eastAsia="pl-PL"/>
        </w:rPr>
        <w:t xml:space="preserve"> na zwierzętach</w:t>
      </w:r>
      <w:r w:rsidR="00F55383" w:rsidRPr="00E11754">
        <w:rPr>
          <w:rFonts w:ascii="Times New Roman" w:eastAsia="Times New Roman" w:hAnsi="Times New Roman" w:cs="Times New Roman"/>
          <w:sz w:val="24"/>
          <w:szCs w:val="24"/>
          <w:bdr w:val="none" w:sz="0" w:space="0" w:color="auto" w:frame="1"/>
          <w:lang w:eastAsia="pl-PL"/>
        </w:rPr>
        <w:t xml:space="preserve"> doświadczalnych</w:t>
      </w:r>
      <w:r w:rsidR="007E31FD" w:rsidRPr="00E11754">
        <w:rPr>
          <w:rFonts w:ascii="Times New Roman" w:eastAsia="Times New Roman" w:hAnsi="Times New Roman" w:cs="Times New Roman"/>
          <w:sz w:val="24"/>
          <w:szCs w:val="24"/>
          <w:bdr w:val="none" w:sz="0" w:space="0" w:color="auto" w:frame="1"/>
          <w:lang w:eastAsia="pl-PL"/>
        </w:rPr>
        <w:t>. Przykład</w:t>
      </w:r>
      <w:r w:rsidR="008B3132" w:rsidRPr="00E11754">
        <w:rPr>
          <w:rFonts w:ascii="Times New Roman" w:eastAsia="Times New Roman" w:hAnsi="Times New Roman" w:cs="Times New Roman"/>
          <w:sz w:val="24"/>
          <w:szCs w:val="24"/>
          <w:bdr w:val="none" w:sz="0" w:space="0" w:color="auto" w:frame="1"/>
          <w:lang w:eastAsia="pl-PL"/>
        </w:rPr>
        <w:t xml:space="preserve">owo, tego typu </w:t>
      </w:r>
      <w:r w:rsidR="007E31FD" w:rsidRPr="00E11754">
        <w:rPr>
          <w:rFonts w:ascii="Times New Roman" w:eastAsia="Times New Roman" w:hAnsi="Times New Roman" w:cs="Times New Roman"/>
          <w:sz w:val="24"/>
          <w:szCs w:val="24"/>
          <w:bdr w:val="none" w:sz="0" w:space="0" w:color="auto" w:frame="1"/>
          <w:lang w:eastAsia="pl-PL"/>
        </w:rPr>
        <w:t>badania</w:t>
      </w:r>
      <w:r w:rsidR="008B3132" w:rsidRPr="00E11754">
        <w:rPr>
          <w:rFonts w:ascii="Times New Roman" w:eastAsia="Times New Roman" w:hAnsi="Times New Roman" w:cs="Times New Roman"/>
          <w:sz w:val="24"/>
          <w:szCs w:val="24"/>
          <w:bdr w:val="none" w:sz="0" w:space="0" w:color="auto" w:frame="1"/>
          <w:lang w:eastAsia="pl-PL"/>
        </w:rPr>
        <w:t xml:space="preserve"> są wymagane wówczas, gdy ich </w:t>
      </w:r>
      <w:r w:rsidR="00427112" w:rsidRPr="00E11754">
        <w:rPr>
          <w:rFonts w:ascii="Times New Roman" w:eastAsia="Times New Roman" w:hAnsi="Times New Roman" w:cs="Times New Roman"/>
          <w:sz w:val="24"/>
          <w:szCs w:val="24"/>
          <w:bdr w:val="none" w:sz="0" w:space="0" w:color="auto" w:frame="1"/>
          <w:lang w:eastAsia="pl-PL"/>
        </w:rPr>
        <w:t>celem</w:t>
      </w:r>
      <w:r w:rsidR="00A228DE" w:rsidRPr="00E11754">
        <w:rPr>
          <w:rFonts w:ascii="Times New Roman" w:eastAsia="Times New Roman" w:hAnsi="Times New Roman" w:cs="Times New Roman"/>
          <w:sz w:val="24"/>
          <w:szCs w:val="24"/>
          <w:bdr w:val="none" w:sz="0" w:space="0" w:color="auto" w:frame="1"/>
          <w:lang w:eastAsia="pl-PL"/>
        </w:rPr>
        <w:t xml:space="preserve"> </w:t>
      </w:r>
      <w:r w:rsidR="00427112" w:rsidRPr="00E11754">
        <w:rPr>
          <w:rFonts w:ascii="Times New Roman" w:eastAsia="Times New Roman" w:hAnsi="Times New Roman" w:cs="Times New Roman"/>
          <w:sz w:val="24"/>
          <w:szCs w:val="24"/>
          <w:bdr w:val="none" w:sz="0" w:space="0" w:color="auto" w:frame="1"/>
          <w:lang w:eastAsia="pl-PL"/>
        </w:rPr>
        <w:t>jest</w:t>
      </w:r>
      <w:r w:rsidR="00A228DE" w:rsidRPr="00E11754">
        <w:rPr>
          <w:rFonts w:ascii="Times New Roman" w:eastAsia="Times New Roman" w:hAnsi="Times New Roman" w:cs="Times New Roman"/>
          <w:sz w:val="24"/>
          <w:szCs w:val="24"/>
          <w:bdr w:val="none" w:sz="0" w:space="0" w:color="auto" w:frame="1"/>
          <w:lang w:eastAsia="pl-PL"/>
        </w:rPr>
        <w:t xml:space="preserve"> u</w:t>
      </w:r>
      <w:r w:rsidR="00CD4473" w:rsidRPr="00E11754">
        <w:rPr>
          <w:rFonts w:ascii="Times New Roman" w:eastAsia="Times New Roman" w:hAnsi="Times New Roman" w:cs="Times New Roman"/>
          <w:sz w:val="24"/>
          <w:szCs w:val="24"/>
          <w:bdr w:val="none" w:sz="0" w:space="0" w:color="auto" w:frame="1"/>
          <w:lang w:eastAsia="pl-PL"/>
        </w:rPr>
        <w:t>dowod</w:t>
      </w:r>
      <w:r w:rsidR="008D0DBD" w:rsidRPr="00E11754">
        <w:rPr>
          <w:rFonts w:ascii="Times New Roman" w:eastAsia="Times New Roman" w:hAnsi="Times New Roman" w:cs="Times New Roman"/>
          <w:sz w:val="24"/>
          <w:szCs w:val="24"/>
          <w:bdr w:val="none" w:sz="0" w:space="0" w:color="auto" w:frame="1"/>
          <w:lang w:eastAsia="pl-PL"/>
        </w:rPr>
        <w:t>nienie</w:t>
      </w:r>
      <w:r w:rsidR="00CD4473" w:rsidRPr="00E11754">
        <w:rPr>
          <w:rFonts w:ascii="Times New Roman" w:eastAsia="Times New Roman" w:hAnsi="Times New Roman" w:cs="Times New Roman"/>
          <w:sz w:val="24"/>
          <w:szCs w:val="24"/>
          <w:bdr w:val="none" w:sz="0" w:space="0" w:color="auto" w:frame="1"/>
          <w:lang w:eastAsia="pl-PL"/>
        </w:rPr>
        <w:t xml:space="preserve"> </w:t>
      </w:r>
      <w:r w:rsidR="00D5401B" w:rsidRPr="00E11754">
        <w:rPr>
          <w:rFonts w:ascii="Times New Roman" w:eastAsia="Times New Roman" w:hAnsi="Times New Roman" w:cs="Times New Roman"/>
          <w:sz w:val="24"/>
          <w:szCs w:val="24"/>
          <w:bdr w:val="none" w:sz="0" w:space="0" w:color="auto" w:frame="1"/>
          <w:lang w:eastAsia="pl-PL"/>
        </w:rPr>
        <w:t xml:space="preserve">wyższej </w:t>
      </w:r>
      <w:r w:rsidR="00DC3CBD" w:rsidRPr="00E11754">
        <w:rPr>
          <w:rFonts w:ascii="Times New Roman" w:eastAsia="Times New Roman" w:hAnsi="Times New Roman" w:cs="Times New Roman"/>
          <w:sz w:val="24"/>
          <w:szCs w:val="24"/>
          <w:bdr w:val="none" w:sz="0" w:space="0" w:color="auto" w:frame="1"/>
          <w:lang w:eastAsia="pl-PL"/>
        </w:rPr>
        <w:t>skuteczności</w:t>
      </w:r>
      <w:r w:rsidR="00CD4473" w:rsidRPr="00E11754">
        <w:rPr>
          <w:rFonts w:ascii="Times New Roman" w:eastAsia="Times New Roman" w:hAnsi="Times New Roman" w:cs="Times New Roman"/>
          <w:sz w:val="24"/>
          <w:szCs w:val="24"/>
          <w:bdr w:val="none" w:sz="0" w:space="0" w:color="auto" w:frame="1"/>
          <w:lang w:eastAsia="pl-PL"/>
        </w:rPr>
        <w:t xml:space="preserve"> </w:t>
      </w:r>
      <w:r w:rsidR="00DC3CBD" w:rsidRPr="00E11754">
        <w:rPr>
          <w:rFonts w:ascii="Times New Roman" w:eastAsia="Times New Roman" w:hAnsi="Times New Roman" w:cs="Times New Roman"/>
          <w:sz w:val="24"/>
          <w:szCs w:val="24"/>
          <w:bdr w:val="none" w:sz="0" w:space="0" w:color="auto" w:frame="1"/>
          <w:lang w:eastAsia="pl-PL"/>
        </w:rPr>
        <w:t xml:space="preserve">przeciwnowotworowej </w:t>
      </w:r>
      <w:r w:rsidR="00D5401B" w:rsidRPr="00E11754">
        <w:rPr>
          <w:rFonts w:ascii="Times New Roman" w:eastAsia="Times New Roman" w:hAnsi="Times New Roman" w:cs="Times New Roman"/>
          <w:sz w:val="24"/>
          <w:szCs w:val="24"/>
          <w:bdr w:val="none" w:sz="0" w:space="0" w:color="auto" w:frame="1"/>
          <w:lang w:eastAsia="pl-PL"/>
        </w:rPr>
        <w:t>nowo opracowanej postaci leku</w:t>
      </w:r>
      <w:r w:rsidR="00D5401B" w:rsidRPr="00E11754" w:rsidDel="00D5401B">
        <w:rPr>
          <w:rFonts w:ascii="Times New Roman" w:eastAsia="Times New Roman" w:hAnsi="Times New Roman" w:cs="Times New Roman"/>
          <w:sz w:val="24"/>
          <w:szCs w:val="24"/>
          <w:bdr w:val="none" w:sz="0" w:space="0" w:color="auto" w:frame="1"/>
          <w:lang w:eastAsia="pl-PL"/>
        </w:rPr>
        <w:t xml:space="preserve"> </w:t>
      </w:r>
      <w:r w:rsidR="00D5401B" w:rsidRPr="00E11754">
        <w:rPr>
          <w:rFonts w:ascii="Times New Roman" w:eastAsia="Times New Roman" w:hAnsi="Times New Roman" w:cs="Times New Roman"/>
          <w:sz w:val="24"/>
          <w:szCs w:val="24"/>
          <w:bdr w:val="none" w:sz="0" w:space="0" w:color="auto" w:frame="1"/>
          <w:lang w:eastAsia="pl-PL"/>
        </w:rPr>
        <w:t xml:space="preserve">dla substancji czynnej już dopuszczonej do obrotu aptecznego. </w:t>
      </w:r>
      <w:r w:rsidR="007D53CF" w:rsidRPr="00E11754">
        <w:rPr>
          <w:rFonts w:ascii="Times New Roman" w:eastAsia="Times New Roman" w:hAnsi="Times New Roman" w:cs="Times New Roman"/>
          <w:sz w:val="24"/>
          <w:szCs w:val="24"/>
          <w:bdr w:val="none" w:sz="0" w:space="0" w:color="auto" w:frame="1"/>
          <w:lang w:eastAsia="pl-PL"/>
        </w:rPr>
        <w:t xml:space="preserve">Jednakże, </w:t>
      </w:r>
      <w:r w:rsidR="008B3132" w:rsidRPr="00E11754">
        <w:rPr>
          <w:rFonts w:ascii="Times New Roman" w:eastAsia="Times New Roman" w:hAnsi="Times New Roman" w:cs="Times New Roman"/>
          <w:sz w:val="24"/>
          <w:szCs w:val="24"/>
          <w:bdr w:val="none" w:sz="0" w:space="0" w:color="auto" w:frame="1"/>
          <w:lang w:eastAsia="pl-PL"/>
        </w:rPr>
        <w:t xml:space="preserve">to także narzuca konieczność </w:t>
      </w:r>
      <w:r w:rsidR="00DC3CBD" w:rsidRPr="00E11754">
        <w:rPr>
          <w:rFonts w:ascii="Times New Roman" w:eastAsia="Times New Roman" w:hAnsi="Times New Roman" w:cs="Times New Roman"/>
          <w:sz w:val="24"/>
          <w:szCs w:val="24"/>
          <w:bdr w:val="none" w:sz="0" w:space="0" w:color="auto" w:frame="1"/>
          <w:lang w:eastAsia="pl-PL"/>
        </w:rPr>
        <w:t>opracowani</w:t>
      </w:r>
      <w:r w:rsidR="008B3132" w:rsidRPr="00E11754">
        <w:rPr>
          <w:rFonts w:ascii="Times New Roman" w:eastAsia="Times New Roman" w:hAnsi="Times New Roman" w:cs="Times New Roman"/>
          <w:sz w:val="24"/>
          <w:szCs w:val="24"/>
          <w:bdr w:val="none" w:sz="0" w:space="0" w:color="auto" w:frame="1"/>
          <w:lang w:eastAsia="pl-PL"/>
        </w:rPr>
        <w:t>a</w:t>
      </w:r>
      <w:r w:rsidR="00DC3CBD" w:rsidRPr="00E11754">
        <w:rPr>
          <w:rFonts w:ascii="Times New Roman" w:eastAsia="Times New Roman" w:hAnsi="Times New Roman" w:cs="Times New Roman"/>
          <w:sz w:val="24"/>
          <w:szCs w:val="24"/>
          <w:bdr w:val="none" w:sz="0" w:space="0" w:color="auto" w:frame="1"/>
          <w:lang w:eastAsia="pl-PL"/>
        </w:rPr>
        <w:t xml:space="preserve"> </w:t>
      </w:r>
      <w:r w:rsidR="001D5949" w:rsidRPr="00E11754">
        <w:rPr>
          <w:rFonts w:ascii="Times New Roman" w:eastAsia="Times New Roman" w:hAnsi="Times New Roman" w:cs="Times New Roman"/>
          <w:sz w:val="24"/>
          <w:szCs w:val="24"/>
          <w:bdr w:val="none" w:sz="0" w:space="0" w:color="auto" w:frame="1"/>
          <w:lang w:eastAsia="pl-PL"/>
        </w:rPr>
        <w:t>wiarygodnych</w:t>
      </w:r>
      <w:r w:rsidR="00D5401B" w:rsidRPr="00E11754">
        <w:rPr>
          <w:rFonts w:ascii="Times New Roman" w:eastAsia="Times New Roman" w:hAnsi="Times New Roman" w:cs="Times New Roman"/>
          <w:sz w:val="24"/>
          <w:szCs w:val="24"/>
          <w:bdr w:val="none" w:sz="0" w:space="0" w:color="auto" w:frame="1"/>
          <w:lang w:eastAsia="pl-PL"/>
        </w:rPr>
        <w:t xml:space="preserve"> </w:t>
      </w:r>
      <w:r w:rsidR="00DC3CBD" w:rsidRPr="00E11754">
        <w:rPr>
          <w:rFonts w:ascii="Times New Roman" w:eastAsia="Times New Roman" w:hAnsi="Times New Roman" w:cs="Times New Roman"/>
          <w:sz w:val="24"/>
          <w:szCs w:val="24"/>
          <w:bdr w:val="none" w:sz="0" w:space="0" w:color="auto" w:frame="1"/>
          <w:lang w:eastAsia="pl-PL"/>
        </w:rPr>
        <w:t xml:space="preserve">metod </w:t>
      </w:r>
      <w:r w:rsidR="001D5949" w:rsidRPr="00E11754">
        <w:rPr>
          <w:rFonts w:ascii="Times New Roman" w:eastAsia="Times New Roman" w:hAnsi="Times New Roman" w:cs="Times New Roman"/>
          <w:sz w:val="24"/>
          <w:szCs w:val="24"/>
          <w:bdr w:val="none" w:sz="0" w:space="0" w:color="auto" w:frame="1"/>
          <w:lang w:eastAsia="pl-PL"/>
        </w:rPr>
        <w:t xml:space="preserve">analitycznych </w:t>
      </w:r>
      <w:r w:rsidR="007E31FD" w:rsidRPr="00E11754">
        <w:rPr>
          <w:rFonts w:ascii="Times New Roman" w:eastAsia="Times New Roman" w:hAnsi="Times New Roman" w:cs="Times New Roman"/>
          <w:sz w:val="24"/>
          <w:szCs w:val="24"/>
          <w:bdr w:val="none" w:sz="0" w:space="0" w:color="auto" w:frame="1"/>
          <w:lang w:eastAsia="pl-PL"/>
        </w:rPr>
        <w:t xml:space="preserve">do </w:t>
      </w:r>
      <w:r w:rsidR="00DC3CBD" w:rsidRPr="00E11754">
        <w:rPr>
          <w:rFonts w:ascii="Times New Roman" w:eastAsia="Times New Roman" w:hAnsi="Times New Roman" w:cs="Times New Roman"/>
          <w:sz w:val="24"/>
          <w:szCs w:val="24"/>
          <w:bdr w:val="none" w:sz="0" w:space="0" w:color="auto" w:frame="1"/>
          <w:lang w:eastAsia="pl-PL"/>
        </w:rPr>
        <w:t xml:space="preserve">oznaczania </w:t>
      </w:r>
      <w:r w:rsidR="003D2526" w:rsidRPr="00E11754">
        <w:rPr>
          <w:rFonts w:ascii="Times New Roman" w:eastAsia="Times New Roman" w:hAnsi="Times New Roman" w:cs="Times New Roman"/>
          <w:sz w:val="24"/>
          <w:szCs w:val="24"/>
          <w:bdr w:val="none" w:sz="0" w:space="0" w:color="auto" w:frame="1"/>
          <w:lang w:eastAsia="pl-PL"/>
        </w:rPr>
        <w:t>wybranych</w:t>
      </w:r>
      <w:r w:rsidR="00DC3CBD" w:rsidRPr="00E11754">
        <w:rPr>
          <w:rFonts w:ascii="Times New Roman" w:eastAsia="Times New Roman" w:hAnsi="Times New Roman" w:cs="Times New Roman"/>
          <w:sz w:val="24"/>
          <w:szCs w:val="24"/>
          <w:bdr w:val="none" w:sz="0" w:space="0" w:color="auto" w:frame="1"/>
          <w:lang w:eastAsia="pl-PL"/>
        </w:rPr>
        <w:t xml:space="preserve"> leków w tkankach zwierzęcych. </w:t>
      </w:r>
      <w:r w:rsidR="00427112" w:rsidRPr="00E11754">
        <w:rPr>
          <w:rFonts w:ascii="Times New Roman" w:eastAsia="Times New Roman" w:hAnsi="Times New Roman" w:cs="Times New Roman"/>
          <w:sz w:val="24"/>
          <w:szCs w:val="24"/>
          <w:bdr w:val="none" w:sz="0" w:space="0" w:color="auto" w:frame="1"/>
          <w:lang w:eastAsia="pl-PL"/>
        </w:rPr>
        <w:t>W</w:t>
      </w:r>
      <w:r w:rsidR="007E31FD" w:rsidRPr="00E11754">
        <w:rPr>
          <w:rFonts w:ascii="Times New Roman" w:eastAsia="Times New Roman" w:hAnsi="Times New Roman" w:cs="Times New Roman"/>
          <w:sz w:val="24"/>
          <w:szCs w:val="24"/>
          <w:bdr w:val="none" w:sz="0" w:space="0" w:color="auto" w:frame="1"/>
          <w:lang w:eastAsia="pl-PL"/>
        </w:rPr>
        <w:t xml:space="preserve"> laboratoriach farmaceutycznych i klinicznych, </w:t>
      </w:r>
      <w:r w:rsidR="008B3132" w:rsidRPr="00E11754">
        <w:rPr>
          <w:rFonts w:ascii="Times New Roman" w:eastAsia="Times New Roman" w:hAnsi="Times New Roman" w:cs="Times New Roman"/>
          <w:sz w:val="24"/>
          <w:szCs w:val="24"/>
          <w:bdr w:val="none" w:sz="0" w:space="0" w:color="auto" w:frame="1"/>
          <w:lang w:eastAsia="pl-PL"/>
        </w:rPr>
        <w:t xml:space="preserve">z uwagi na wysokie możliwości rozdzielcze oraz dużą dostępność aparatury pomiarowej, bardzo często w takich przypadkach korzysta się z metod opartych na technikach chromatograficznych, a zwłaszcza wysokosprawnej chromatografii cieczowej (ang. </w:t>
      </w:r>
      <w:r w:rsidR="00443BB3" w:rsidRPr="3E73E500">
        <w:rPr>
          <w:rFonts w:ascii="Times New Roman" w:hAnsi="Times New Roman" w:cs="Times New Roman"/>
          <w:i/>
          <w:iCs/>
          <w:sz w:val="24"/>
          <w:szCs w:val="24"/>
          <w:shd w:val="clear" w:color="auto" w:fill="FFFFFF"/>
        </w:rPr>
        <w:t>High-Performance</w:t>
      </w:r>
      <w:r w:rsidR="00443BB3" w:rsidRPr="7918CE45">
        <w:rPr>
          <w:rFonts w:ascii="Times New Roman" w:hAnsi="Times New Roman" w:cs="Times New Roman"/>
          <w:i/>
          <w:iCs/>
          <w:sz w:val="24"/>
          <w:szCs w:val="24"/>
          <w:shd w:val="clear" w:color="auto" w:fill="FFFFFF"/>
        </w:rPr>
        <w:t xml:space="preserve"> </w:t>
      </w:r>
      <w:r w:rsidR="00443BB3" w:rsidRPr="6086838A">
        <w:rPr>
          <w:rFonts w:ascii="Times New Roman" w:hAnsi="Times New Roman" w:cs="Times New Roman"/>
          <w:i/>
          <w:iCs/>
          <w:sz w:val="24"/>
          <w:szCs w:val="24"/>
          <w:shd w:val="clear" w:color="auto" w:fill="FFFFFF"/>
        </w:rPr>
        <w:t xml:space="preserve">Liquid </w:t>
      </w:r>
      <w:proofErr w:type="spellStart"/>
      <w:r w:rsidR="00443BB3" w:rsidRPr="3CEF7694">
        <w:rPr>
          <w:rFonts w:ascii="Times New Roman" w:hAnsi="Times New Roman" w:cs="Times New Roman"/>
          <w:i/>
          <w:iCs/>
          <w:sz w:val="24"/>
          <w:szCs w:val="24"/>
          <w:shd w:val="clear" w:color="auto" w:fill="FFFFFF"/>
        </w:rPr>
        <w:t>Chromatography</w:t>
      </w:r>
      <w:proofErr w:type="spellEnd"/>
      <w:r w:rsidR="008B3132" w:rsidRPr="00E11754">
        <w:rPr>
          <w:rFonts w:ascii="Times New Roman" w:eastAsia="Times New Roman" w:hAnsi="Times New Roman" w:cs="Times New Roman"/>
          <w:sz w:val="24"/>
          <w:szCs w:val="24"/>
          <w:bdr w:val="none" w:sz="0" w:space="0" w:color="auto" w:frame="1"/>
          <w:lang w:eastAsia="pl-PL"/>
        </w:rPr>
        <w:t>, HPLC)</w:t>
      </w:r>
      <w:r w:rsidR="00427112" w:rsidRPr="00E11754">
        <w:rPr>
          <w:rFonts w:ascii="Times New Roman" w:eastAsia="Times New Roman" w:hAnsi="Times New Roman" w:cs="Times New Roman"/>
          <w:sz w:val="24"/>
          <w:szCs w:val="24"/>
          <w:bdr w:val="none" w:sz="0" w:space="0" w:color="auto" w:frame="1"/>
          <w:lang w:eastAsia="pl-PL"/>
        </w:rPr>
        <w:t xml:space="preserve">. </w:t>
      </w:r>
    </w:p>
    <w:p w14:paraId="3127A6EA" w14:textId="0CC8E701" w:rsidR="7FED27BB" w:rsidRPr="00E11754" w:rsidRDefault="7FED27BB" w:rsidP="7FED27BB">
      <w:pPr>
        <w:spacing w:line="360" w:lineRule="auto"/>
        <w:jc w:val="both"/>
        <w:rPr>
          <w:rFonts w:ascii="Times New Roman" w:eastAsia="Times New Roman" w:hAnsi="Times New Roman" w:cs="Times New Roman"/>
          <w:sz w:val="24"/>
          <w:szCs w:val="24"/>
          <w:lang w:eastAsia="pl-PL"/>
        </w:rPr>
      </w:pPr>
    </w:p>
    <w:p w14:paraId="5D44D555" w14:textId="2F008F19" w:rsidR="003D2526" w:rsidRPr="00E11754" w:rsidRDefault="00427112" w:rsidP="0560FCF3">
      <w:pPr>
        <w:pStyle w:val="Nagwek2"/>
        <w:numPr>
          <w:ilvl w:val="1"/>
          <w:numId w:val="13"/>
        </w:numPr>
        <w:rPr>
          <w:rFonts w:ascii="Times New Roman" w:hAnsi="Times New Roman" w:cs="Times New Roman"/>
          <w:b/>
          <w:bCs/>
          <w:sz w:val="24"/>
          <w:szCs w:val="24"/>
          <w:bdr w:val="none" w:sz="0" w:space="0" w:color="auto" w:frame="1"/>
          <w:lang w:eastAsia="pl-PL"/>
        </w:rPr>
      </w:pPr>
      <w:bookmarkStart w:id="16" w:name="_Toc137702477"/>
      <w:r w:rsidRPr="00E11754">
        <w:rPr>
          <w:rFonts w:ascii="Times New Roman" w:hAnsi="Times New Roman" w:cs="Times New Roman"/>
          <w:b/>
          <w:bCs/>
          <w:sz w:val="24"/>
          <w:szCs w:val="24"/>
          <w:bdr w:val="none" w:sz="0" w:space="0" w:color="auto" w:frame="1"/>
          <w:lang w:eastAsia="pl-PL"/>
        </w:rPr>
        <w:t>Opracowanie metody opartej na wysokosprawnej chromatografii cieczowej</w:t>
      </w:r>
      <w:bookmarkEnd w:id="16"/>
    </w:p>
    <w:p w14:paraId="146669C0" w14:textId="37F3A21F" w:rsidR="00924FA8" w:rsidRPr="00E11754" w:rsidRDefault="00924FA8">
      <w:pPr>
        <w:pStyle w:val="Akapitzlist"/>
        <w:spacing w:line="360" w:lineRule="auto"/>
        <w:ind w:left="574"/>
        <w:jc w:val="both"/>
        <w:rPr>
          <w:rFonts w:ascii="Times New Roman" w:eastAsia="Times New Roman" w:hAnsi="Times New Roman" w:cs="Times New Roman"/>
          <w:i/>
          <w:iCs/>
          <w:color w:val="FF0000"/>
          <w:sz w:val="24"/>
          <w:szCs w:val="24"/>
          <w:bdr w:val="none" w:sz="0" w:space="0" w:color="auto" w:frame="1"/>
          <w:lang w:eastAsia="pl-PL"/>
        </w:rPr>
      </w:pPr>
    </w:p>
    <w:p w14:paraId="0EDAED48" w14:textId="1AC80DF7" w:rsidR="00924FA8" w:rsidRPr="00E11754" w:rsidRDefault="004265B2" w:rsidP="004265B2">
      <w:pPr>
        <w:pStyle w:val="Akapitzlist"/>
        <w:spacing w:line="360" w:lineRule="auto"/>
        <w:ind w:left="0"/>
        <w:jc w:val="both"/>
        <w:rPr>
          <w:rFonts w:ascii="Times New Roman" w:eastAsia="Times New Roman" w:hAnsi="Times New Roman" w:cs="Times New Roman"/>
          <w:sz w:val="24"/>
          <w:szCs w:val="24"/>
          <w:bdr w:val="none" w:sz="0" w:space="0" w:color="auto" w:frame="1"/>
          <w:lang w:eastAsia="pl-PL"/>
        </w:rPr>
      </w:pPr>
      <w:r w:rsidRPr="00E11754">
        <w:rPr>
          <w:rFonts w:ascii="Times New Roman" w:eastAsia="Times New Roman" w:hAnsi="Times New Roman" w:cs="Times New Roman"/>
          <w:sz w:val="24"/>
          <w:szCs w:val="24"/>
          <w:bdr w:val="none" w:sz="0" w:space="0" w:color="auto" w:frame="1"/>
          <w:lang w:eastAsia="pl-PL"/>
        </w:rPr>
        <w:tab/>
      </w:r>
      <w:r w:rsidR="00924FA8" w:rsidRPr="00E11754">
        <w:rPr>
          <w:rFonts w:ascii="Times New Roman" w:eastAsia="Times New Roman" w:hAnsi="Times New Roman" w:cs="Times New Roman"/>
          <w:sz w:val="24"/>
          <w:szCs w:val="24"/>
          <w:bdr w:val="none" w:sz="0" w:space="0" w:color="auto" w:frame="1"/>
          <w:lang w:eastAsia="pl-PL"/>
        </w:rPr>
        <w:t xml:space="preserve">Wśród różnych technik separacyjnych </w:t>
      </w:r>
      <w:r w:rsidR="3FA3AED8" w:rsidRPr="00E11754">
        <w:rPr>
          <w:rFonts w:ascii="Times New Roman" w:eastAsia="Times New Roman" w:hAnsi="Times New Roman" w:cs="Times New Roman"/>
          <w:sz w:val="24"/>
          <w:szCs w:val="24"/>
          <w:lang w:eastAsia="pl-PL"/>
        </w:rPr>
        <w:t xml:space="preserve">stosowanych do oznaczania substancji leczniczych, w tym także leków cytostatycznych, na szczególną uwagę zasługuje  chromatografia cieczowa w odwróconym układzie faz (ang. </w:t>
      </w:r>
      <w:proofErr w:type="spellStart"/>
      <w:r w:rsidR="3FA3AED8" w:rsidRPr="00E11754">
        <w:rPr>
          <w:rFonts w:ascii="Times New Roman" w:eastAsia="Times New Roman" w:hAnsi="Times New Roman" w:cs="Times New Roman"/>
          <w:i/>
          <w:iCs/>
          <w:sz w:val="24"/>
          <w:szCs w:val="24"/>
          <w:lang w:eastAsia="pl-PL"/>
        </w:rPr>
        <w:t>Reversed</w:t>
      </w:r>
      <w:proofErr w:type="spellEnd"/>
      <w:r w:rsidR="3FA3AED8" w:rsidRPr="00E11754">
        <w:rPr>
          <w:rFonts w:ascii="Times New Roman" w:eastAsia="Times New Roman" w:hAnsi="Times New Roman" w:cs="Times New Roman"/>
          <w:i/>
          <w:iCs/>
          <w:sz w:val="24"/>
          <w:szCs w:val="24"/>
          <w:lang w:eastAsia="pl-PL"/>
        </w:rPr>
        <w:t xml:space="preserve"> </w:t>
      </w:r>
      <w:proofErr w:type="spellStart"/>
      <w:r w:rsidR="3FA3AED8" w:rsidRPr="00E11754">
        <w:rPr>
          <w:rFonts w:ascii="Times New Roman" w:eastAsia="Times New Roman" w:hAnsi="Times New Roman" w:cs="Times New Roman"/>
          <w:i/>
          <w:iCs/>
          <w:sz w:val="24"/>
          <w:szCs w:val="24"/>
          <w:lang w:eastAsia="pl-PL"/>
        </w:rPr>
        <w:t>Phase</w:t>
      </w:r>
      <w:proofErr w:type="spellEnd"/>
      <w:r w:rsidR="18D94345" w:rsidRPr="00E11754">
        <w:rPr>
          <w:rFonts w:ascii="Times New Roman" w:hAnsi="Times New Roman" w:cs="Times New Roman"/>
          <w:i/>
          <w:iCs/>
          <w:sz w:val="24"/>
          <w:szCs w:val="24"/>
        </w:rPr>
        <w:t xml:space="preserve"> Liquid </w:t>
      </w:r>
      <w:proofErr w:type="spellStart"/>
      <w:r w:rsidR="18D94345" w:rsidRPr="00E11754">
        <w:rPr>
          <w:rFonts w:ascii="Times New Roman" w:hAnsi="Times New Roman" w:cs="Times New Roman"/>
          <w:i/>
          <w:iCs/>
          <w:sz w:val="24"/>
          <w:szCs w:val="24"/>
        </w:rPr>
        <w:t>Chromatography</w:t>
      </w:r>
      <w:proofErr w:type="spellEnd"/>
      <w:r w:rsidR="3FA3AED8" w:rsidRPr="00E11754">
        <w:rPr>
          <w:rFonts w:ascii="Times New Roman" w:eastAsia="Times New Roman" w:hAnsi="Times New Roman" w:cs="Times New Roman"/>
          <w:sz w:val="24"/>
          <w:szCs w:val="24"/>
          <w:lang w:eastAsia="pl-PL"/>
        </w:rPr>
        <w:t>,</w:t>
      </w:r>
      <w:r w:rsidR="2BA7FFDF" w:rsidRPr="00E11754">
        <w:rPr>
          <w:rFonts w:ascii="Times New Roman" w:eastAsia="Times New Roman" w:hAnsi="Times New Roman" w:cs="Times New Roman"/>
          <w:sz w:val="24"/>
          <w:szCs w:val="24"/>
          <w:lang w:eastAsia="pl-PL"/>
        </w:rPr>
        <w:t xml:space="preserve"> RP-L</w:t>
      </w:r>
      <w:r w:rsidR="3FA3AED8" w:rsidRPr="00E11754">
        <w:rPr>
          <w:rFonts w:ascii="Times New Roman" w:eastAsia="Times New Roman" w:hAnsi="Times New Roman" w:cs="Times New Roman"/>
          <w:sz w:val="24"/>
          <w:szCs w:val="24"/>
          <w:lang w:eastAsia="pl-PL"/>
        </w:rPr>
        <w:t>C)</w:t>
      </w:r>
      <w:r w:rsidR="2BA7FFDF" w:rsidRPr="00E11754">
        <w:rPr>
          <w:rFonts w:ascii="Times New Roman" w:eastAsia="Times New Roman" w:hAnsi="Times New Roman" w:cs="Times New Roman"/>
          <w:sz w:val="24"/>
          <w:szCs w:val="24"/>
          <w:lang w:eastAsia="pl-PL"/>
        </w:rPr>
        <w:t>, w której r</w:t>
      </w:r>
      <w:r w:rsidR="00924FA8" w:rsidRPr="00E11754">
        <w:rPr>
          <w:rFonts w:ascii="Times New Roman" w:eastAsia="Times New Roman" w:hAnsi="Times New Roman" w:cs="Times New Roman"/>
          <w:sz w:val="24"/>
          <w:szCs w:val="24"/>
          <w:bdr w:val="none" w:sz="0" w:space="0" w:color="auto" w:frame="1"/>
          <w:lang w:eastAsia="pl-PL"/>
        </w:rPr>
        <w:t>ozdzi</w:t>
      </w:r>
      <w:r w:rsidR="3FA3AED8" w:rsidRPr="00E11754">
        <w:rPr>
          <w:rFonts w:ascii="Times New Roman" w:eastAsia="Times New Roman" w:hAnsi="Times New Roman" w:cs="Times New Roman"/>
          <w:sz w:val="24"/>
          <w:szCs w:val="24"/>
          <w:lang w:eastAsia="pl-PL"/>
        </w:rPr>
        <w:t>elenie mieszaniny skła</w:t>
      </w:r>
      <w:r w:rsidR="2BA7FFDF" w:rsidRPr="00E11754">
        <w:rPr>
          <w:rFonts w:ascii="Times New Roman" w:eastAsia="Times New Roman" w:hAnsi="Times New Roman" w:cs="Times New Roman"/>
          <w:sz w:val="24"/>
          <w:szCs w:val="24"/>
          <w:lang w:eastAsia="pl-PL"/>
        </w:rPr>
        <w:t>dników próbki przebiega</w:t>
      </w:r>
      <w:r w:rsidR="3FA3AED8" w:rsidRPr="00E11754">
        <w:rPr>
          <w:rFonts w:ascii="Times New Roman" w:eastAsia="Times New Roman" w:hAnsi="Times New Roman" w:cs="Times New Roman"/>
          <w:sz w:val="24"/>
          <w:szCs w:val="24"/>
          <w:lang w:eastAsia="pl-PL"/>
        </w:rPr>
        <w:t xml:space="preserve"> </w:t>
      </w:r>
      <w:r w:rsidR="00924FA8" w:rsidRPr="00E11754">
        <w:rPr>
          <w:rFonts w:ascii="Times New Roman" w:eastAsia="Times New Roman" w:hAnsi="Times New Roman" w:cs="Times New Roman"/>
          <w:sz w:val="24"/>
          <w:szCs w:val="24"/>
          <w:bdr w:val="none" w:sz="0" w:space="0" w:color="auto" w:frame="1"/>
          <w:lang w:eastAsia="pl-PL"/>
        </w:rPr>
        <w:t>n</w:t>
      </w:r>
      <w:r w:rsidR="3FA3AED8" w:rsidRPr="00E11754">
        <w:rPr>
          <w:rFonts w:ascii="Times New Roman" w:eastAsia="Times New Roman" w:hAnsi="Times New Roman" w:cs="Times New Roman"/>
          <w:sz w:val="24"/>
          <w:szCs w:val="24"/>
          <w:lang w:eastAsia="pl-PL"/>
        </w:rPr>
        <w:t xml:space="preserve">a </w:t>
      </w:r>
      <w:r w:rsidR="00924FA8" w:rsidRPr="00E11754">
        <w:rPr>
          <w:rFonts w:ascii="Times New Roman" w:eastAsia="Times New Roman" w:hAnsi="Times New Roman" w:cs="Times New Roman"/>
          <w:sz w:val="24"/>
          <w:szCs w:val="24"/>
          <w:bdr w:val="none" w:sz="0" w:space="0" w:color="auto" w:frame="1"/>
          <w:lang w:eastAsia="pl-PL"/>
        </w:rPr>
        <w:t>faz</w:t>
      </w:r>
      <w:r w:rsidR="3FA3AED8" w:rsidRPr="00E11754">
        <w:rPr>
          <w:rFonts w:ascii="Times New Roman" w:eastAsia="Times New Roman" w:hAnsi="Times New Roman" w:cs="Times New Roman"/>
          <w:sz w:val="24"/>
          <w:szCs w:val="24"/>
          <w:lang w:eastAsia="pl-PL"/>
        </w:rPr>
        <w:t>ie</w:t>
      </w:r>
      <w:r w:rsidR="00924FA8" w:rsidRPr="00E11754">
        <w:rPr>
          <w:rFonts w:ascii="Times New Roman" w:eastAsia="Times New Roman" w:hAnsi="Times New Roman" w:cs="Times New Roman"/>
          <w:sz w:val="24"/>
          <w:szCs w:val="24"/>
          <w:bdr w:val="none" w:sz="0" w:space="0" w:color="auto" w:frame="1"/>
          <w:lang w:eastAsia="pl-PL"/>
        </w:rPr>
        <w:t xml:space="preserve"> stacjonarn</w:t>
      </w:r>
      <w:r w:rsidR="3FA3AED8" w:rsidRPr="00E11754">
        <w:rPr>
          <w:rFonts w:ascii="Times New Roman" w:eastAsia="Times New Roman" w:hAnsi="Times New Roman" w:cs="Times New Roman"/>
          <w:sz w:val="24"/>
          <w:szCs w:val="24"/>
          <w:lang w:eastAsia="pl-PL"/>
        </w:rPr>
        <w:t>ej</w:t>
      </w:r>
      <w:r w:rsidR="00924FA8" w:rsidRPr="00E11754" w:rsidDel="3FA3AED8">
        <w:rPr>
          <w:rFonts w:ascii="Times New Roman" w:eastAsia="Times New Roman" w:hAnsi="Times New Roman" w:cs="Times New Roman"/>
          <w:sz w:val="24"/>
          <w:szCs w:val="24"/>
          <w:lang w:eastAsia="pl-PL"/>
        </w:rPr>
        <w:t xml:space="preserve"> o charakterze </w:t>
      </w:r>
      <w:r w:rsidR="2BA7FFDF" w:rsidRPr="00E11754">
        <w:rPr>
          <w:rFonts w:ascii="Times New Roman" w:eastAsia="Times New Roman" w:hAnsi="Times New Roman" w:cs="Times New Roman"/>
          <w:sz w:val="24"/>
          <w:szCs w:val="24"/>
          <w:lang w:eastAsia="pl-PL"/>
        </w:rPr>
        <w:t>mniej polarnym</w:t>
      </w:r>
      <w:r w:rsidR="3FA3AED8" w:rsidRPr="00E11754">
        <w:rPr>
          <w:rFonts w:ascii="Times New Roman" w:eastAsia="Times New Roman" w:hAnsi="Times New Roman" w:cs="Times New Roman"/>
          <w:sz w:val="24"/>
          <w:szCs w:val="24"/>
          <w:lang w:eastAsia="pl-PL"/>
        </w:rPr>
        <w:t xml:space="preserve"> niż f</w:t>
      </w:r>
      <w:r w:rsidR="2BA7FFDF" w:rsidRPr="00E11754">
        <w:rPr>
          <w:rFonts w:ascii="Times New Roman" w:eastAsia="Times New Roman" w:hAnsi="Times New Roman" w:cs="Times New Roman"/>
          <w:sz w:val="24"/>
          <w:szCs w:val="24"/>
          <w:lang w:eastAsia="pl-PL"/>
        </w:rPr>
        <w:t>aza ruchoma</w:t>
      </w:r>
      <w:r w:rsidR="13A8E3F4" w:rsidRPr="00E11754">
        <w:rPr>
          <w:rFonts w:ascii="Times New Roman" w:eastAsia="Times New Roman" w:hAnsi="Times New Roman" w:cs="Times New Roman"/>
          <w:sz w:val="24"/>
          <w:szCs w:val="24"/>
          <w:lang w:eastAsia="pl-PL"/>
        </w:rPr>
        <w:t>,</w:t>
      </w:r>
      <w:r w:rsidR="3FA3AED8" w:rsidRPr="00E11754">
        <w:rPr>
          <w:rFonts w:ascii="Times New Roman" w:eastAsia="Times New Roman" w:hAnsi="Times New Roman" w:cs="Times New Roman"/>
          <w:sz w:val="24"/>
          <w:szCs w:val="24"/>
          <w:lang w:eastAsia="pl-PL"/>
        </w:rPr>
        <w:t xml:space="preserve"> będąca najczęściej mieszaniną wody (alternatywnie wodnego roztworu kwasu, zasady bądź buforu o określonym </w:t>
      </w:r>
      <w:proofErr w:type="spellStart"/>
      <w:r w:rsidR="3FA3AED8" w:rsidRPr="00E11754">
        <w:rPr>
          <w:rFonts w:ascii="Times New Roman" w:eastAsia="Times New Roman" w:hAnsi="Times New Roman" w:cs="Times New Roman"/>
          <w:sz w:val="24"/>
          <w:szCs w:val="24"/>
          <w:lang w:eastAsia="pl-PL"/>
        </w:rPr>
        <w:t>pH</w:t>
      </w:r>
      <w:proofErr w:type="spellEnd"/>
      <w:r w:rsidR="3FA3AED8" w:rsidRPr="00E11754">
        <w:rPr>
          <w:rFonts w:ascii="Times New Roman" w:eastAsia="Times New Roman" w:hAnsi="Times New Roman" w:cs="Times New Roman"/>
          <w:sz w:val="24"/>
          <w:szCs w:val="24"/>
          <w:lang w:eastAsia="pl-PL"/>
        </w:rPr>
        <w:t>) i modyfikatora organicznego (najczęściej metanolu (</w:t>
      </w:r>
      <w:proofErr w:type="spellStart"/>
      <w:r w:rsidR="3FA3AED8" w:rsidRPr="00E11754">
        <w:rPr>
          <w:rFonts w:ascii="Times New Roman" w:eastAsia="Times New Roman" w:hAnsi="Times New Roman" w:cs="Times New Roman"/>
          <w:sz w:val="24"/>
          <w:szCs w:val="24"/>
          <w:lang w:eastAsia="pl-PL"/>
        </w:rPr>
        <w:t>MeOH</w:t>
      </w:r>
      <w:proofErr w:type="spellEnd"/>
      <w:r w:rsidR="3FA3AED8" w:rsidRPr="00E11754">
        <w:rPr>
          <w:rFonts w:ascii="Times New Roman" w:eastAsia="Times New Roman" w:hAnsi="Times New Roman" w:cs="Times New Roman"/>
          <w:sz w:val="24"/>
          <w:szCs w:val="24"/>
          <w:lang w:eastAsia="pl-PL"/>
        </w:rPr>
        <w:t xml:space="preserve">) lub </w:t>
      </w:r>
      <w:proofErr w:type="spellStart"/>
      <w:r w:rsidR="3FA3AED8" w:rsidRPr="00E11754">
        <w:rPr>
          <w:rFonts w:ascii="Times New Roman" w:eastAsia="Times New Roman" w:hAnsi="Times New Roman" w:cs="Times New Roman"/>
          <w:sz w:val="24"/>
          <w:szCs w:val="24"/>
          <w:lang w:eastAsia="pl-PL"/>
        </w:rPr>
        <w:t>acetonitrylu</w:t>
      </w:r>
      <w:proofErr w:type="spellEnd"/>
      <w:r w:rsidR="3FA3AED8" w:rsidRPr="00E11754">
        <w:rPr>
          <w:rFonts w:ascii="Times New Roman" w:eastAsia="Times New Roman" w:hAnsi="Times New Roman" w:cs="Times New Roman"/>
          <w:sz w:val="24"/>
          <w:szCs w:val="24"/>
          <w:lang w:eastAsia="pl-PL"/>
        </w:rPr>
        <w:t xml:space="preserve"> (ACN)</w:t>
      </w:r>
      <w:r w:rsidR="2BA7FFDF" w:rsidRPr="00E11754">
        <w:rPr>
          <w:rFonts w:ascii="Times New Roman" w:eastAsia="Times New Roman" w:hAnsi="Times New Roman" w:cs="Times New Roman"/>
          <w:sz w:val="24"/>
          <w:szCs w:val="24"/>
          <w:lang w:eastAsia="pl-PL"/>
        </w:rPr>
        <w:t>)</w:t>
      </w:r>
      <w:r w:rsidR="00924FA8" w:rsidRPr="00E11754">
        <w:rPr>
          <w:rFonts w:ascii="Times New Roman" w:eastAsia="Times New Roman" w:hAnsi="Times New Roman" w:cs="Times New Roman"/>
          <w:sz w:val="24"/>
          <w:szCs w:val="24"/>
          <w:bdr w:val="none" w:sz="0" w:space="0" w:color="auto" w:frame="1"/>
          <w:lang w:eastAsia="pl-PL"/>
        </w:rPr>
        <w:t>. Wynik rozdzi</w:t>
      </w:r>
      <w:r w:rsidR="2BA7FFDF" w:rsidRPr="00E11754">
        <w:rPr>
          <w:rFonts w:ascii="Times New Roman" w:eastAsia="Times New Roman" w:hAnsi="Times New Roman" w:cs="Times New Roman"/>
          <w:sz w:val="24"/>
          <w:szCs w:val="24"/>
          <w:lang w:eastAsia="pl-PL"/>
        </w:rPr>
        <w:t>elenia</w:t>
      </w:r>
      <w:r w:rsidR="00924FA8" w:rsidRPr="00E11754">
        <w:rPr>
          <w:rFonts w:ascii="Times New Roman" w:eastAsia="Times New Roman" w:hAnsi="Times New Roman" w:cs="Times New Roman"/>
          <w:sz w:val="24"/>
          <w:szCs w:val="24"/>
          <w:bdr w:val="none" w:sz="0" w:space="0" w:color="auto" w:frame="1"/>
          <w:lang w:eastAsia="pl-PL"/>
        </w:rPr>
        <w:t xml:space="preserve"> </w:t>
      </w:r>
      <w:r w:rsidR="3FA3AED8" w:rsidRPr="00E11754">
        <w:rPr>
          <w:rFonts w:ascii="Times New Roman" w:eastAsia="Times New Roman" w:hAnsi="Times New Roman" w:cs="Times New Roman"/>
          <w:sz w:val="24"/>
          <w:szCs w:val="24"/>
          <w:lang w:eastAsia="pl-PL"/>
        </w:rPr>
        <w:t xml:space="preserve">ilustruje </w:t>
      </w:r>
      <w:r w:rsidR="00924FA8" w:rsidRPr="00E11754">
        <w:rPr>
          <w:rFonts w:ascii="Times New Roman" w:eastAsia="Times New Roman" w:hAnsi="Times New Roman" w:cs="Times New Roman"/>
          <w:sz w:val="24"/>
          <w:szCs w:val="24"/>
          <w:bdr w:val="none" w:sz="0" w:space="0" w:color="auto" w:frame="1"/>
          <w:lang w:eastAsia="pl-PL"/>
        </w:rPr>
        <w:t xml:space="preserve"> </w:t>
      </w:r>
      <w:proofErr w:type="spellStart"/>
      <w:r w:rsidR="00924FA8" w:rsidRPr="00E11754">
        <w:rPr>
          <w:rFonts w:ascii="Times New Roman" w:eastAsia="Times New Roman" w:hAnsi="Times New Roman" w:cs="Times New Roman"/>
          <w:sz w:val="24"/>
          <w:szCs w:val="24"/>
          <w:bdr w:val="none" w:sz="0" w:space="0" w:color="auto" w:frame="1"/>
          <w:lang w:eastAsia="pl-PL"/>
        </w:rPr>
        <w:t>chromatogram</w:t>
      </w:r>
      <w:proofErr w:type="spellEnd"/>
      <w:r w:rsidR="00924FA8" w:rsidRPr="00E11754">
        <w:rPr>
          <w:rFonts w:ascii="Times New Roman" w:eastAsia="Times New Roman" w:hAnsi="Times New Roman" w:cs="Times New Roman"/>
          <w:sz w:val="24"/>
          <w:szCs w:val="24"/>
          <w:bdr w:val="none" w:sz="0" w:space="0" w:color="auto" w:frame="1"/>
          <w:lang w:eastAsia="pl-PL"/>
        </w:rPr>
        <w:t xml:space="preserve">, na podstawie którego można zidentyfikować związek biorąc pod uwagę jego </w:t>
      </w:r>
      <w:r w:rsidR="3FA3AED8" w:rsidRPr="00E11754">
        <w:rPr>
          <w:rFonts w:ascii="Times New Roman" w:eastAsia="Times New Roman" w:hAnsi="Times New Roman" w:cs="Times New Roman"/>
          <w:sz w:val="24"/>
          <w:szCs w:val="24"/>
          <w:lang w:eastAsia="pl-PL"/>
        </w:rPr>
        <w:t>czas retencji (</w:t>
      </w:r>
      <w:proofErr w:type="spellStart"/>
      <w:r w:rsidR="3FA3AED8" w:rsidRPr="00E11754">
        <w:rPr>
          <w:rFonts w:ascii="Times New Roman" w:eastAsia="Times New Roman" w:hAnsi="Times New Roman" w:cs="Times New Roman"/>
          <w:sz w:val="24"/>
          <w:szCs w:val="24"/>
          <w:lang w:eastAsia="pl-PL"/>
        </w:rPr>
        <w:t>t</w:t>
      </w:r>
      <w:r w:rsidR="3FA3AED8" w:rsidRPr="00E11754">
        <w:rPr>
          <w:rFonts w:ascii="Times New Roman" w:eastAsia="Times New Roman" w:hAnsi="Times New Roman" w:cs="Times New Roman"/>
          <w:sz w:val="24"/>
          <w:szCs w:val="24"/>
          <w:vertAlign w:val="subscript"/>
          <w:lang w:eastAsia="pl-PL"/>
        </w:rPr>
        <w:t>R</w:t>
      </w:r>
      <w:proofErr w:type="spellEnd"/>
      <w:r w:rsidR="3FA3AED8" w:rsidRPr="00E11754">
        <w:rPr>
          <w:rFonts w:ascii="Times New Roman" w:eastAsia="Times New Roman" w:hAnsi="Times New Roman" w:cs="Times New Roman"/>
          <w:sz w:val="24"/>
          <w:szCs w:val="24"/>
          <w:lang w:eastAsia="pl-PL"/>
        </w:rPr>
        <w:t xml:space="preserve">) </w:t>
      </w:r>
      <w:r w:rsidR="00924FA8" w:rsidRPr="00E11754">
        <w:rPr>
          <w:rFonts w:ascii="Times New Roman" w:eastAsia="Times New Roman" w:hAnsi="Times New Roman" w:cs="Times New Roman"/>
          <w:sz w:val="24"/>
          <w:szCs w:val="24"/>
          <w:bdr w:val="none" w:sz="0" w:space="0" w:color="auto" w:frame="1"/>
          <w:lang w:eastAsia="pl-PL"/>
        </w:rPr>
        <w:t>oraz określić jego stężenie w badanej próbie</w:t>
      </w:r>
      <w:r w:rsidR="2BA7FFDF" w:rsidRPr="00E11754">
        <w:rPr>
          <w:rFonts w:ascii="Times New Roman" w:eastAsia="Times New Roman" w:hAnsi="Times New Roman" w:cs="Times New Roman"/>
          <w:sz w:val="24"/>
          <w:szCs w:val="24"/>
          <w:lang w:eastAsia="pl-PL"/>
        </w:rPr>
        <w:t xml:space="preserve"> wykorzystując proporcjonalną zależność te</w:t>
      </w:r>
      <w:r w:rsidR="13A8E3F4" w:rsidRPr="00E11754">
        <w:rPr>
          <w:rFonts w:ascii="Times New Roman" w:eastAsia="Times New Roman" w:hAnsi="Times New Roman" w:cs="Times New Roman"/>
          <w:sz w:val="24"/>
          <w:szCs w:val="24"/>
          <w:lang w:eastAsia="pl-PL"/>
        </w:rPr>
        <w:t xml:space="preserve">j </w:t>
      </w:r>
      <w:r w:rsidR="2BA7FFDF" w:rsidRPr="00E11754">
        <w:rPr>
          <w:rFonts w:ascii="Times New Roman" w:eastAsia="Times New Roman" w:hAnsi="Times New Roman" w:cs="Times New Roman"/>
          <w:sz w:val="24"/>
          <w:szCs w:val="24"/>
          <w:lang w:eastAsia="pl-PL"/>
        </w:rPr>
        <w:t xml:space="preserve">zmiennej </w:t>
      </w:r>
      <w:r w:rsidR="00924FA8" w:rsidRPr="00E11754">
        <w:rPr>
          <w:rFonts w:ascii="Times New Roman" w:eastAsia="Times New Roman" w:hAnsi="Times New Roman" w:cs="Times New Roman"/>
          <w:sz w:val="24"/>
          <w:szCs w:val="24"/>
          <w:bdr w:val="none" w:sz="0" w:space="0" w:color="auto" w:frame="1"/>
          <w:lang w:eastAsia="pl-PL"/>
        </w:rPr>
        <w:t xml:space="preserve">z </w:t>
      </w:r>
      <w:r w:rsidR="3FA3AED8" w:rsidRPr="00E11754">
        <w:rPr>
          <w:rFonts w:ascii="Times New Roman" w:eastAsia="Times New Roman" w:hAnsi="Times New Roman" w:cs="Times New Roman"/>
          <w:sz w:val="24"/>
          <w:szCs w:val="24"/>
          <w:lang w:eastAsia="pl-PL"/>
        </w:rPr>
        <w:t xml:space="preserve">wysokością (H) bądź polem powierzchni (A) piku danego </w:t>
      </w:r>
      <w:proofErr w:type="spellStart"/>
      <w:r w:rsidR="2BA7FFDF" w:rsidRPr="00E11754">
        <w:rPr>
          <w:rFonts w:ascii="Times New Roman" w:eastAsia="Times New Roman" w:hAnsi="Times New Roman" w:cs="Times New Roman"/>
          <w:sz w:val="24"/>
          <w:szCs w:val="24"/>
          <w:lang w:eastAsia="pl-PL"/>
        </w:rPr>
        <w:t>analitu</w:t>
      </w:r>
      <w:proofErr w:type="spellEnd"/>
      <w:r w:rsidR="00924FA8" w:rsidRPr="00E11754">
        <w:rPr>
          <w:rFonts w:ascii="Times New Roman" w:eastAsia="Times New Roman" w:hAnsi="Times New Roman" w:cs="Times New Roman"/>
          <w:sz w:val="24"/>
          <w:szCs w:val="24"/>
          <w:bdr w:val="none" w:sz="0" w:space="0" w:color="auto" w:frame="1"/>
          <w:lang w:eastAsia="pl-PL"/>
        </w:rPr>
        <w:t xml:space="preserve">.  </w:t>
      </w:r>
    </w:p>
    <w:p w14:paraId="0D4E53A3" w14:textId="05602A05" w:rsidR="00924FA8" w:rsidRPr="00E11754" w:rsidRDefault="3FA3AED8" w:rsidP="004265B2">
      <w:pPr>
        <w:pStyle w:val="Akapitzlist"/>
        <w:spacing w:line="360" w:lineRule="auto"/>
        <w:ind w:left="0"/>
        <w:jc w:val="both"/>
        <w:rPr>
          <w:rFonts w:ascii="Times New Roman" w:eastAsia="Times New Roman" w:hAnsi="Times New Roman" w:cs="Times New Roman"/>
          <w:sz w:val="24"/>
          <w:szCs w:val="24"/>
          <w:lang w:eastAsia="pl-PL"/>
        </w:rPr>
      </w:pPr>
      <w:r w:rsidRPr="00E11754">
        <w:rPr>
          <w:rFonts w:ascii="Times New Roman" w:eastAsia="Times New Roman" w:hAnsi="Times New Roman" w:cs="Times New Roman"/>
          <w:sz w:val="24"/>
          <w:szCs w:val="24"/>
          <w:lang w:eastAsia="pl-PL"/>
        </w:rPr>
        <w:t>Jednakże, a</w:t>
      </w:r>
      <w:r w:rsidR="00924FA8" w:rsidRPr="00E11754">
        <w:rPr>
          <w:rFonts w:ascii="Times New Roman" w:eastAsia="Times New Roman" w:hAnsi="Times New Roman" w:cs="Times New Roman"/>
          <w:sz w:val="24"/>
          <w:szCs w:val="24"/>
          <w:bdr w:val="none" w:sz="0" w:space="0" w:color="auto" w:frame="1"/>
          <w:lang w:eastAsia="pl-PL"/>
        </w:rPr>
        <w:t>by</w:t>
      </w:r>
      <w:r w:rsidRPr="00E11754">
        <w:rPr>
          <w:rFonts w:ascii="Times New Roman" w:eastAsia="Times New Roman" w:hAnsi="Times New Roman" w:cs="Times New Roman"/>
          <w:sz w:val="24"/>
          <w:szCs w:val="24"/>
          <w:lang w:eastAsia="pl-PL"/>
        </w:rPr>
        <w:t xml:space="preserve"> rozdzielenia chromatograficzne było satysfakcjonujące, należy</w:t>
      </w:r>
      <w:r w:rsidR="00924FA8" w:rsidRPr="00E11754">
        <w:rPr>
          <w:rFonts w:ascii="Times New Roman" w:eastAsia="Times New Roman" w:hAnsi="Times New Roman" w:cs="Times New Roman"/>
          <w:sz w:val="24"/>
          <w:szCs w:val="24"/>
          <w:bdr w:val="none" w:sz="0" w:space="0" w:color="auto" w:frame="1"/>
          <w:lang w:eastAsia="pl-PL"/>
        </w:rPr>
        <w:t xml:space="preserve"> przeprowadzić proces optymalizacji</w:t>
      </w:r>
      <w:r w:rsidRPr="00E11754">
        <w:rPr>
          <w:rFonts w:ascii="Times New Roman" w:eastAsia="Times New Roman" w:hAnsi="Times New Roman" w:cs="Times New Roman"/>
          <w:sz w:val="24"/>
          <w:szCs w:val="24"/>
          <w:lang w:eastAsia="pl-PL"/>
        </w:rPr>
        <w:t xml:space="preserve"> n</w:t>
      </w:r>
      <w:r w:rsidR="607BFCA9" w:rsidRPr="00E11754">
        <w:rPr>
          <w:rFonts w:ascii="Times New Roman" w:eastAsia="Times New Roman" w:hAnsi="Times New Roman" w:cs="Times New Roman"/>
          <w:sz w:val="24"/>
          <w:szCs w:val="24"/>
          <w:lang w:eastAsia="pl-PL"/>
        </w:rPr>
        <w:t>owej metody chromatograficznej</w:t>
      </w:r>
      <w:r w:rsidRPr="00E11754">
        <w:rPr>
          <w:rFonts w:ascii="Times New Roman" w:eastAsia="Times New Roman" w:hAnsi="Times New Roman" w:cs="Times New Roman"/>
          <w:sz w:val="24"/>
          <w:szCs w:val="24"/>
          <w:lang w:eastAsia="pl-PL"/>
        </w:rPr>
        <w:t>, który dotyczy</w:t>
      </w:r>
      <w:r w:rsidR="00924FA8" w:rsidRPr="00E11754">
        <w:rPr>
          <w:rFonts w:ascii="Times New Roman" w:eastAsia="Times New Roman" w:hAnsi="Times New Roman" w:cs="Times New Roman"/>
          <w:sz w:val="24"/>
          <w:szCs w:val="24"/>
          <w:bdr w:val="none" w:sz="0" w:space="0" w:color="auto" w:frame="1"/>
          <w:lang w:eastAsia="pl-PL"/>
        </w:rPr>
        <w:t xml:space="preserve"> </w:t>
      </w:r>
      <w:r w:rsidR="13A8E3F4" w:rsidRPr="00E11754">
        <w:rPr>
          <w:rFonts w:ascii="Times New Roman" w:eastAsia="Times New Roman" w:hAnsi="Times New Roman" w:cs="Times New Roman"/>
          <w:sz w:val="24"/>
          <w:szCs w:val="24"/>
          <w:lang w:eastAsia="pl-PL"/>
        </w:rPr>
        <w:t>wyboru</w:t>
      </w:r>
      <w:r w:rsidRPr="00E11754">
        <w:rPr>
          <w:rFonts w:ascii="Times New Roman" w:eastAsia="Times New Roman" w:hAnsi="Times New Roman" w:cs="Times New Roman"/>
          <w:sz w:val="24"/>
          <w:szCs w:val="24"/>
          <w:lang w:eastAsia="pl-PL"/>
        </w:rPr>
        <w:t xml:space="preserve"> fazy stacjonarnej</w:t>
      </w:r>
      <w:r w:rsidR="2BA7FFDF" w:rsidRPr="00E11754">
        <w:rPr>
          <w:rFonts w:ascii="Times New Roman" w:eastAsia="Times New Roman" w:hAnsi="Times New Roman" w:cs="Times New Roman"/>
          <w:sz w:val="24"/>
          <w:szCs w:val="24"/>
          <w:lang w:eastAsia="pl-PL"/>
        </w:rPr>
        <w:t xml:space="preserve"> </w:t>
      </w:r>
      <w:r w:rsidR="13A8E3F4" w:rsidRPr="00E11754">
        <w:rPr>
          <w:rFonts w:ascii="Times New Roman" w:eastAsia="Times New Roman" w:hAnsi="Times New Roman" w:cs="Times New Roman"/>
          <w:sz w:val="24"/>
          <w:szCs w:val="24"/>
          <w:lang w:eastAsia="pl-PL"/>
        </w:rPr>
        <w:t>oraz ustalenia,</w:t>
      </w:r>
      <w:r w:rsidR="2BA7FFDF" w:rsidRPr="00E11754">
        <w:rPr>
          <w:rFonts w:ascii="Times New Roman" w:eastAsia="Times New Roman" w:hAnsi="Times New Roman" w:cs="Times New Roman"/>
          <w:sz w:val="24"/>
          <w:szCs w:val="24"/>
          <w:lang w:eastAsia="pl-PL"/>
        </w:rPr>
        <w:t xml:space="preserve"> w jakiej temperaturze </w:t>
      </w:r>
      <w:r w:rsidRPr="00E11754">
        <w:rPr>
          <w:rFonts w:ascii="Times New Roman" w:eastAsia="Times New Roman" w:hAnsi="Times New Roman" w:cs="Times New Roman"/>
          <w:sz w:val="24"/>
          <w:szCs w:val="24"/>
          <w:lang w:eastAsia="pl-PL"/>
        </w:rPr>
        <w:t>będzie prze</w:t>
      </w:r>
      <w:r w:rsidR="2BA7FFDF" w:rsidRPr="00E11754">
        <w:rPr>
          <w:rFonts w:ascii="Times New Roman" w:eastAsia="Times New Roman" w:hAnsi="Times New Roman" w:cs="Times New Roman"/>
          <w:sz w:val="24"/>
          <w:szCs w:val="24"/>
          <w:lang w:eastAsia="pl-PL"/>
        </w:rPr>
        <w:t>biegało rozdzielenie</w:t>
      </w:r>
      <w:r w:rsidRPr="00E11754">
        <w:rPr>
          <w:rFonts w:ascii="Times New Roman" w:eastAsia="Times New Roman" w:hAnsi="Times New Roman" w:cs="Times New Roman"/>
          <w:sz w:val="24"/>
          <w:szCs w:val="24"/>
          <w:lang w:eastAsia="pl-PL"/>
        </w:rPr>
        <w:t xml:space="preserve"> chromatogra</w:t>
      </w:r>
      <w:r w:rsidR="2BA7FFDF" w:rsidRPr="00E11754">
        <w:rPr>
          <w:rFonts w:ascii="Times New Roman" w:eastAsia="Times New Roman" w:hAnsi="Times New Roman" w:cs="Times New Roman"/>
          <w:sz w:val="24"/>
          <w:szCs w:val="24"/>
          <w:lang w:eastAsia="pl-PL"/>
        </w:rPr>
        <w:t xml:space="preserve">ficzne. Ponadto, jaki będzie </w:t>
      </w:r>
      <w:r w:rsidR="00924FA8" w:rsidRPr="00E11754">
        <w:rPr>
          <w:rFonts w:ascii="Times New Roman" w:eastAsia="Times New Roman" w:hAnsi="Times New Roman" w:cs="Times New Roman"/>
          <w:sz w:val="24"/>
          <w:szCs w:val="24"/>
          <w:bdr w:val="none" w:sz="0" w:space="0" w:color="auto" w:frame="1"/>
          <w:lang w:eastAsia="pl-PL"/>
        </w:rPr>
        <w:t xml:space="preserve">skład </w:t>
      </w:r>
      <w:r w:rsidRPr="00E11754">
        <w:rPr>
          <w:rFonts w:ascii="Times New Roman" w:eastAsia="Times New Roman" w:hAnsi="Times New Roman" w:cs="Times New Roman"/>
          <w:sz w:val="24"/>
          <w:szCs w:val="24"/>
          <w:lang w:eastAsia="pl-PL"/>
        </w:rPr>
        <w:t>jakoś</w:t>
      </w:r>
      <w:r w:rsidR="2BA7FFDF" w:rsidRPr="00E11754">
        <w:rPr>
          <w:rFonts w:ascii="Times New Roman" w:eastAsia="Times New Roman" w:hAnsi="Times New Roman" w:cs="Times New Roman"/>
          <w:sz w:val="24"/>
          <w:szCs w:val="24"/>
          <w:lang w:eastAsia="pl-PL"/>
        </w:rPr>
        <w:t>ciowy i ilościowy</w:t>
      </w:r>
      <w:r w:rsidRPr="00E11754">
        <w:rPr>
          <w:rFonts w:ascii="Times New Roman" w:eastAsia="Times New Roman" w:hAnsi="Times New Roman" w:cs="Times New Roman"/>
          <w:sz w:val="24"/>
          <w:szCs w:val="24"/>
          <w:lang w:eastAsia="pl-PL"/>
        </w:rPr>
        <w:t xml:space="preserve"> </w:t>
      </w:r>
      <w:r w:rsidR="00924FA8" w:rsidRPr="00E11754">
        <w:rPr>
          <w:rFonts w:ascii="Times New Roman" w:eastAsia="Times New Roman" w:hAnsi="Times New Roman" w:cs="Times New Roman"/>
          <w:sz w:val="24"/>
          <w:szCs w:val="24"/>
          <w:bdr w:val="none" w:sz="0" w:space="0" w:color="auto" w:frame="1"/>
          <w:lang w:eastAsia="pl-PL"/>
        </w:rPr>
        <w:t xml:space="preserve">oraz </w:t>
      </w:r>
      <w:r w:rsidRPr="00E11754">
        <w:rPr>
          <w:rFonts w:ascii="Times New Roman" w:eastAsia="Times New Roman" w:hAnsi="Times New Roman" w:cs="Times New Roman"/>
          <w:sz w:val="24"/>
          <w:szCs w:val="24"/>
          <w:lang w:eastAsia="pl-PL"/>
        </w:rPr>
        <w:t xml:space="preserve">szybkość </w:t>
      </w:r>
      <w:r w:rsidR="00924FA8" w:rsidRPr="00E11754">
        <w:rPr>
          <w:rFonts w:ascii="Times New Roman" w:eastAsia="Times New Roman" w:hAnsi="Times New Roman" w:cs="Times New Roman"/>
          <w:sz w:val="24"/>
          <w:szCs w:val="24"/>
          <w:bdr w:val="none" w:sz="0" w:space="0" w:color="auto" w:frame="1"/>
          <w:lang w:eastAsia="pl-PL"/>
        </w:rPr>
        <w:t>przepływ</w:t>
      </w:r>
      <w:r w:rsidRPr="00E11754">
        <w:rPr>
          <w:rFonts w:ascii="Times New Roman" w:eastAsia="Times New Roman" w:hAnsi="Times New Roman" w:cs="Times New Roman"/>
          <w:sz w:val="24"/>
          <w:szCs w:val="24"/>
          <w:lang w:eastAsia="pl-PL"/>
        </w:rPr>
        <w:t>u</w:t>
      </w:r>
      <w:r w:rsidR="00924FA8" w:rsidRPr="00E11754">
        <w:rPr>
          <w:rFonts w:ascii="Times New Roman" w:eastAsia="Times New Roman" w:hAnsi="Times New Roman" w:cs="Times New Roman"/>
          <w:sz w:val="24"/>
          <w:szCs w:val="24"/>
          <w:bdr w:val="none" w:sz="0" w:space="0" w:color="auto" w:frame="1"/>
          <w:lang w:eastAsia="pl-PL"/>
        </w:rPr>
        <w:t xml:space="preserve"> fazy ruchomej, objętość dozowanej próbki</w:t>
      </w:r>
      <w:r w:rsidRPr="00E11754">
        <w:rPr>
          <w:rFonts w:ascii="Times New Roman" w:eastAsia="Times New Roman" w:hAnsi="Times New Roman" w:cs="Times New Roman"/>
          <w:sz w:val="24"/>
          <w:szCs w:val="24"/>
          <w:lang w:eastAsia="pl-PL"/>
        </w:rPr>
        <w:t>, a także</w:t>
      </w:r>
      <w:r w:rsidR="00924FA8" w:rsidRPr="00E11754">
        <w:rPr>
          <w:rFonts w:ascii="Times New Roman" w:eastAsia="Times New Roman" w:hAnsi="Times New Roman" w:cs="Times New Roman"/>
          <w:sz w:val="24"/>
          <w:szCs w:val="24"/>
          <w:bdr w:val="none" w:sz="0" w:space="0" w:color="auto" w:frame="1"/>
          <w:lang w:eastAsia="pl-PL"/>
        </w:rPr>
        <w:t xml:space="preserve"> </w:t>
      </w:r>
      <w:r w:rsidRPr="00E11754">
        <w:rPr>
          <w:rFonts w:ascii="Times New Roman" w:eastAsia="Times New Roman" w:hAnsi="Times New Roman" w:cs="Times New Roman"/>
          <w:sz w:val="24"/>
          <w:szCs w:val="24"/>
          <w:lang w:eastAsia="pl-PL"/>
        </w:rPr>
        <w:t xml:space="preserve">rodzaj i </w:t>
      </w:r>
      <w:r w:rsidR="00924FA8" w:rsidRPr="00E11754">
        <w:rPr>
          <w:rFonts w:ascii="Times New Roman" w:eastAsia="Times New Roman" w:hAnsi="Times New Roman" w:cs="Times New Roman"/>
          <w:sz w:val="24"/>
          <w:szCs w:val="24"/>
          <w:bdr w:val="none" w:sz="0" w:space="0" w:color="auto" w:frame="1"/>
          <w:lang w:eastAsia="pl-PL"/>
        </w:rPr>
        <w:t xml:space="preserve">warunki pracy detektora. </w:t>
      </w:r>
      <w:r w:rsidRPr="00E11754">
        <w:rPr>
          <w:rFonts w:ascii="Times New Roman" w:eastAsia="Times New Roman" w:hAnsi="Times New Roman" w:cs="Times New Roman"/>
          <w:sz w:val="24"/>
          <w:szCs w:val="24"/>
          <w:lang w:eastAsia="pl-PL"/>
        </w:rPr>
        <w:t xml:space="preserve">Każdy z tych etapów może bowiem decydować o ostatecznym sukcesie bądź niepowodzeniu </w:t>
      </w:r>
      <w:r w:rsidR="2BA7FFDF" w:rsidRPr="00E11754">
        <w:rPr>
          <w:rFonts w:ascii="Times New Roman" w:eastAsia="Times New Roman" w:hAnsi="Times New Roman" w:cs="Times New Roman"/>
          <w:sz w:val="24"/>
          <w:szCs w:val="24"/>
          <w:lang w:eastAsia="pl-PL"/>
        </w:rPr>
        <w:t xml:space="preserve">danej metody chromatograficznej projektowanej w </w:t>
      </w:r>
      <w:r w:rsidR="13A8E3F4" w:rsidRPr="00E11754">
        <w:rPr>
          <w:rFonts w:ascii="Times New Roman" w:eastAsia="Times New Roman" w:hAnsi="Times New Roman" w:cs="Times New Roman"/>
          <w:sz w:val="24"/>
          <w:szCs w:val="24"/>
          <w:lang w:eastAsia="pl-PL"/>
        </w:rPr>
        <w:t xml:space="preserve">celu </w:t>
      </w:r>
      <w:r w:rsidRPr="00E11754">
        <w:rPr>
          <w:rFonts w:ascii="Times New Roman" w:eastAsia="Times New Roman" w:hAnsi="Times New Roman" w:cs="Times New Roman"/>
          <w:sz w:val="24"/>
          <w:szCs w:val="24"/>
          <w:lang w:eastAsia="pl-PL"/>
        </w:rPr>
        <w:t xml:space="preserve">oznaczania wybranych </w:t>
      </w:r>
      <w:proofErr w:type="spellStart"/>
      <w:r w:rsidR="2BA7FFDF" w:rsidRPr="00E11754">
        <w:rPr>
          <w:rFonts w:ascii="Times New Roman" w:eastAsia="Times New Roman" w:hAnsi="Times New Roman" w:cs="Times New Roman"/>
          <w:sz w:val="24"/>
          <w:szCs w:val="24"/>
          <w:lang w:eastAsia="pl-PL"/>
        </w:rPr>
        <w:t>analitów</w:t>
      </w:r>
      <w:proofErr w:type="spellEnd"/>
      <w:r w:rsidR="2BA7FFDF" w:rsidRPr="00E11754">
        <w:rPr>
          <w:rFonts w:ascii="Times New Roman" w:eastAsia="Times New Roman" w:hAnsi="Times New Roman" w:cs="Times New Roman"/>
          <w:sz w:val="24"/>
          <w:szCs w:val="24"/>
          <w:lang w:eastAsia="pl-PL"/>
        </w:rPr>
        <w:t xml:space="preserve"> w określonej matrycy, w tym leków cytostatycznych w materiale biologicznym.</w:t>
      </w:r>
      <w:r w:rsidRPr="00E11754">
        <w:rPr>
          <w:rFonts w:ascii="Times New Roman" w:eastAsia="Times New Roman" w:hAnsi="Times New Roman" w:cs="Times New Roman"/>
          <w:sz w:val="24"/>
          <w:szCs w:val="24"/>
          <w:lang w:eastAsia="pl-PL"/>
        </w:rPr>
        <w:t xml:space="preserve"> Przykładowo:</w:t>
      </w:r>
    </w:p>
    <w:p w14:paraId="357DABBA" w14:textId="34F78B1C" w:rsidR="00924FA8" w:rsidRPr="00E11754" w:rsidRDefault="00924FA8" w:rsidP="004265B2">
      <w:pPr>
        <w:pStyle w:val="Akapitzlist"/>
        <w:numPr>
          <w:ilvl w:val="0"/>
          <w:numId w:val="2"/>
        </w:numPr>
        <w:spacing w:line="360" w:lineRule="auto"/>
        <w:jc w:val="both"/>
        <w:rPr>
          <w:rFonts w:ascii="Times New Roman" w:eastAsia="Times New Roman" w:hAnsi="Times New Roman" w:cs="Times New Roman"/>
          <w:sz w:val="24"/>
          <w:szCs w:val="24"/>
          <w:lang w:eastAsia="pl-PL"/>
        </w:rPr>
      </w:pPr>
      <w:r w:rsidRPr="00E11754">
        <w:rPr>
          <w:rFonts w:ascii="Times New Roman" w:eastAsia="Times New Roman" w:hAnsi="Times New Roman" w:cs="Times New Roman"/>
          <w:sz w:val="24"/>
          <w:szCs w:val="24"/>
          <w:bdr w:val="none" w:sz="0" w:space="0" w:color="auto" w:frame="1"/>
          <w:lang w:eastAsia="pl-PL"/>
        </w:rPr>
        <w:t>nieodpowiednio dobrane złoże fazy stacjonarnej bądź skład fazy ruchomej może skutkować zbyt niską sprawnością układu, które będzie prowadziło do braku lub nieodpowiedniego kształt pików</w:t>
      </w:r>
      <w:r w:rsidR="2BA7FFDF" w:rsidRPr="00E11754">
        <w:rPr>
          <w:rFonts w:ascii="Times New Roman" w:eastAsia="Times New Roman" w:hAnsi="Times New Roman" w:cs="Times New Roman"/>
          <w:sz w:val="24"/>
          <w:szCs w:val="24"/>
          <w:lang w:eastAsia="pl-PL"/>
        </w:rPr>
        <w:t xml:space="preserve"> </w:t>
      </w:r>
      <w:proofErr w:type="spellStart"/>
      <w:r w:rsidR="2BA7FFDF" w:rsidRPr="00E11754">
        <w:rPr>
          <w:rFonts w:ascii="Times New Roman" w:eastAsia="Times New Roman" w:hAnsi="Times New Roman" w:cs="Times New Roman"/>
          <w:sz w:val="24"/>
          <w:szCs w:val="24"/>
          <w:lang w:eastAsia="pl-PL"/>
        </w:rPr>
        <w:t>analitów</w:t>
      </w:r>
      <w:proofErr w:type="spellEnd"/>
      <w:r w:rsidRPr="00E11754">
        <w:rPr>
          <w:rFonts w:ascii="Times New Roman" w:eastAsia="Times New Roman" w:hAnsi="Times New Roman" w:cs="Times New Roman"/>
          <w:sz w:val="24"/>
          <w:szCs w:val="24"/>
          <w:bdr w:val="none" w:sz="0" w:space="0" w:color="auto" w:frame="1"/>
          <w:lang w:eastAsia="pl-PL"/>
        </w:rPr>
        <w:t xml:space="preserve">, nakładania się sygnałów bądź </w:t>
      </w:r>
      <w:r w:rsidR="2BA7FFDF" w:rsidRPr="00E11754">
        <w:rPr>
          <w:rFonts w:ascii="Times New Roman" w:eastAsia="Times New Roman" w:hAnsi="Times New Roman" w:cs="Times New Roman"/>
          <w:sz w:val="24"/>
          <w:szCs w:val="24"/>
          <w:lang w:eastAsia="pl-PL"/>
        </w:rPr>
        <w:t xml:space="preserve">zbyt słabej </w:t>
      </w:r>
      <w:proofErr w:type="spellStart"/>
      <w:r w:rsidR="2BA7FFDF" w:rsidRPr="00E11754">
        <w:rPr>
          <w:rFonts w:ascii="Times New Roman" w:eastAsia="Times New Roman" w:hAnsi="Times New Roman" w:cs="Times New Roman"/>
          <w:sz w:val="24"/>
          <w:szCs w:val="24"/>
          <w:lang w:eastAsia="pl-PL"/>
        </w:rPr>
        <w:t>elucji</w:t>
      </w:r>
      <w:proofErr w:type="spellEnd"/>
      <w:r w:rsidRPr="00E11754">
        <w:rPr>
          <w:rFonts w:ascii="Times New Roman" w:eastAsia="Times New Roman" w:hAnsi="Times New Roman" w:cs="Times New Roman"/>
          <w:sz w:val="24"/>
          <w:szCs w:val="24"/>
          <w:bdr w:val="none" w:sz="0" w:space="0" w:color="auto" w:frame="1"/>
          <w:lang w:eastAsia="pl-PL"/>
        </w:rPr>
        <w:t xml:space="preserve"> oznaczanych związków, a to może skutkować koniecznością przedłużenia czasu wymaganego do przeprowadzenia analizy chromatograficznej przy niewielkiej zdolności separacyjnej układu. Efektywność procesu chromatograficznego</w:t>
      </w:r>
      <w:r w:rsidR="2BA7FFDF" w:rsidRPr="00E11754">
        <w:rPr>
          <w:rFonts w:ascii="Times New Roman" w:eastAsia="Times New Roman" w:hAnsi="Times New Roman" w:cs="Times New Roman"/>
          <w:sz w:val="24"/>
          <w:szCs w:val="24"/>
          <w:lang w:eastAsia="pl-PL"/>
        </w:rPr>
        <w:t xml:space="preserve"> jest wówczas</w:t>
      </w:r>
      <w:r w:rsidRPr="00E11754">
        <w:rPr>
          <w:rFonts w:ascii="Times New Roman" w:eastAsia="Times New Roman" w:hAnsi="Times New Roman" w:cs="Times New Roman"/>
          <w:sz w:val="24"/>
          <w:szCs w:val="24"/>
          <w:bdr w:val="none" w:sz="0" w:space="0" w:color="auto" w:frame="1"/>
          <w:lang w:eastAsia="pl-PL"/>
        </w:rPr>
        <w:t xml:space="preserve"> niska a koszt analizy i obciążenie dla środowiska naturalnego coraz wyższe. </w:t>
      </w:r>
    </w:p>
    <w:p w14:paraId="217925A5" w14:textId="62E781CD" w:rsidR="00924FA8" w:rsidRPr="00E11754" w:rsidRDefault="00924FA8" w:rsidP="004265B2">
      <w:pPr>
        <w:spacing w:line="360" w:lineRule="auto"/>
        <w:jc w:val="both"/>
        <w:rPr>
          <w:rFonts w:ascii="Times New Roman" w:eastAsia="Times New Roman" w:hAnsi="Times New Roman" w:cs="Times New Roman"/>
          <w:sz w:val="24"/>
          <w:szCs w:val="24"/>
          <w:lang w:eastAsia="pl-PL"/>
        </w:rPr>
      </w:pPr>
      <w:r w:rsidRPr="00E11754">
        <w:rPr>
          <w:rFonts w:ascii="Times New Roman" w:eastAsia="Times New Roman" w:hAnsi="Times New Roman" w:cs="Times New Roman"/>
          <w:sz w:val="24"/>
          <w:szCs w:val="24"/>
          <w:bdr w:val="none" w:sz="0" w:space="0" w:color="auto" w:frame="1"/>
          <w:lang w:eastAsia="pl-PL"/>
        </w:rPr>
        <w:t xml:space="preserve">Niewystarczająca sprawność układu HPLC </w:t>
      </w:r>
      <w:r w:rsidR="607BFCA9" w:rsidRPr="00E11754">
        <w:rPr>
          <w:rFonts w:ascii="Times New Roman" w:eastAsia="Times New Roman" w:hAnsi="Times New Roman" w:cs="Times New Roman"/>
          <w:sz w:val="24"/>
          <w:szCs w:val="24"/>
          <w:lang w:eastAsia="pl-PL"/>
        </w:rPr>
        <w:t>może być także skutkiem:</w:t>
      </w:r>
    </w:p>
    <w:p w14:paraId="1FF5007F" w14:textId="43F75E8A" w:rsidR="00924FA8" w:rsidRPr="00E11754" w:rsidRDefault="13A8E3F4" w:rsidP="004265B2">
      <w:pPr>
        <w:pStyle w:val="Akapitzlist"/>
        <w:numPr>
          <w:ilvl w:val="0"/>
          <w:numId w:val="2"/>
        </w:numPr>
        <w:spacing w:line="360" w:lineRule="auto"/>
        <w:jc w:val="both"/>
        <w:rPr>
          <w:rFonts w:ascii="Times New Roman" w:eastAsia="Times New Roman" w:hAnsi="Times New Roman" w:cs="Times New Roman"/>
          <w:sz w:val="24"/>
          <w:szCs w:val="24"/>
          <w:lang w:eastAsia="pl-PL"/>
        </w:rPr>
      </w:pPr>
      <w:r w:rsidRPr="00E11754">
        <w:rPr>
          <w:rFonts w:ascii="Times New Roman" w:eastAsia="Times New Roman" w:hAnsi="Times New Roman" w:cs="Times New Roman"/>
          <w:sz w:val="24"/>
          <w:szCs w:val="24"/>
          <w:lang w:eastAsia="pl-PL"/>
        </w:rPr>
        <w:t xml:space="preserve">niedostosowania wielkości </w:t>
      </w:r>
      <w:proofErr w:type="spellStart"/>
      <w:r w:rsidRPr="00E11754">
        <w:rPr>
          <w:rFonts w:ascii="Times New Roman" w:eastAsia="Times New Roman" w:hAnsi="Times New Roman" w:cs="Times New Roman"/>
          <w:sz w:val="24"/>
          <w:szCs w:val="24"/>
          <w:lang w:eastAsia="pl-PL"/>
        </w:rPr>
        <w:t>nastrzyku</w:t>
      </w:r>
      <w:proofErr w:type="spellEnd"/>
      <w:r w:rsidRPr="00E11754">
        <w:rPr>
          <w:rFonts w:ascii="Times New Roman" w:eastAsia="Times New Roman" w:hAnsi="Times New Roman" w:cs="Times New Roman"/>
          <w:sz w:val="24"/>
          <w:szCs w:val="24"/>
          <w:lang w:eastAsia="pl-PL"/>
        </w:rPr>
        <w:t xml:space="preserve"> próbki na układ </w:t>
      </w:r>
      <w:r w:rsidR="18D94345" w:rsidRPr="00E11754">
        <w:rPr>
          <w:rFonts w:ascii="Times New Roman" w:eastAsia="Times New Roman" w:hAnsi="Times New Roman" w:cs="Times New Roman"/>
          <w:sz w:val="24"/>
          <w:szCs w:val="24"/>
          <w:lang w:eastAsia="pl-PL"/>
        </w:rPr>
        <w:t>LC</w:t>
      </w:r>
      <w:r w:rsidRPr="00E11754">
        <w:rPr>
          <w:rFonts w:ascii="Times New Roman" w:eastAsia="Times New Roman" w:hAnsi="Times New Roman" w:cs="Times New Roman"/>
          <w:sz w:val="24"/>
          <w:szCs w:val="24"/>
          <w:lang w:eastAsia="pl-PL"/>
        </w:rPr>
        <w:t xml:space="preserve"> (im mniejsza objętość wprowadzanej próbki tym niższa zdolność metody do wykrywania i oznaczania </w:t>
      </w:r>
      <w:proofErr w:type="spellStart"/>
      <w:r w:rsidRPr="00E11754">
        <w:rPr>
          <w:rFonts w:ascii="Times New Roman" w:eastAsia="Times New Roman" w:hAnsi="Times New Roman" w:cs="Times New Roman"/>
          <w:sz w:val="24"/>
          <w:szCs w:val="24"/>
          <w:lang w:eastAsia="pl-PL"/>
        </w:rPr>
        <w:t>analitów</w:t>
      </w:r>
      <w:proofErr w:type="spellEnd"/>
      <w:r w:rsidRPr="00E11754">
        <w:rPr>
          <w:rFonts w:ascii="Times New Roman" w:eastAsia="Times New Roman" w:hAnsi="Times New Roman" w:cs="Times New Roman"/>
          <w:sz w:val="24"/>
          <w:szCs w:val="24"/>
          <w:lang w:eastAsia="pl-PL"/>
        </w:rPr>
        <w:t xml:space="preserve"> na niskich poziomach stężeń; jednakże zbyt duża objętość </w:t>
      </w:r>
      <w:proofErr w:type="spellStart"/>
      <w:r w:rsidRPr="00E11754">
        <w:rPr>
          <w:rFonts w:ascii="Times New Roman" w:eastAsia="Times New Roman" w:hAnsi="Times New Roman" w:cs="Times New Roman"/>
          <w:sz w:val="24"/>
          <w:szCs w:val="24"/>
          <w:lang w:eastAsia="pl-PL"/>
        </w:rPr>
        <w:t>nastrzyku</w:t>
      </w:r>
      <w:proofErr w:type="spellEnd"/>
      <w:r w:rsidRPr="00E11754">
        <w:rPr>
          <w:rFonts w:ascii="Times New Roman" w:eastAsia="Times New Roman" w:hAnsi="Times New Roman" w:cs="Times New Roman"/>
          <w:sz w:val="24"/>
          <w:szCs w:val="24"/>
          <w:lang w:eastAsia="pl-PL"/>
        </w:rPr>
        <w:t xml:space="preserve"> skutkuje </w:t>
      </w:r>
      <w:r w:rsidRPr="00E11754">
        <w:rPr>
          <w:rFonts w:ascii="Times New Roman" w:eastAsia="Times New Roman" w:hAnsi="Times New Roman" w:cs="Times New Roman"/>
          <w:sz w:val="24"/>
          <w:szCs w:val="24"/>
          <w:lang w:eastAsia="pl-PL"/>
        </w:rPr>
        <w:lastRenderedPageBreak/>
        <w:t>“przeładowanie kolumny” i pogorszeniem jakości rozdzielenia chromatograficznego),</w:t>
      </w:r>
    </w:p>
    <w:p w14:paraId="15E294D9" w14:textId="40D3ADD3" w:rsidR="00924FA8" w:rsidRPr="00E11754" w:rsidRDefault="13A8E3F4" w:rsidP="004265B2">
      <w:pPr>
        <w:pStyle w:val="Akapitzlist"/>
        <w:numPr>
          <w:ilvl w:val="0"/>
          <w:numId w:val="2"/>
        </w:numPr>
        <w:spacing w:line="360" w:lineRule="auto"/>
        <w:jc w:val="both"/>
        <w:rPr>
          <w:rFonts w:ascii="Times New Roman" w:eastAsia="Times New Roman" w:hAnsi="Times New Roman" w:cs="Times New Roman"/>
          <w:sz w:val="24"/>
          <w:szCs w:val="24"/>
          <w:lang w:eastAsia="pl-PL"/>
        </w:rPr>
      </w:pPr>
      <w:r w:rsidRPr="00E11754">
        <w:rPr>
          <w:rFonts w:ascii="Times New Roman" w:eastAsia="Times New Roman" w:hAnsi="Times New Roman" w:cs="Times New Roman"/>
          <w:sz w:val="24"/>
          <w:szCs w:val="24"/>
          <w:lang w:eastAsia="pl-PL"/>
        </w:rPr>
        <w:t xml:space="preserve">nieodpowiedniej temperatury kolumny chromatograficznej bądź szybkości przepływu fazy ruchomej (zbyt niska może prowadzić do “rozmycia pików” a zbyt wysoka do nakładania się sygnałów). </w:t>
      </w:r>
    </w:p>
    <w:p w14:paraId="383BA68F" w14:textId="0837237B" w:rsidR="00924FA8" w:rsidRPr="00E11754" w:rsidRDefault="3998842B" w:rsidP="004265B2">
      <w:pPr>
        <w:pStyle w:val="Akapitzlist"/>
        <w:numPr>
          <w:ilvl w:val="0"/>
          <w:numId w:val="2"/>
        </w:numPr>
        <w:spacing w:line="360" w:lineRule="auto"/>
        <w:jc w:val="both"/>
        <w:rPr>
          <w:rFonts w:ascii="Times New Roman" w:eastAsia="Times New Roman" w:hAnsi="Times New Roman" w:cs="Times New Roman"/>
          <w:sz w:val="24"/>
          <w:szCs w:val="24"/>
          <w:lang w:eastAsia="pl-PL"/>
        </w:rPr>
      </w:pPr>
      <w:r w:rsidRPr="3998842B">
        <w:rPr>
          <w:rFonts w:ascii="Times New Roman" w:eastAsia="Times New Roman" w:hAnsi="Times New Roman" w:cs="Times New Roman"/>
          <w:sz w:val="24"/>
          <w:szCs w:val="24"/>
          <w:lang w:eastAsia="pl-PL"/>
        </w:rPr>
        <w:t xml:space="preserve">niewłaściwego doboru rodzaju i warunków pracy detektora do pomiaru zjawiska fizykochemicznego, na którym oparta jest analiza jakościowa i ilościowa związków w próbie. </w:t>
      </w:r>
    </w:p>
    <w:p w14:paraId="6FBB8AFC" w14:textId="01C9834A" w:rsidR="00924FA8" w:rsidRPr="00E11754" w:rsidRDefault="68E6CAD3" w:rsidP="1AFCF0D3">
      <w:pPr>
        <w:spacing w:line="360" w:lineRule="auto"/>
        <w:ind w:firstLine="708"/>
        <w:jc w:val="both"/>
        <w:rPr>
          <w:rFonts w:ascii="Times New Roman" w:eastAsia="Times New Roman" w:hAnsi="Times New Roman" w:cs="Times New Roman"/>
          <w:sz w:val="24"/>
          <w:szCs w:val="24"/>
          <w:lang w:eastAsia="pl-PL"/>
        </w:rPr>
      </w:pPr>
      <w:r w:rsidRPr="00E11754">
        <w:rPr>
          <w:rFonts w:ascii="Times New Roman" w:eastAsia="Times New Roman" w:hAnsi="Times New Roman" w:cs="Times New Roman"/>
          <w:sz w:val="24"/>
          <w:szCs w:val="24"/>
          <w:lang w:eastAsia="pl-PL"/>
        </w:rPr>
        <w:t xml:space="preserve">Aktualnie, dostępny jest szeroki wachlarz różnorodnych detektorów, z których szczególnie popularne w analizie substancji leczniczych, w tym także leków cytostatycznych, są detektory spektrofotometryczne w zakresie światła ultrafioletowego i widzialnego (ang. </w:t>
      </w:r>
      <w:r w:rsidRPr="00E11754">
        <w:rPr>
          <w:rFonts w:ascii="Times New Roman" w:eastAsia="Times New Roman" w:hAnsi="Times New Roman" w:cs="Times New Roman"/>
          <w:i/>
          <w:iCs/>
          <w:sz w:val="24"/>
          <w:szCs w:val="24"/>
          <w:lang w:val="en-GB" w:eastAsia="pl-PL"/>
        </w:rPr>
        <w:t>Ultraviolet-Visible Detector</w:t>
      </w:r>
      <w:r w:rsidRPr="00E11754">
        <w:rPr>
          <w:rFonts w:ascii="Times New Roman" w:eastAsia="Times New Roman" w:hAnsi="Times New Roman" w:cs="Times New Roman"/>
          <w:sz w:val="24"/>
          <w:szCs w:val="24"/>
          <w:lang w:val="en-GB" w:eastAsia="pl-PL"/>
        </w:rPr>
        <w:t xml:space="preserve">, UV-VIS) </w:t>
      </w:r>
      <w:proofErr w:type="spellStart"/>
      <w:r w:rsidRPr="00E11754">
        <w:rPr>
          <w:rFonts w:ascii="Times New Roman" w:eastAsia="Times New Roman" w:hAnsi="Times New Roman" w:cs="Times New Roman"/>
          <w:sz w:val="24"/>
          <w:szCs w:val="24"/>
          <w:lang w:val="en-GB" w:eastAsia="pl-PL"/>
        </w:rPr>
        <w:t>oraz</w:t>
      </w:r>
      <w:proofErr w:type="spellEnd"/>
      <w:r w:rsidRPr="00E11754">
        <w:rPr>
          <w:rFonts w:ascii="Times New Roman" w:eastAsia="Times New Roman" w:hAnsi="Times New Roman" w:cs="Times New Roman"/>
          <w:sz w:val="24"/>
          <w:szCs w:val="24"/>
          <w:lang w:val="en-GB" w:eastAsia="pl-PL"/>
        </w:rPr>
        <w:t xml:space="preserve"> </w:t>
      </w:r>
      <w:proofErr w:type="spellStart"/>
      <w:r w:rsidRPr="00E11754">
        <w:rPr>
          <w:rFonts w:ascii="Times New Roman" w:eastAsia="Times New Roman" w:hAnsi="Times New Roman" w:cs="Times New Roman"/>
          <w:sz w:val="24"/>
          <w:szCs w:val="24"/>
          <w:lang w:val="en-GB" w:eastAsia="pl-PL"/>
        </w:rPr>
        <w:t>bardziej</w:t>
      </w:r>
      <w:proofErr w:type="spellEnd"/>
      <w:r w:rsidRPr="00E11754">
        <w:rPr>
          <w:rFonts w:ascii="Times New Roman" w:eastAsia="Times New Roman" w:hAnsi="Times New Roman" w:cs="Times New Roman"/>
          <w:sz w:val="24"/>
          <w:szCs w:val="24"/>
          <w:lang w:val="en-GB" w:eastAsia="pl-PL"/>
        </w:rPr>
        <w:t xml:space="preserve"> </w:t>
      </w:r>
      <w:proofErr w:type="spellStart"/>
      <w:r w:rsidRPr="00E11754">
        <w:rPr>
          <w:rFonts w:ascii="Times New Roman" w:eastAsia="Times New Roman" w:hAnsi="Times New Roman" w:cs="Times New Roman"/>
          <w:sz w:val="24"/>
          <w:szCs w:val="24"/>
          <w:lang w:val="en-GB" w:eastAsia="pl-PL"/>
        </w:rPr>
        <w:t>selektywne</w:t>
      </w:r>
      <w:proofErr w:type="spellEnd"/>
      <w:r w:rsidRPr="00E11754">
        <w:rPr>
          <w:rFonts w:ascii="Times New Roman" w:eastAsia="Times New Roman" w:hAnsi="Times New Roman" w:cs="Times New Roman"/>
          <w:sz w:val="24"/>
          <w:szCs w:val="24"/>
          <w:lang w:val="en-GB" w:eastAsia="pl-PL"/>
        </w:rPr>
        <w:t xml:space="preserve"> </w:t>
      </w:r>
      <w:proofErr w:type="spellStart"/>
      <w:r w:rsidRPr="00E11754">
        <w:rPr>
          <w:rFonts w:ascii="Times New Roman" w:eastAsia="Times New Roman" w:hAnsi="Times New Roman" w:cs="Times New Roman"/>
          <w:sz w:val="24"/>
          <w:szCs w:val="24"/>
          <w:lang w:val="en-GB" w:eastAsia="pl-PL"/>
        </w:rPr>
        <w:t>detektory</w:t>
      </w:r>
      <w:proofErr w:type="spellEnd"/>
      <w:r w:rsidRPr="00E11754">
        <w:rPr>
          <w:rFonts w:ascii="Times New Roman" w:eastAsia="Times New Roman" w:hAnsi="Times New Roman" w:cs="Times New Roman"/>
          <w:sz w:val="24"/>
          <w:szCs w:val="24"/>
          <w:lang w:val="en-GB" w:eastAsia="pl-PL"/>
        </w:rPr>
        <w:t xml:space="preserve"> </w:t>
      </w:r>
      <w:proofErr w:type="spellStart"/>
      <w:r w:rsidRPr="00E11754">
        <w:rPr>
          <w:rFonts w:ascii="Times New Roman" w:eastAsia="Times New Roman" w:hAnsi="Times New Roman" w:cs="Times New Roman"/>
          <w:sz w:val="24"/>
          <w:szCs w:val="24"/>
          <w:lang w:val="en-GB" w:eastAsia="pl-PL"/>
        </w:rPr>
        <w:t>fluorescencyjne</w:t>
      </w:r>
      <w:proofErr w:type="spellEnd"/>
      <w:r w:rsidRPr="00E11754">
        <w:rPr>
          <w:rFonts w:ascii="Times New Roman" w:eastAsia="Times New Roman" w:hAnsi="Times New Roman" w:cs="Times New Roman"/>
          <w:sz w:val="24"/>
          <w:szCs w:val="24"/>
          <w:lang w:val="en-GB" w:eastAsia="pl-PL"/>
        </w:rPr>
        <w:t xml:space="preserve"> (ang.</w:t>
      </w:r>
      <w:r w:rsidR="1AFCF0D3" w:rsidRPr="1AFCF0D3">
        <w:rPr>
          <w:rFonts w:ascii="Times New Roman" w:eastAsia="Times New Roman" w:hAnsi="Times New Roman" w:cs="Times New Roman"/>
          <w:sz w:val="24"/>
          <w:szCs w:val="24"/>
          <w:lang w:val="en-GB" w:eastAsia="pl-PL"/>
        </w:rPr>
        <w:t xml:space="preserve"> </w:t>
      </w:r>
      <w:r w:rsidRPr="00E11754">
        <w:rPr>
          <w:rFonts w:ascii="Times New Roman" w:eastAsia="Times New Roman" w:hAnsi="Times New Roman" w:cs="Times New Roman"/>
          <w:i/>
          <w:iCs/>
          <w:sz w:val="24"/>
          <w:szCs w:val="24"/>
          <w:lang w:val="en-GB" w:eastAsia="pl-PL"/>
        </w:rPr>
        <w:t>Fluorescence</w:t>
      </w:r>
      <w:r w:rsidRPr="00E11754">
        <w:rPr>
          <w:rFonts w:ascii="Times New Roman" w:eastAsia="Times New Roman" w:hAnsi="Times New Roman" w:cs="Times New Roman"/>
          <w:sz w:val="24"/>
          <w:szCs w:val="24"/>
          <w:lang w:val="en-GB" w:eastAsia="pl-PL"/>
        </w:rPr>
        <w:t xml:space="preserve"> </w:t>
      </w:r>
      <w:r w:rsidRPr="00E11754">
        <w:rPr>
          <w:rFonts w:ascii="Times New Roman" w:eastAsia="Times New Roman" w:hAnsi="Times New Roman" w:cs="Times New Roman"/>
          <w:i/>
          <w:iCs/>
          <w:sz w:val="24"/>
          <w:szCs w:val="24"/>
          <w:lang w:val="en-GB" w:eastAsia="pl-PL"/>
        </w:rPr>
        <w:t>Detector</w:t>
      </w:r>
      <w:r w:rsidRPr="00E11754">
        <w:rPr>
          <w:rFonts w:ascii="Times New Roman" w:eastAsia="Times New Roman" w:hAnsi="Times New Roman" w:cs="Times New Roman"/>
          <w:sz w:val="24"/>
          <w:szCs w:val="24"/>
          <w:lang w:val="en-GB" w:eastAsia="pl-PL"/>
        </w:rPr>
        <w:t xml:space="preserve">, FL). </w:t>
      </w:r>
      <w:r w:rsidRPr="00E11754">
        <w:rPr>
          <w:rFonts w:ascii="Times New Roman" w:eastAsia="Times New Roman" w:hAnsi="Times New Roman" w:cs="Times New Roman"/>
          <w:sz w:val="24"/>
          <w:szCs w:val="24"/>
          <w:lang w:eastAsia="pl-PL"/>
        </w:rPr>
        <w:t xml:space="preserve">Detektory FL w wielu przypadkach pozwalają także wykrywać </w:t>
      </w:r>
      <w:proofErr w:type="spellStart"/>
      <w:r w:rsidRPr="00E11754">
        <w:rPr>
          <w:rFonts w:ascii="Times New Roman" w:eastAsia="Times New Roman" w:hAnsi="Times New Roman" w:cs="Times New Roman"/>
          <w:sz w:val="24"/>
          <w:szCs w:val="24"/>
          <w:lang w:eastAsia="pl-PL"/>
        </w:rPr>
        <w:t>anality</w:t>
      </w:r>
      <w:proofErr w:type="spellEnd"/>
      <w:r w:rsidRPr="00E11754">
        <w:rPr>
          <w:rFonts w:ascii="Times New Roman" w:eastAsia="Times New Roman" w:hAnsi="Times New Roman" w:cs="Times New Roman"/>
          <w:sz w:val="24"/>
          <w:szCs w:val="24"/>
          <w:lang w:eastAsia="pl-PL"/>
        </w:rPr>
        <w:t xml:space="preserve"> w stężeniach nawet 100-krotnie niższych niż UV-VIS. W ostatnim dziesięcioleciu, z uwagi na istotnie wyższą selektywność oraz czułość oznaczeń, coraz większe znaczenie zyskuje chromatografia cieczowa w połączeniu ze spektrometrią mas (ang. </w:t>
      </w:r>
      <w:r w:rsidRPr="00E11754">
        <w:rPr>
          <w:rFonts w:ascii="Times New Roman" w:eastAsia="Times New Roman" w:hAnsi="Times New Roman" w:cs="Times New Roman"/>
          <w:i/>
          <w:iCs/>
          <w:sz w:val="24"/>
          <w:szCs w:val="24"/>
          <w:lang w:val="en-GB" w:eastAsia="pl-PL"/>
        </w:rPr>
        <w:t>Liquid Chromatography with Mass Spectrometry</w:t>
      </w:r>
      <w:r w:rsidRPr="00E11754">
        <w:rPr>
          <w:rFonts w:ascii="Times New Roman" w:eastAsia="Times New Roman" w:hAnsi="Times New Roman" w:cs="Times New Roman"/>
          <w:sz w:val="24"/>
          <w:szCs w:val="24"/>
          <w:lang w:val="en-GB" w:eastAsia="pl-PL"/>
        </w:rPr>
        <w:t xml:space="preserve">, LC-MS) </w:t>
      </w:r>
      <w:proofErr w:type="spellStart"/>
      <w:r w:rsidRPr="00E11754">
        <w:rPr>
          <w:rFonts w:ascii="Times New Roman" w:eastAsia="Times New Roman" w:hAnsi="Times New Roman" w:cs="Times New Roman"/>
          <w:sz w:val="24"/>
          <w:szCs w:val="24"/>
          <w:lang w:val="en-GB" w:eastAsia="pl-PL"/>
        </w:rPr>
        <w:t>oraz</w:t>
      </w:r>
      <w:proofErr w:type="spellEnd"/>
      <w:r w:rsidRPr="00E11754">
        <w:rPr>
          <w:rFonts w:ascii="Times New Roman" w:eastAsia="Times New Roman" w:hAnsi="Times New Roman" w:cs="Times New Roman"/>
          <w:sz w:val="24"/>
          <w:szCs w:val="24"/>
          <w:lang w:val="en-GB" w:eastAsia="pl-PL"/>
        </w:rPr>
        <w:t xml:space="preserve"> LC w </w:t>
      </w:r>
      <w:proofErr w:type="spellStart"/>
      <w:r w:rsidRPr="00E11754">
        <w:rPr>
          <w:rFonts w:ascii="Times New Roman" w:eastAsia="Times New Roman" w:hAnsi="Times New Roman" w:cs="Times New Roman"/>
          <w:sz w:val="24"/>
          <w:szCs w:val="24"/>
          <w:lang w:val="en-GB" w:eastAsia="pl-PL"/>
        </w:rPr>
        <w:t>połączeniu</w:t>
      </w:r>
      <w:proofErr w:type="spellEnd"/>
      <w:r w:rsidRPr="00E11754">
        <w:rPr>
          <w:rFonts w:ascii="Times New Roman" w:eastAsia="Times New Roman" w:hAnsi="Times New Roman" w:cs="Times New Roman"/>
          <w:sz w:val="24"/>
          <w:szCs w:val="24"/>
          <w:lang w:val="en-GB" w:eastAsia="pl-PL"/>
        </w:rPr>
        <w:t xml:space="preserve"> z </w:t>
      </w:r>
      <w:proofErr w:type="spellStart"/>
      <w:r w:rsidRPr="00E11754">
        <w:rPr>
          <w:rFonts w:ascii="Times New Roman" w:eastAsia="Times New Roman" w:hAnsi="Times New Roman" w:cs="Times New Roman"/>
          <w:sz w:val="24"/>
          <w:szCs w:val="24"/>
          <w:lang w:val="en-GB" w:eastAsia="pl-PL"/>
        </w:rPr>
        <w:t>tandemową</w:t>
      </w:r>
      <w:proofErr w:type="spellEnd"/>
      <w:r w:rsidRPr="00E11754">
        <w:rPr>
          <w:rFonts w:ascii="Times New Roman" w:eastAsia="Times New Roman" w:hAnsi="Times New Roman" w:cs="Times New Roman"/>
          <w:sz w:val="24"/>
          <w:szCs w:val="24"/>
          <w:lang w:val="en-GB" w:eastAsia="pl-PL"/>
        </w:rPr>
        <w:t xml:space="preserve"> </w:t>
      </w:r>
      <w:proofErr w:type="spellStart"/>
      <w:r w:rsidRPr="00E11754">
        <w:rPr>
          <w:rFonts w:ascii="Times New Roman" w:eastAsia="Times New Roman" w:hAnsi="Times New Roman" w:cs="Times New Roman"/>
          <w:sz w:val="24"/>
          <w:szCs w:val="24"/>
          <w:lang w:val="en-GB" w:eastAsia="pl-PL"/>
        </w:rPr>
        <w:t>spektrometrią</w:t>
      </w:r>
      <w:proofErr w:type="spellEnd"/>
      <w:r w:rsidRPr="00E11754">
        <w:rPr>
          <w:rFonts w:ascii="Times New Roman" w:eastAsia="Times New Roman" w:hAnsi="Times New Roman" w:cs="Times New Roman"/>
          <w:sz w:val="24"/>
          <w:szCs w:val="24"/>
          <w:lang w:val="en-GB" w:eastAsia="pl-PL"/>
        </w:rPr>
        <w:t xml:space="preserve"> mas (ang. </w:t>
      </w:r>
      <w:r w:rsidRPr="00E11754">
        <w:rPr>
          <w:rFonts w:ascii="Times New Roman" w:eastAsia="Times New Roman" w:hAnsi="Times New Roman" w:cs="Times New Roman"/>
          <w:i/>
          <w:iCs/>
          <w:sz w:val="24"/>
          <w:szCs w:val="24"/>
          <w:lang w:val="en-GB" w:eastAsia="pl-PL"/>
        </w:rPr>
        <w:t>Liquid Chromatography with Tandem Mass Spectrometry</w:t>
      </w:r>
      <w:r w:rsidRPr="00E11754">
        <w:rPr>
          <w:rFonts w:ascii="Times New Roman" w:eastAsia="Times New Roman" w:hAnsi="Times New Roman" w:cs="Times New Roman"/>
          <w:sz w:val="24"/>
          <w:szCs w:val="24"/>
          <w:lang w:val="en-GB" w:eastAsia="pl-PL"/>
        </w:rPr>
        <w:t xml:space="preserve">, LC-MS/MS). </w:t>
      </w:r>
      <w:r w:rsidRPr="00E11754">
        <w:rPr>
          <w:rFonts w:ascii="Times New Roman" w:eastAsia="Times New Roman" w:hAnsi="Times New Roman" w:cs="Times New Roman"/>
          <w:sz w:val="24"/>
          <w:szCs w:val="24"/>
          <w:lang w:eastAsia="pl-PL"/>
        </w:rPr>
        <w:t xml:space="preserve">Obie te techniki bazują na identyfikacji związków na podstawie widma mas, które są cechą charakterystyczną każdego związku, a analiza ilościowa opiera się na monitorowaniu jonu/ów o określonym stosunku masy do ładunku (m/z).  Istnieje wiele rozwiązań analitycznych dotyczących technik LC-MS bądź LC-MS/MS, w tym z użyciem jonizacji </w:t>
      </w:r>
      <w:r w:rsidR="1AFCF0D3" w:rsidRPr="1AFCF0D3">
        <w:rPr>
          <w:rFonts w:ascii="Times New Roman" w:eastAsia="Times New Roman" w:hAnsi="Times New Roman" w:cs="Times New Roman"/>
          <w:sz w:val="24"/>
          <w:szCs w:val="24"/>
          <w:lang w:eastAsia="pl-PL"/>
        </w:rPr>
        <w:t xml:space="preserve">poprzez </w:t>
      </w:r>
      <w:proofErr w:type="spellStart"/>
      <w:r w:rsidR="1AFCF0D3" w:rsidRPr="1AFCF0D3">
        <w:rPr>
          <w:rFonts w:ascii="Times New Roman" w:eastAsia="Times New Roman" w:hAnsi="Times New Roman" w:cs="Times New Roman"/>
          <w:sz w:val="24"/>
          <w:szCs w:val="24"/>
          <w:lang w:eastAsia="pl-PL"/>
        </w:rPr>
        <w:t>elektrorozpraszanie</w:t>
      </w:r>
      <w:proofErr w:type="spellEnd"/>
      <w:r w:rsidR="1AFCF0D3" w:rsidRPr="1AFCF0D3">
        <w:rPr>
          <w:rFonts w:ascii="Times New Roman" w:eastAsia="Times New Roman" w:hAnsi="Times New Roman" w:cs="Times New Roman"/>
          <w:sz w:val="24"/>
          <w:szCs w:val="24"/>
          <w:lang w:eastAsia="pl-PL"/>
        </w:rPr>
        <w:t xml:space="preserve">  (ang. </w:t>
      </w:r>
      <w:proofErr w:type="spellStart"/>
      <w:r w:rsidRPr="00E11754">
        <w:rPr>
          <w:rFonts w:ascii="Times New Roman" w:eastAsia="Times New Roman" w:hAnsi="Times New Roman" w:cs="Times New Roman"/>
          <w:i/>
          <w:iCs/>
          <w:sz w:val="24"/>
          <w:szCs w:val="24"/>
          <w:lang w:eastAsia="pl-PL"/>
        </w:rPr>
        <w:t>Electrospray</w:t>
      </w:r>
      <w:proofErr w:type="spellEnd"/>
      <w:r w:rsidRPr="00E11754">
        <w:rPr>
          <w:rFonts w:ascii="Times New Roman" w:eastAsia="Times New Roman" w:hAnsi="Times New Roman" w:cs="Times New Roman"/>
          <w:i/>
          <w:iCs/>
          <w:sz w:val="24"/>
          <w:szCs w:val="24"/>
          <w:lang w:eastAsia="pl-PL"/>
        </w:rPr>
        <w:t xml:space="preserve"> </w:t>
      </w:r>
      <w:proofErr w:type="spellStart"/>
      <w:r w:rsidRPr="00E11754">
        <w:rPr>
          <w:rFonts w:ascii="Times New Roman" w:eastAsia="Times New Roman" w:hAnsi="Times New Roman" w:cs="Times New Roman"/>
          <w:i/>
          <w:iCs/>
          <w:sz w:val="24"/>
          <w:szCs w:val="24"/>
          <w:lang w:eastAsia="pl-PL"/>
        </w:rPr>
        <w:t>Ionisation</w:t>
      </w:r>
      <w:proofErr w:type="spellEnd"/>
      <w:r w:rsidRPr="00E11754">
        <w:rPr>
          <w:rFonts w:ascii="Times New Roman" w:eastAsia="Times New Roman" w:hAnsi="Times New Roman" w:cs="Times New Roman"/>
          <w:sz w:val="24"/>
          <w:szCs w:val="24"/>
          <w:lang w:eastAsia="pl-PL"/>
        </w:rPr>
        <w:t>, ESI</w:t>
      </w:r>
      <w:r w:rsidR="1AFCF0D3" w:rsidRPr="1AFCF0D3">
        <w:rPr>
          <w:rFonts w:ascii="Times New Roman" w:eastAsia="Times New Roman" w:hAnsi="Times New Roman" w:cs="Times New Roman"/>
          <w:sz w:val="24"/>
          <w:szCs w:val="24"/>
          <w:lang w:eastAsia="pl-PL"/>
        </w:rPr>
        <w:t>), które jest w</w:t>
      </w:r>
      <w:r w:rsidRPr="00E11754">
        <w:rPr>
          <w:rFonts w:ascii="Times New Roman" w:eastAsia="Times New Roman" w:hAnsi="Times New Roman" w:cs="Times New Roman"/>
          <w:sz w:val="24"/>
          <w:szCs w:val="24"/>
          <w:lang w:eastAsia="pl-PL"/>
        </w:rPr>
        <w:t xml:space="preserve"> połączeniu z analizatorem typu potrójnego kwadrupola. </w:t>
      </w:r>
    </w:p>
    <w:p w14:paraId="0C499FD7" w14:textId="45442EB8" w:rsidR="00924FA8" w:rsidRPr="00E11754" w:rsidRDefault="13A8E3F4" w:rsidP="004265B2">
      <w:pPr>
        <w:spacing w:line="360" w:lineRule="auto"/>
        <w:ind w:firstLine="708"/>
        <w:jc w:val="both"/>
        <w:rPr>
          <w:rFonts w:ascii="Times New Roman" w:eastAsia="Times New Roman" w:hAnsi="Times New Roman" w:cs="Times New Roman"/>
          <w:sz w:val="24"/>
          <w:szCs w:val="24"/>
          <w:bdr w:val="none" w:sz="0" w:space="0" w:color="auto" w:frame="1"/>
          <w:lang w:eastAsia="pl-PL"/>
        </w:rPr>
      </w:pPr>
      <w:r w:rsidRPr="00E11754">
        <w:rPr>
          <w:rFonts w:ascii="Times New Roman" w:eastAsia="Times New Roman" w:hAnsi="Times New Roman" w:cs="Times New Roman"/>
          <w:sz w:val="24"/>
          <w:szCs w:val="24"/>
          <w:lang w:eastAsia="pl-PL"/>
        </w:rPr>
        <w:t xml:space="preserve">Należy jednak podkreślić, iż niezbędnym krokiem przez analizą LC jest </w:t>
      </w:r>
      <w:r w:rsidR="00924FA8" w:rsidRPr="00E11754">
        <w:rPr>
          <w:rFonts w:ascii="Times New Roman" w:eastAsia="Times New Roman" w:hAnsi="Times New Roman" w:cs="Times New Roman"/>
          <w:sz w:val="24"/>
          <w:szCs w:val="24"/>
          <w:bdr w:val="none" w:sz="0" w:space="0" w:color="auto" w:frame="1"/>
          <w:lang w:eastAsia="pl-PL"/>
        </w:rPr>
        <w:t xml:space="preserve">optymalizacja procedury ekstrakcji, </w:t>
      </w:r>
      <w:r w:rsidR="2BA7FFDF" w:rsidRPr="00E11754">
        <w:rPr>
          <w:rFonts w:ascii="Times New Roman" w:eastAsia="Times New Roman" w:hAnsi="Times New Roman" w:cs="Times New Roman"/>
          <w:sz w:val="24"/>
          <w:szCs w:val="24"/>
          <w:lang w:eastAsia="pl-PL"/>
        </w:rPr>
        <w:t xml:space="preserve">która umożliwia efektywne izolowanie </w:t>
      </w:r>
      <w:proofErr w:type="spellStart"/>
      <w:r w:rsidR="2BA7FFDF" w:rsidRPr="00E11754">
        <w:rPr>
          <w:rFonts w:ascii="Times New Roman" w:eastAsia="Times New Roman" w:hAnsi="Times New Roman" w:cs="Times New Roman"/>
          <w:sz w:val="24"/>
          <w:szCs w:val="24"/>
          <w:lang w:eastAsia="pl-PL"/>
        </w:rPr>
        <w:t>analitu</w:t>
      </w:r>
      <w:proofErr w:type="spellEnd"/>
      <w:r w:rsidR="2BA7FFDF" w:rsidRPr="00E11754">
        <w:rPr>
          <w:rFonts w:ascii="Times New Roman" w:eastAsia="Times New Roman" w:hAnsi="Times New Roman" w:cs="Times New Roman"/>
          <w:sz w:val="24"/>
          <w:szCs w:val="24"/>
          <w:lang w:eastAsia="pl-PL"/>
        </w:rPr>
        <w:t xml:space="preserve">/ów z matrycy próbki. Jest to szczególnie istotne wówczas, gdy </w:t>
      </w:r>
      <w:proofErr w:type="spellStart"/>
      <w:r w:rsidR="2BA7FFDF" w:rsidRPr="00E11754">
        <w:rPr>
          <w:rFonts w:ascii="Times New Roman" w:eastAsia="Times New Roman" w:hAnsi="Times New Roman" w:cs="Times New Roman"/>
          <w:sz w:val="24"/>
          <w:szCs w:val="24"/>
          <w:lang w:eastAsia="pl-PL"/>
        </w:rPr>
        <w:t>anality</w:t>
      </w:r>
      <w:proofErr w:type="spellEnd"/>
      <w:r w:rsidR="2BA7FFDF" w:rsidRPr="00E11754">
        <w:rPr>
          <w:rFonts w:ascii="Times New Roman" w:eastAsia="Times New Roman" w:hAnsi="Times New Roman" w:cs="Times New Roman"/>
          <w:sz w:val="24"/>
          <w:szCs w:val="24"/>
          <w:lang w:eastAsia="pl-PL"/>
        </w:rPr>
        <w:t xml:space="preserve"> występują na bardzo niskich poziomach stężeń w obecności innych, dominujących ilościowo matrycowych składników próbki. W przypadku, gdy związki te posiadają podobny charakter fizykochemiczny co analizowane substancje, to mogą z nimi interferować. Tym samym, mogą wystąpić trudności analityczne w wykazaniu selektywności metody.  Rozwiązaniem jest wówczas wspomniane powyżej zastosowanie bardziej selektywnego detektora (FL bądź MS, MS/MS) bądź odpowiednie </w:t>
      </w:r>
      <w:r w:rsidR="2BA7FFDF" w:rsidRPr="00E11754">
        <w:rPr>
          <w:rFonts w:ascii="Times New Roman" w:eastAsia="Times New Roman" w:hAnsi="Times New Roman" w:cs="Times New Roman"/>
          <w:sz w:val="24"/>
          <w:szCs w:val="24"/>
          <w:lang w:eastAsia="pl-PL"/>
        </w:rPr>
        <w:lastRenderedPageBreak/>
        <w:t>przygotowanie prób do analizy chromatograficznej. Wśród szeregu metod, które możemy zastosować</w:t>
      </w:r>
      <w:r w:rsidRPr="00E11754">
        <w:rPr>
          <w:rFonts w:ascii="Times New Roman" w:eastAsia="Times New Roman" w:hAnsi="Times New Roman" w:cs="Times New Roman"/>
          <w:sz w:val="24"/>
          <w:szCs w:val="24"/>
          <w:lang w:eastAsia="pl-PL"/>
        </w:rPr>
        <w:t xml:space="preserve"> podczas przygotowania </w:t>
      </w:r>
      <w:r w:rsidR="2BA7FFDF" w:rsidRPr="00E11754">
        <w:rPr>
          <w:rFonts w:ascii="Times New Roman" w:eastAsia="Times New Roman" w:hAnsi="Times New Roman" w:cs="Times New Roman"/>
          <w:sz w:val="24"/>
          <w:szCs w:val="24"/>
          <w:lang w:eastAsia="pl-PL"/>
        </w:rPr>
        <w:t xml:space="preserve">prób </w:t>
      </w:r>
      <w:r w:rsidR="00924FA8" w:rsidRPr="00E11754">
        <w:rPr>
          <w:rFonts w:ascii="Times New Roman" w:eastAsia="Times New Roman" w:hAnsi="Times New Roman" w:cs="Times New Roman"/>
          <w:sz w:val="24"/>
          <w:szCs w:val="24"/>
          <w:bdr w:val="none" w:sz="0" w:space="0" w:color="auto" w:frame="1"/>
          <w:lang w:eastAsia="pl-PL"/>
        </w:rPr>
        <w:t>można wymienić:</w:t>
      </w:r>
    </w:p>
    <w:p w14:paraId="7F85A416" w14:textId="3B7D1D11" w:rsidR="00924FA8" w:rsidRPr="00E11754" w:rsidRDefault="00924FA8" w:rsidP="004265B2">
      <w:pPr>
        <w:pStyle w:val="Akapitzlist"/>
        <w:numPr>
          <w:ilvl w:val="0"/>
          <w:numId w:val="31"/>
        </w:numPr>
        <w:spacing w:line="360" w:lineRule="auto"/>
        <w:jc w:val="both"/>
        <w:rPr>
          <w:rFonts w:ascii="Times New Roman" w:eastAsia="Times New Roman" w:hAnsi="Times New Roman" w:cs="Times New Roman"/>
          <w:sz w:val="24"/>
          <w:szCs w:val="24"/>
          <w:bdr w:val="none" w:sz="0" w:space="0" w:color="auto" w:frame="1"/>
          <w:lang w:eastAsia="pl-PL"/>
        </w:rPr>
      </w:pPr>
      <w:proofErr w:type="spellStart"/>
      <w:r w:rsidRPr="00E11754">
        <w:rPr>
          <w:rFonts w:ascii="Times New Roman" w:eastAsia="Times New Roman" w:hAnsi="Times New Roman" w:cs="Times New Roman"/>
          <w:sz w:val="24"/>
          <w:szCs w:val="24"/>
          <w:bdr w:val="none" w:sz="0" w:space="0" w:color="auto" w:frame="1"/>
          <w:lang w:eastAsia="pl-PL"/>
        </w:rPr>
        <w:t>Deproteinizację</w:t>
      </w:r>
      <w:proofErr w:type="spellEnd"/>
      <w:r w:rsidRPr="00E11754">
        <w:rPr>
          <w:rFonts w:ascii="Times New Roman" w:eastAsia="Times New Roman" w:hAnsi="Times New Roman" w:cs="Times New Roman"/>
          <w:sz w:val="24"/>
          <w:szCs w:val="24"/>
          <w:bdr w:val="none" w:sz="0" w:space="0" w:color="auto" w:frame="1"/>
          <w:lang w:eastAsia="pl-PL"/>
        </w:rPr>
        <w:t>,</w:t>
      </w:r>
    </w:p>
    <w:p w14:paraId="44F4EDE8" w14:textId="1F168997" w:rsidR="00924FA8" w:rsidRPr="00E11754" w:rsidRDefault="00924FA8" w:rsidP="004265B2">
      <w:pPr>
        <w:pStyle w:val="Akapitzlist"/>
        <w:numPr>
          <w:ilvl w:val="0"/>
          <w:numId w:val="31"/>
        </w:numPr>
        <w:spacing w:line="360" w:lineRule="auto"/>
        <w:jc w:val="both"/>
        <w:rPr>
          <w:rFonts w:ascii="Times New Roman" w:eastAsia="Times New Roman" w:hAnsi="Times New Roman" w:cs="Times New Roman"/>
          <w:sz w:val="24"/>
          <w:szCs w:val="24"/>
          <w:bdr w:val="none" w:sz="0" w:space="0" w:color="auto" w:frame="1"/>
          <w:lang w:val="en-GB" w:eastAsia="pl-PL"/>
        </w:rPr>
      </w:pPr>
      <w:proofErr w:type="spellStart"/>
      <w:r w:rsidRPr="00E11754">
        <w:rPr>
          <w:rFonts w:ascii="Times New Roman" w:eastAsia="Times New Roman" w:hAnsi="Times New Roman" w:cs="Times New Roman"/>
          <w:sz w:val="24"/>
          <w:szCs w:val="24"/>
          <w:bdr w:val="none" w:sz="0" w:space="0" w:color="auto" w:frame="1"/>
          <w:lang w:val="en-GB" w:eastAsia="pl-PL"/>
        </w:rPr>
        <w:t>Ekstrakcję</w:t>
      </w:r>
      <w:proofErr w:type="spellEnd"/>
      <w:r w:rsidRPr="00E11754">
        <w:rPr>
          <w:rFonts w:ascii="Times New Roman" w:eastAsia="Times New Roman" w:hAnsi="Times New Roman" w:cs="Times New Roman"/>
          <w:sz w:val="24"/>
          <w:szCs w:val="24"/>
          <w:bdr w:val="none" w:sz="0" w:space="0" w:color="auto" w:frame="1"/>
          <w:lang w:val="en-GB" w:eastAsia="pl-PL"/>
        </w:rPr>
        <w:t xml:space="preserve"> </w:t>
      </w:r>
      <w:proofErr w:type="spellStart"/>
      <w:r w:rsidRPr="00E11754">
        <w:rPr>
          <w:rFonts w:ascii="Times New Roman" w:eastAsia="Times New Roman" w:hAnsi="Times New Roman" w:cs="Times New Roman"/>
          <w:sz w:val="24"/>
          <w:szCs w:val="24"/>
          <w:bdr w:val="none" w:sz="0" w:space="0" w:color="auto" w:frame="1"/>
          <w:lang w:val="en-GB" w:eastAsia="pl-PL"/>
        </w:rPr>
        <w:t>ciecz-ciecz</w:t>
      </w:r>
      <w:proofErr w:type="spellEnd"/>
      <w:r w:rsidRPr="00E11754">
        <w:rPr>
          <w:rFonts w:ascii="Times New Roman" w:eastAsia="Times New Roman" w:hAnsi="Times New Roman" w:cs="Times New Roman"/>
          <w:sz w:val="24"/>
          <w:szCs w:val="24"/>
          <w:bdr w:val="none" w:sz="0" w:space="0" w:color="auto" w:frame="1"/>
          <w:lang w:val="en-GB" w:eastAsia="pl-PL"/>
        </w:rPr>
        <w:t xml:space="preserve"> (ang. </w:t>
      </w:r>
      <w:r w:rsidRPr="00E11754">
        <w:rPr>
          <w:rFonts w:ascii="Times New Roman" w:eastAsia="Times New Roman" w:hAnsi="Times New Roman" w:cs="Times New Roman"/>
          <w:i/>
          <w:iCs/>
          <w:sz w:val="24"/>
          <w:szCs w:val="24"/>
          <w:bdr w:val="none" w:sz="0" w:space="0" w:color="auto" w:frame="1"/>
          <w:lang w:val="en-GB" w:eastAsia="pl-PL"/>
        </w:rPr>
        <w:t xml:space="preserve">Liquid-liquid </w:t>
      </w:r>
      <w:r w:rsidRPr="3B89BF30">
        <w:rPr>
          <w:rFonts w:ascii="Times New Roman" w:eastAsia="Times New Roman" w:hAnsi="Times New Roman" w:cs="Times New Roman"/>
          <w:i/>
          <w:iCs/>
          <w:sz w:val="24"/>
          <w:szCs w:val="24"/>
          <w:bdr w:val="none" w:sz="0" w:space="0" w:color="auto" w:frame="1"/>
          <w:lang w:val="en-GB" w:eastAsia="pl-PL"/>
        </w:rPr>
        <w:t>extraction</w:t>
      </w:r>
      <w:r w:rsidRPr="00E11754">
        <w:rPr>
          <w:rFonts w:ascii="Times New Roman" w:eastAsia="Times New Roman" w:hAnsi="Times New Roman" w:cs="Times New Roman"/>
          <w:sz w:val="24"/>
          <w:szCs w:val="24"/>
          <w:bdr w:val="none" w:sz="0" w:space="0" w:color="auto" w:frame="1"/>
          <w:lang w:val="en-GB" w:eastAsia="pl-PL"/>
        </w:rPr>
        <w:t>, LLE),</w:t>
      </w:r>
    </w:p>
    <w:p w14:paraId="0357B853" w14:textId="2BA6C6D4" w:rsidR="00924FA8" w:rsidRPr="00E11754" w:rsidRDefault="00924FA8" w:rsidP="004265B2">
      <w:pPr>
        <w:pStyle w:val="Akapitzlist"/>
        <w:numPr>
          <w:ilvl w:val="0"/>
          <w:numId w:val="31"/>
        </w:numPr>
        <w:spacing w:line="360" w:lineRule="auto"/>
        <w:jc w:val="both"/>
        <w:rPr>
          <w:rFonts w:ascii="Times New Roman" w:eastAsia="Times New Roman" w:hAnsi="Times New Roman" w:cs="Times New Roman"/>
          <w:sz w:val="24"/>
          <w:szCs w:val="24"/>
          <w:bdr w:val="none" w:sz="0" w:space="0" w:color="auto" w:frame="1"/>
          <w:lang w:eastAsia="pl-PL"/>
        </w:rPr>
      </w:pPr>
      <w:r w:rsidRPr="00E11754">
        <w:rPr>
          <w:rFonts w:ascii="Times New Roman" w:eastAsia="Times New Roman" w:hAnsi="Times New Roman" w:cs="Times New Roman"/>
          <w:sz w:val="24"/>
          <w:szCs w:val="24"/>
          <w:bdr w:val="none" w:sz="0" w:space="0" w:color="auto" w:frame="1"/>
          <w:lang w:eastAsia="pl-PL"/>
        </w:rPr>
        <w:t xml:space="preserve">Ekstrakcję do fazy stałej (ang. </w:t>
      </w:r>
      <w:r w:rsidRPr="00E11754">
        <w:rPr>
          <w:rFonts w:ascii="Times New Roman" w:eastAsia="Times New Roman" w:hAnsi="Times New Roman" w:cs="Times New Roman"/>
          <w:i/>
          <w:iCs/>
          <w:sz w:val="24"/>
          <w:szCs w:val="24"/>
          <w:bdr w:val="none" w:sz="0" w:space="0" w:color="auto" w:frame="1"/>
          <w:lang w:eastAsia="pl-PL"/>
        </w:rPr>
        <w:t xml:space="preserve">Solid </w:t>
      </w:r>
      <w:proofErr w:type="spellStart"/>
      <w:r w:rsidRPr="00E11754">
        <w:rPr>
          <w:rFonts w:ascii="Times New Roman" w:eastAsia="Times New Roman" w:hAnsi="Times New Roman" w:cs="Times New Roman"/>
          <w:i/>
          <w:iCs/>
          <w:sz w:val="24"/>
          <w:szCs w:val="24"/>
          <w:bdr w:val="none" w:sz="0" w:space="0" w:color="auto" w:frame="1"/>
          <w:lang w:eastAsia="pl-PL"/>
        </w:rPr>
        <w:t>phase</w:t>
      </w:r>
      <w:proofErr w:type="spellEnd"/>
      <w:r w:rsidRPr="00E11754">
        <w:rPr>
          <w:rFonts w:ascii="Times New Roman" w:eastAsia="Times New Roman" w:hAnsi="Times New Roman" w:cs="Times New Roman"/>
          <w:i/>
          <w:iCs/>
          <w:sz w:val="24"/>
          <w:szCs w:val="24"/>
          <w:bdr w:val="none" w:sz="0" w:space="0" w:color="auto" w:frame="1"/>
          <w:lang w:eastAsia="pl-PL"/>
        </w:rPr>
        <w:t xml:space="preserve"> </w:t>
      </w:r>
      <w:proofErr w:type="spellStart"/>
      <w:r w:rsidRPr="00E11754">
        <w:rPr>
          <w:rFonts w:ascii="Times New Roman" w:eastAsia="Times New Roman" w:hAnsi="Times New Roman" w:cs="Times New Roman"/>
          <w:i/>
          <w:iCs/>
          <w:sz w:val="24"/>
          <w:szCs w:val="24"/>
          <w:bdr w:val="none" w:sz="0" w:space="0" w:color="auto" w:frame="1"/>
          <w:lang w:eastAsia="pl-PL"/>
        </w:rPr>
        <w:t>extraction</w:t>
      </w:r>
      <w:proofErr w:type="spellEnd"/>
      <w:r w:rsidRPr="00E11754">
        <w:rPr>
          <w:rFonts w:ascii="Times New Roman" w:eastAsia="Times New Roman" w:hAnsi="Times New Roman" w:cs="Times New Roman"/>
          <w:sz w:val="24"/>
          <w:szCs w:val="24"/>
          <w:bdr w:val="none" w:sz="0" w:space="0" w:color="auto" w:frame="1"/>
          <w:lang w:eastAsia="pl-PL"/>
        </w:rPr>
        <w:t>, SPE),</w:t>
      </w:r>
    </w:p>
    <w:p w14:paraId="5746EFDD" w14:textId="7594EF98" w:rsidR="00924FA8" w:rsidRPr="00E11754" w:rsidRDefault="00924FA8" w:rsidP="004265B2">
      <w:pPr>
        <w:pStyle w:val="Akapitzlist"/>
        <w:numPr>
          <w:ilvl w:val="0"/>
          <w:numId w:val="31"/>
        </w:numPr>
        <w:spacing w:line="360" w:lineRule="auto"/>
        <w:jc w:val="both"/>
        <w:rPr>
          <w:rFonts w:ascii="Times New Roman" w:eastAsia="Times New Roman" w:hAnsi="Times New Roman" w:cs="Times New Roman"/>
          <w:sz w:val="24"/>
          <w:szCs w:val="24"/>
          <w:bdr w:val="none" w:sz="0" w:space="0" w:color="auto" w:frame="1"/>
          <w:lang w:eastAsia="pl-PL"/>
        </w:rPr>
      </w:pPr>
      <w:proofErr w:type="spellStart"/>
      <w:r w:rsidRPr="00E11754">
        <w:rPr>
          <w:rFonts w:ascii="Times New Roman" w:eastAsia="Times New Roman" w:hAnsi="Times New Roman" w:cs="Times New Roman"/>
          <w:sz w:val="24"/>
          <w:szCs w:val="24"/>
          <w:bdr w:val="none" w:sz="0" w:space="0" w:color="auto" w:frame="1"/>
          <w:lang w:eastAsia="pl-PL"/>
        </w:rPr>
        <w:t>Mikroekstrakcje</w:t>
      </w:r>
      <w:proofErr w:type="spellEnd"/>
      <w:r w:rsidRPr="00E11754">
        <w:rPr>
          <w:rFonts w:ascii="Times New Roman" w:eastAsia="Times New Roman" w:hAnsi="Times New Roman" w:cs="Times New Roman"/>
          <w:sz w:val="24"/>
          <w:szCs w:val="24"/>
          <w:bdr w:val="none" w:sz="0" w:space="0" w:color="auto" w:frame="1"/>
          <w:lang w:eastAsia="pl-PL"/>
        </w:rPr>
        <w:t xml:space="preserve"> do fazy stałej (ang. </w:t>
      </w:r>
      <w:r w:rsidRPr="00E11754">
        <w:rPr>
          <w:rFonts w:ascii="Times New Roman" w:eastAsia="Times New Roman" w:hAnsi="Times New Roman" w:cs="Times New Roman"/>
          <w:i/>
          <w:iCs/>
          <w:sz w:val="24"/>
          <w:szCs w:val="24"/>
          <w:bdr w:val="none" w:sz="0" w:space="0" w:color="auto" w:frame="1"/>
          <w:lang w:eastAsia="pl-PL"/>
        </w:rPr>
        <w:t xml:space="preserve">Solid </w:t>
      </w:r>
      <w:proofErr w:type="spellStart"/>
      <w:r w:rsidRPr="3B89BF30">
        <w:rPr>
          <w:rFonts w:ascii="Times New Roman" w:eastAsia="Times New Roman" w:hAnsi="Times New Roman" w:cs="Times New Roman"/>
          <w:i/>
          <w:iCs/>
          <w:sz w:val="24"/>
          <w:szCs w:val="24"/>
          <w:bdr w:val="none" w:sz="0" w:space="0" w:color="auto" w:frame="1"/>
          <w:lang w:eastAsia="pl-PL"/>
        </w:rPr>
        <w:t>phase</w:t>
      </w:r>
      <w:proofErr w:type="spellEnd"/>
      <w:r w:rsidRPr="3B89BF30">
        <w:rPr>
          <w:rFonts w:ascii="Times New Roman" w:eastAsia="Times New Roman" w:hAnsi="Times New Roman" w:cs="Times New Roman"/>
          <w:i/>
          <w:iCs/>
          <w:sz w:val="24"/>
          <w:szCs w:val="24"/>
          <w:bdr w:val="none" w:sz="0" w:space="0" w:color="auto" w:frame="1"/>
          <w:lang w:eastAsia="pl-PL"/>
        </w:rPr>
        <w:t xml:space="preserve"> </w:t>
      </w:r>
      <w:proofErr w:type="spellStart"/>
      <w:r w:rsidRPr="3B89BF30">
        <w:rPr>
          <w:rFonts w:ascii="Times New Roman" w:eastAsia="Times New Roman" w:hAnsi="Times New Roman" w:cs="Times New Roman"/>
          <w:i/>
          <w:iCs/>
          <w:sz w:val="24"/>
          <w:szCs w:val="24"/>
          <w:bdr w:val="none" w:sz="0" w:space="0" w:color="auto" w:frame="1"/>
          <w:lang w:eastAsia="pl-PL"/>
        </w:rPr>
        <w:t>microextraction</w:t>
      </w:r>
      <w:proofErr w:type="spellEnd"/>
      <w:r w:rsidRPr="00E11754">
        <w:rPr>
          <w:rFonts w:ascii="Times New Roman" w:eastAsia="Times New Roman" w:hAnsi="Times New Roman" w:cs="Times New Roman"/>
          <w:sz w:val="24"/>
          <w:szCs w:val="24"/>
          <w:bdr w:val="none" w:sz="0" w:space="0" w:color="auto" w:frame="1"/>
          <w:lang w:eastAsia="pl-PL"/>
        </w:rPr>
        <w:t>, SPME),</w:t>
      </w:r>
    </w:p>
    <w:p w14:paraId="576CD577" w14:textId="6EEE3951" w:rsidR="00924FA8" w:rsidRPr="00E11754" w:rsidRDefault="00924FA8" w:rsidP="004265B2">
      <w:pPr>
        <w:pStyle w:val="Akapitzlist"/>
        <w:numPr>
          <w:ilvl w:val="0"/>
          <w:numId w:val="31"/>
        </w:numPr>
        <w:spacing w:line="360" w:lineRule="auto"/>
        <w:jc w:val="both"/>
        <w:rPr>
          <w:rFonts w:ascii="Times New Roman" w:eastAsia="Times New Roman" w:hAnsi="Times New Roman" w:cs="Times New Roman"/>
          <w:sz w:val="24"/>
          <w:szCs w:val="24"/>
          <w:bdr w:val="none" w:sz="0" w:space="0" w:color="auto" w:frame="1"/>
          <w:lang w:val="en-GB" w:eastAsia="pl-PL"/>
        </w:rPr>
      </w:pPr>
      <w:r w:rsidRPr="00E11754">
        <w:rPr>
          <w:rFonts w:ascii="Times New Roman" w:eastAsia="Times New Roman" w:hAnsi="Times New Roman" w:cs="Times New Roman"/>
          <w:sz w:val="24"/>
          <w:szCs w:val="24"/>
          <w:bdr w:val="none" w:sz="0" w:space="0" w:color="auto" w:frame="1"/>
          <w:lang w:eastAsia="pl-PL"/>
        </w:rPr>
        <w:t xml:space="preserve">Dyspersyjną </w:t>
      </w:r>
      <w:proofErr w:type="spellStart"/>
      <w:r w:rsidRPr="00E11754">
        <w:rPr>
          <w:rFonts w:ascii="Times New Roman" w:eastAsia="Times New Roman" w:hAnsi="Times New Roman" w:cs="Times New Roman"/>
          <w:sz w:val="24"/>
          <w:szCs w:val="24"/>
          <w:bdr w:val="none" w:sz="0" w:space="0" w:color="auto" w:frame="1"/>
          <w:lang w:eastAsia="pl-PL"/>
        </w:rPr>
        <w:t>mikroekstrakcję</w:t>
      </w:r>
      <w:proofErr w:type="spellEnd"/>
      <w:r w:rsidRPr="00E11754">
        <w:rPr>
          <w:rFonts w:ascii="Times New Roman" w:eastAsia="Times New Roman" w:hAnsi="Times New Roman" w:cs="Times New Roman"/>
          <w:sz w:val="24"/>
          <w:szCs w:val="24"/>
          <w:bdr w:val="none" w:sz="0" w:space="0" w:color="auto" w:frame="1"/>
          <w:lang w:eastAsia="pl-PL"/>
        </w:rPr>
        <w:t xml:space="preserve"> ciecz-ciecz (ang. </w:t>
      </w:r>
      <w:r w:rsidRPr="00E11754">
        <w:rPr>
          <w:rFonts w:ascii="Times New Roman" w:eastAsia="Times New Roman" w:hAnsi="Times New Roman" w:cs="Times New Roman"/>
          <w:i/>
          <w:iCs/>
          <w:sz w:val="24"/>
          <w:szCs w:val="24"/>
          <w:bdr w:val="none" w:sz="0" w:space="0" w:color="auto" w:frame="1"/>
          <w:lang w:val="en-GB" w:eastAsia="pl-PL"/>
        </w:rPr>
        <w:t xml:space="preserve">Dispersive </w:t>
      </w:r>
      <w:r w:rsidRPr="3B89BF30">
        <w:rPr>
          <w:rFonts w:ascii="Times New Roman" w:eastAsia="Times New Roman" w:hAnsi="Times New Roman" w:cs="Times New Roman"/>
          <w:i/>
          <w:iCs/>
          <w:sz w:val="24"/>
          <w:szCs w:val="24"/>
          <w:bdr w:val="none" w:sz="0" w:space="0" w:color="auto" w:frame="1"/>
          <w:lang w:val="en-GB" w:eastAsia="pl-PL"/>
        </w:rPr>
        <w:t>liquid-liquid microextraction</w:t>
      </w:r>
      <w:r w:rsidRPr="00E11754">
        <w:rPr>
          <w:rFonts w:ascii="Times New Roman" w:eastAsia="Times New Roman" w:hAnsi="Times New Roman" w:cs="Times New Roman"/>
          <w:sz w:val="24"/>
          <w:szCs w:val="24"/>
          <w:bdr w:val="none" w:sz="0" w:space="0" w:color="auto" w:frame="1"/>
          <w:lang w:val="en-GB" w:eastAsia="pl-PL"/>
        </w:rPr>
        <w:t>, DLLME).</w:t>
      </w:r>
    </w:p>
    <w:p w14:paraId="65098A10" w14:textId="45F07CED" w:rsidR="00924FA8" w:rsidRPr="000D6A5E" w:rsidRDefault="00924FA8" w:rsidP="7FED27BB">
      <w:pPr>
        <w:pStyle w:val="Akapitzlist"/>
        <w:spacing w:after="0" w:line="360" w:lineRule="auto"/>
        <w:ind w:left="0" w:firstLine="708"/>
        <w:jc w:val="both"/>
        <w:rPr>
          <w:rFonts w:ascii="Times New Roman" w:eastAsia="Times New Roman" w:hAnsi="Times New Roman" w:cs="Times New Roman"/>
          <w:sz w:val="24"/>
          <w:szCs w:val="24"/>
          <w:lang w:eastAsia="pl-PL"/>
        </w:rPr>
      </w:pPr>
      <w:r w:rsidRPr="00E11754">
        <w:rPr>
          <w:rFonts w:ascii="Times New Roman" w:eastAsia="Times New Roman" w:hAnsi="Times New Roman" w:cs="Times New Roman"/>
          <w:sz w:val="24"/>
          <w:szCs w:val="24"/>
          <w:bdr w:val="none" w:sz="0" w:space="0" w:color="auto" w:frame="1"/>
          <w:lang w:val="en-GB" w:eastAsia="pl-PL"/>
        </w:rPr>
        <w:tab/>
      </w:r>
      <w:r w:rsidRPr="00E11754" w:rsidDel="2100169C">
        <w:rPr>
          <w:rFonts w:ascii="Times New Roman" w:eastAsia="Times New Roman" w:hAnsi="Times New Roman" w:cs="Times New Roman"/>
          <w:sz w:val="24"/>
          <w:szCs w:val="24"/>
          <w:lang w:eastAsia="pl-PL"/>
        </w:rPr>
        <w:t xml:space="preserve">Zalety i wady każdej z tych metod w odniesieniu </w:t>
      </w:r>
      <w:r w:rsidR="7FED27BB" w:rsidRPr="00E11754">
        <w:rPr>
          <w:rFonts w:ascii="Times New Roman" w:eastAsia="Times New Roman" w:hAnsi="Times New Roman" w:cs="Times New Roman"/>
          <w:sz w:val="24"/>
          <w:szCs w:val="24"/>
          <w:lang w:eastAsia="pl-PL"/>
        </w:rPr>
        <w:t>do</w:t>
      </w:r>
      <w:r w:rsidRPr="00E11754" w:rsidDel="2100169C">
        <w:rPr>
          <w:rFonts w:ascii="Times New Roman" w:eastAsia="Times New Roman" w:hAnsi="Times New Roman" w:cs="Times New Roman"/>
          <w:sz w:val="24"/>
          <w:szCs w:val="24"/>
          <w:lang w:eastAsia="pl-PL"/>
        </w:rPr>
        <w:t xml:space="preserve"> izolacji wybranych </w:t>
      </w:r>
      <w:proofErr w:type="spellStart"/>
      <w:r w:rsidRPr="00E11754" w:rsidDel="2100169C">
        <w:rPr>
          <w:rFonts w:ascii="Times New Roman" w:eastAsia="Times New Roman" w:hAnsi="Times New Roman" w:cs="Times New Roman"/>
          <w:sz w:val="24"/>
          <w:szCs w:val="24"/>
          <w:lang w:eastAsia="pl-PL"/>
        </w:rPr>
        <w:t>cytostatyków</w:t>
      </w:r>
      <w:proofErr w:type="spellEnd"/>
      <w:r w:rsidRPr="00E11754" w:rsidDel="2100169C">
        <w:rPr>
          <w:rFonts w:ascii="Times New Roman" w:eastAsia="Times New Roman" w:hAnsi="Times New Roman" w:cs="Times New Roman"/>
          <w:sz w:val="24"/>
          <w:szCs w:val="24"/>
          <w:lang w:eastAsia="pl-PL"/>
        </w:rPr>
        <w:t xml:space="preserve"> z materiału biologicznego przez analizą LC, zostaną bardziej szczegółowo omówione w części opisowej dotyczącej wyników badań uzyskanych w trakcie realizacji pracy doktorskiej. </w:t>
      </w:r>
    </w:p>
    <w:p w14:paraId="420E9057" w14:textId="15E95A65" w:rsidR="00924FA8" w:rsidRPr="00E11754" w:rsidRDefault="2BA7FFDF" w:rsidP="7E195206">
      <w:pPr>
        <w:pStyle w:val="Akapitzlist"/>
        <w:spacing w:after="0" w:line="360" w:lineRule="auto"/>
        <w:ind w:left="0" w:firstLine="708"/>
        <w:jc w:val="both"/>
        <w:rPr>
          <w:rFonts w:ascii="Times New Roman" w:hAnsi="Times New Roman" w:cs="Times New Roman"/>
          <w:sz w:val="24"/>
          <w:szCs w:val="24"/>
        </w:rPr>
      </w:pPr>
      <w:r w:rsidRPr="00E11754">
        <w:rPr>
          <w:rFonts w:ascii="Times New Roman" w:eastAsia="Times New Roman" w:hAnsi="Times New Roman" w:cs="Times New Roman"/>
          <w:sz w:val="24"/>
          <w:szCs w:val="24"/>
          <w:lang w:eastAsia="pl-PL"/>
        </w:rPr>
        <w:t>Niezbędnym</w:t>
      </w:r>
      <w:r w:rsidR="00924FA8" w:rsidRPr="00E11754">
        <w:rPr>
          <w:rFonts w:ascii="Times New Roman" w:eastAsia="Times New Roman" w:hAnsi="Times New Roman" w:cs="Times New Roman"/>
          <w:sz w:val="24"/>
          <w:szCs w:val="24"/>
          <w:bdr w:val="none" w:sz="0" w:space="0" w:color="auto" w:frame="1"/>
          <w:lang w:eastAsia="pl-PL"/>
        </w:rPr>
        <w:t xml:space="preserve"> etapem opracowania metody analitycznej </w:t>
      </w:r>
      <w:r w:rsidRPr="00E11754">
        <w:rPr>
          <w:rFonts w:ascii="Times New Roman" w:eastAsia="Times New Roman" w:hAnsi="Times New Roman" w:cs="Times New Roman"/>
          <w:sz w:val="24"/>
          <w:szCs w:val="24"/>
          <w:lang w:eastAsia="pl-PL"/>
        </w:rPr>
        <w:t>test także</w:t>
      </w:r>
      <w:r w:rsidR="00924FA8" w:rsidRPr="00E11754">
        <w:rPr>
          <w:rFonts w:ascii="Times New Roman" w:eastAsia="Times New Roman" w:hAnsi="Times New Roman" w:cs="Times New Roman"/>
          <w:sz w:val="24"/>
          <w:szCs w:val="24"/>
          <w:bdr w:val="none" w:sz="0" w:space="0" w:color="auto" w:frame="1"/>
          <w:lang w:eastAsia="pl-PL"/>
        </w:rPr>
        <w:t xml:space="preserve"> proces walidacji metody, który ma na celu określenie sprawności jej </w:t>
      </w:r>
      <w:r w:rsidR="00924FA8" w:rsidRPr="00C3354F">
        <w:rPr>
          <w:rFonts w:ascii="Times New Roman" w:eastAsia="Times New Roman" w:hAnsi="Times New Roman" w:cs="Times New Roman"/>
          <w:sz w:val="24"/>
          <w:szCs w:val="24"/>
          <w:bdr w:val="none" w:sz="0" w:space="0" w:color="auto" w:frame="1"/>
          <w:lang w:eastAsia="pl-PL"/>
        </w:rPr>
        <w:t>działania</w:t>
      </w:r>
      <w:r w:rsidRPr="00C3354F">
        <w:rPr>
          <w:rFonts w:ascii="Times New Roman" w:eastAsia="Times New Roman" w:hAnsi="Times New Roman" w:cs="Times New Roman"/>
          <w:sz w:val="24"/>
          <w:szCs w:val="24"/>
        </w:rPr>
        <w:t xml:space="preserve"> i ograniczenia, a także sprawdzić</w:t>
      </w:r>
      <w:r w:rsidR="00924FA8" w:rsidRPr="00C3354F">
        <w:rPr>
          <w:rFonts w:ascii="Times New Roman" w:eastAsia="Times New Roman" w:hAnsi="Times New Roman" w:cs="Times New Roman"/>
          <w:sz w:val="24"/>
          <w:szCs w:val="24"/>
          <w:bdr w:val="none" w:sz="0" w:space="0" w:color="auto" w:frame="1"/>
          <w:lang w:eastAsia="pl-PL"/>
        </w:rPr>
        <w:t xml:space="preserve"> przydatność metody do określonych celów. </w:t>
      </w:r>
      <w:r w:rsidRPr="00C3354F">
        <w:rPr>
          <w:rFonts w:ascii="Times New Roman" w:eastAsia="Times New Roman" w:hAnsi="Times New Roman" w:cs="Times New Roman"/>
          <w:sz w:val="24"/>
          <w:szCs w:val="24"/>
        </w:rPr>
        <w:t>Wykonując walidację należy wyznaczyć doświadczalnie wartości parametrów walidacyjnych (</w:t>
      </w:r>
      <w:r w:rsidRPr="00C3354F">
        <w:rPr>
          <w:rFonts w:ascii="Times New Roman" w:eastAsia="Times New Roman" w:hAnsi="Times New Roman" w:cs="Times New Roman"/>
          <w:sz w:val="24"/>
          <w:szCs w:val="24"/>
          <w:lang w:eastAsia="pl-PL"/>
        </w:rPr>
        <w:t xml:space="preserve">selektywność, liniowość, zakres liniowości, granicę wykrywalności (ang. </w:t>
      </w:r>
      <w:r w:rsidRPr="3998842B">
        <w:rPr>
          <w:rFonts w:ascii="Times New Roman" w:eastAsia="Times New Roman" w:hAnsi="Times New Roman" w:cs="Times New Roman"/>
          <w:i/>
          <w:iCs/>
          <w:sz w:val="24"/>
          <w:szCs w:val="24"/>
          <w:lang w:eastAsia="pl-PL"/>
        </w:rPr>
        <w:t xml:space="preserve">Limit of </w:t>
      </w:r>
      <w:proofErr w:type="spellStart"/>
      <w:r w:rsidRPr="3998842B">
        <w:rPr>
          <w:rFonts w:ascii="Times New Roman" w:eastAsia="Times New Roman" w:hAnsi="Times New Roman" w:cs="Times New Roman"/>
          <w:i/>
          <w:iCs/>
          <w:sz w:val="24"/>
          <w:szCs w:val="24"/>
          <w:lang w:eastAsia="pl-PL"/>
        </w:rPr>
        <w:t>Detection</w:t>
      </w:r>
      <w:proofErr w:type="spellEnd"/>
      <w:r w:rsidRPr="00C3354F">
        <w:rPr>
          <w:rFonts w:ascii="Times New Roman" w:eastAsia="Times New Roman" w:hAnsi="Times New Roman" w:cs="Times New Roman"/>
          <w:sz w:val="24"/>
          <w:szCs w:val="24"/>
          <w:lang w:eastAsia="pl-PL"/>
        </w:rPr>
        <w:t>, LOD</w:t>
      </w:r>
      <w:r w:rsidRPr="00E11754">
        <w:rPr>
          <w:rFonts w:ascii="Times New Roman" w:eastAsia="Times New Roman" w:hAnsi="Times New Roman" w:cs="Times New Roman"/>
          <w:sz w:val="24"/>
          <w:szCs w:val="24"/>
          <w:lang w:eastAsia="pl-PL"/>
        </w:rPr>
        <w:t xml:space="preserve">), granicę oznaczalności (ang. </w:t>
      </w:r>
      <w:r w:rsidRPr="3998842B">
        <w:rPr>
          <w:rFonts w:ascii="Times New Roman" w:eastAsia="Times New Roman" w:hAnsi="Times New Roman" w:cs="Times New Roman"/>
          <w:i/>
          <w:iCs/>
          <w:sz w:val="24"/>
          <w:szCs w:val="24"/>
          <w:lang w:eastAsia="pl-PL"/>
        </w:rPr>
        <w:t xml:space="preserve">Limit of </w:t>
      </w:r>
      <w:proofErr w:type="spellStart"/>
      <w:r w:rsidRPr="3998842B">
        <w:rPr>
          <w:rFonts w:ascii="Times New Roman" w:eastAsia="Times New Roman" w:hAnsi="Times New Roman" w:cs="Times New Roman"/>
          <w:i/>
          <w:iCs/>
          <w:sz w:val="24"/>
          <w:szCs w:val="24"/>
          <w:lang w:eastAsia="pl-PL"/>
        </w:rPr>
        <w:t>Quantification</w:t>
      </w:r>
      <w:proofErr w:type="spellEnd"/>
      <w:r w:rsidRPr="00E11754">
        <w:rPr>
          <w:rFonts w:ascii="Times New Roman" w:eastAsia="Times New Roman" w:hAnsi="Times New Roman" w:cs="Times New Roman"/>
          <w:sz w:val="24"/>
          <w:szCs w:val="24"/>
          <w:lang w:eastAsia="pl-PL"/>
        </w:rPr>
        <w:t xml:space="preserve">, LOQ), precyzję (w tym powtarzalność i odtwarzalność często definiowane wartością współczynnika zmienności (ang. </w:t>
      </w:r>
      <w:proofErr w:type="spellStart"/>
      <w:r w:rsidRPr="3998842B">
        <w:rPr>
          <w:rFonts w:ascii="Times New Roman" w:eastAsia="Times New Roman" w:hAnsi="Times New Roman" w:cs="Times New Roman"/>
          <w:i/>
          <w:iCs/>
          <w:sz w:val="24"/>
          <w:szCs w:val="24"/>
          <w:lang w:eastAsia="pl-PL"/>
        </w:rPr>
        <w:t>Relative</w:t>
      </w:r>
      <w:proofErr w:type="spellEnd"/>
      <w:r w:rsidRPr="3998842B">
        <w:rPr>
          <w:rFonts w:ascii="Times New Roman" w:eastAsia="Times New Roman" w:hAnsi="Times New Roman" w:cs="Times New Roman"/>
          <w:i/>
          <w:iCs/>
          <w:sz w:val="24"/>
          <w:szCs w:val="24"/>
          <w:lang w:eastAsia="pl-PL"/>
        </w:rPr>
        <w:t xml:space="preserve"> Standard </w:t>
      </w:r>
      <w:proofErr w:type="spellStart"/>
      <w:r w:rsidRPr="3998842B">
        <w:rPr>
          <w:rFonts w:ascii="Times New Roman" w:eastAsia="Times New Roman" w:hAnsi="Times New Roman" w:cs="Times New Roman"/>
          <w:i/>
          <w:iCs/>
          <w:sz w:val="24"/>
          <w:szCs w:val="24"/>
          <w:lang w:eastAsia="pl-PL"/>
        </w:rPr>
        <w:t>Deviation</w:t>
      </w:r>
      <w:proofErr w:type="spellEnd"/>
      <w:r w:rsidRPr="3998842B">
        <w:rPr>
          <w:rFonts w:ascii="Times New Roman" w:eastAsia="Times New Roman" w:hAnsi="Times New Roman" w:cs="Times New Roman"/>
          <w:i/>
          <w:iCs/>
          <w:sz w:val="24"/>
          <w:szCs w:val="24"/>
          <w:lang w:eastAsia="pl-PL"/>
        </w:rPr>
        <w:t>,</w:t>
      </w:r>
      <w:r w:rsidRPr="00E11754">
        <w:rPr>
          <w:rFonts w:ascii="Times New Roman" w:eastAsia="Times New Roman" w:hAnsi="Times New Roman" w:cs="Times New Roman"/>
          <w:sz w:val="24"/>
          <w:szCs w:val="24"/>
          <w:lang w:eastAsia="pl-PL"/>
        </w:rPr>
        <w:t xml:space="preserve"> RSD (%)), dokładność (najczęściej opisywana jako odzysk (%)), elastyczność/odporność (w tym stabilność roztworów i próbek) </w:t>
      </w:r>
      <w:r w:rsidR="13A8E3F4" w:rsidRPr="00E11754">
        <w:rPr>
          <w:rFonts w:ascii="Times New Roman" w:eastAsia="Times New Roman" w:hAnsi="Times New Roman" w:cs="Times New Roman"/>
          <w:sz w:val="24"/>
          <w:szCs w:val="24"/>
          <w:lang w:eastAsia="pl-PL"/>
        </w:rPr>
        <w:t xml:space="preserve">oraz </w:t>
      </w:r>
      <w:r w:rsidRPr="00E11754">
        <w:rPr>
          <w:rFonts w:ascii="Times New Roman" w:eastAsia="Times New Roman" w:hAnsi="Times New Roman" w:cs="Times New Roman"/>
          <w:sz w:val="24"/>
          <w:szCs w:val="24"/>
          <w:lang w:eastAsia="pl-PL"/>
        </w:rPr>
        <w:t xml:space="preserve">wydajność ekstrakcji </w:t>
      </w:r>
      <w:proofErr w:type="spellStart"/>
      <w:r w:rsidRPr="00E11754">
        <w:rPr>
          <w:rFonts w:ascii="Times New Roman" w:eastAsia="Times New Roman" w:hAnsi="Times New Roman" w:cs="Times New Roman"/>
          <w:sz w:val="24"/>
          <w:szCs w:val="24"/>
          <w:lang w:eastAsia="pl-PL"/>
        </w:rPr>
        <w:t>analitu</w:t>
      </w:r>
      <w:proofErr w:type="spellEnd"/>
      <w:r w:rsidRPr="00E11754">
        <w:rPr>
          <w:rFonts w:ascii="Times New Roman" w:eastAsia="Times New Roman" w:hAnsi="Times New Roman" w:cs="Times New Roman"/>
          <w:sz w:val="24"/>
          <w:szCs w:val="24"/>
          <w:lang w:eastAsia="pl-PL"/>
        </w:rPr>
        <w:t>/ów z badanego materiału. Następnie, należy ocenić, czy uzyskane parametry walidacyjne spełniają kryteria akceptacji stawione metodom analitycznym do danych aplikacji</w:t>
      </w:r>
      <w:r w:rsidRPr="00E11754">
        <w:rPr>
          <w:rFonts w:ascii="Times New Roman" w:eastAsia="Times New Roman" w:hAnsi="Times New Roman" w:cs="Times New Roman"/>
          <w:color w:val="203864"/>
          <w:sz w:val="24"/>
          <w:szCs w:val="24"/>
        </w:rPr>
        <w:t xml:space="preserve">. </w:t>
      </w:r>
      <w:r w:rsidRPr="00C3354F">
        <w:rPr>
          <w:rFonts w:ascii="Times New Roman" w:eastAsia="Times New Roman" w:hAnsi="Times New Roman" w:cs="Times New Roman"/>
          <w:sz w:val="24"/>
          <w:szCs w:val="24"/>
        </w:rPr>
        <w:t xml:space="preserve">W przypadku metod służących do oznaczania substancji czynnych kryteria te są wyznaczane przez wytyczne </w:t>
      </w:r>
      <w:r w:rsidRPr="00E11754">
        <w:rPr>
          <w:rFonts w:ascii="Times New Roman" w:hAnsi="Times New Roman" w:cs="Times New Roman"/>
          <w:sz w:val="24"/>
          <w:szCs w:val="24"/>
        </w:rPr>
        <w:t xml:space="preserve">Agencji Żywności i Leków (ang. </w:t>
      </w:r>
      <w:r w:rsidRPr="3998842B">
        <w:rPr>
          <w:rFonts w:ascii="Times New Roman" w:hAnsi="Times New Roman" w:cs="Times New Roman"/>
          <w:i/>
          <w:iCs/>
          <w:sz w:val="24"/>
          <w:szCs w:val="24"/>
        </w:rPr>
        <w:t xml:space="preserve">Food and </w:t>
      </w:r>
      <w:proofErr w:type="spellStart"/>
      <w:r w:rsidRPr="3998842B">
        <w:rPr>
          <w:rFonts w:ascii="Times New Roman" w:hAnsi="Times New Roman" w:cs="Times New Roman"/>
          <w:i/>
          <w:iCs/>
          <w:sz w:val="24"/>
          <w:szCs w:val="24"/>
        </w:rPr>
        <w:t>Drug</w:t>
      </w:r>
      <w:proofErr w:type="spellEnd"/>
      <w:r w:rsidRPr="3998842B">
        <w:rPr>
          <w:rFonts w:ascii="Times New Roman" w:hAnsi="Times New Roman" w:cs="Times New Roman"/>
          <w:i/>
          <w:iCs/>
          <w:sz w:val="24"/>
          <w:szCs w:val="24"/>
        </w:rPr>
        <w:t xml:space="preserve"> Administration</w:t>
      </w:r>
      <w:r w:rsidRPr="00E11754">
        <w:rPr>
          <w:rFonts w:ascii="Times New Roman" w:hAnsi="Times New Roman" w:cs="Times New Roman"/>
          <w:color w:val="4D5156"/>
          <w:sz w:val="24"/>
          <w:szCs w:val="24"/>
        </w:rPr>
        <w:t>,</w:t>
      </w:r>
      <w:r w:rsidRPr="00E11754">
        <w:rPr>
          <w:rFonts w:ascii="Times New Roman" w:hAnsi="Times New Roman" w:cs="Times New Roman"/>
          <w:sz w:val="24"/>
          <w:szCs w:val="24"/>
        </w:rPr>
        <w:t xml:space="preserve"> FDA) oraz Międzynarodowej Rady Harmonizacji Wymagań Technicznych dla Rejestracji Produktów Leczniczych Stosowanych u Ludzi (ang. </w:t>
      </w:r>
      <w:r w:rsidRPr="3998842B">
        <w:rPr>
          <w:rFonts w:ascii="Times New Roman" w:hAnsi="Times New Roman" w:cs="Times New Roman"/>
          <w:i/>
          <w:iCs/>
          <w:sz w:val="24"/>
          <w:szCs w:val="24"/>
          <w:lang w:val="en-GB"/>
        </w:rPr>
        <w:t>The International Council for Harmonisation of Technical Requirements for Pharmaceuticals for Human Use,</w:t>
      </w:r>
      <w:r w:rsidRPr="00E11754">
        <w:rPr>
          <w:rFonts w:ascii="Times New Roman" w:hAnsi="Times New Roman" w:cs="Times New Roman"/>
          <w:sz w:val="24"/>
          <w:szCs w:val="24"/>
          <w:lang w:val="en-GB"/>
        </w:rPr>
        <w:t xml:space="preserve"> ICH)</w:t>
      </w:r>
      <w:r w:rsidR="00223473">
        <w:rPr>
          <w:rFonts w:ascii="Times New Roman" w:hAnsi="Times New Roman" w:cs="Times New Roman"/>
          <w:sz w:val="24"/>
          <w:szCs w:val="24"/>
          <w:lang w:val="en-GB"/>
        </w:rPr>
        <w:t xml:space="preserve"> </w:t>
      </w:r>
      <w:r w:rsidR="00223473">
        <w:rPr>
          <w:rFonts w:ascii="Times New Roman" w:hAnsi="Times New Roman" w:cs="Times New Roman"/>
          <w:sz w:val="24"/>
          <w:szCs w:val="24"/>
          <w:lang w:val="en-GB"/>
        </w:rPr>
        <w:fldChar w:fldCharType="begin" w:fldLock="1"/>
      </w:r>
      <w:r w:rsidR="003F3548">
        <w:rPr>
          <w:rFonts w:ascii="Times New Roman" w:hAnsi="Times New Roman" w:cs="Times New Roman"/>
          <w:sz w:val="24"/>
          <w:szCs w:val="24"/>
          <w:lang w:val="en-GB"/>
        </w:rPr>
        <w:instrText>ADDIN CSL_CITATION {"citationItems":[{"id":"ITEM-1","itemData":{"author":[{"dropping-particle":"","family":"ICH","given":"","non-dropping-particle":"","parse-names":false,"suffix":""}],"container-title":"ICH Harmonised Tripartite Guideline","id":"ITEM-1","issue":"March","issued":{"date-parts":[["2022"]]},"page":"1 - 34","title":"ICH Harmonised Guidance:Validation of Analytical Procedures Q2(R2)","type":"article-journal","volume":"2"},"uris":["http://www.mendeley.com/documents/?uuid=d16fa7a2-c2a6-4b22-8ad9-20f9b826f230"]}],"mendeley":{"formattedCitation":"[46]","plainTextFormattedCitation":"[46]","previouslyFormattedCitation":"[46]"},"properties":{"noteIndex":0},"schema":"https://github.com/citation-style-language/schema/raw/master/csl-citation.json"}</w:instrText>
      </w:r>
      <w:r w:rsidR="00223473">
        <w:rPr>
          <w:rFonts w:ascii="Times New Roman" w:hAnsi="Times New Roman" w:cs="Times New Roman"/>
          <w:sz w:val="24"/>
          <w:szCs w:val="24"/>
          <w:lang w:val="en-GB"/>
        </w:rPr>
        <w:fldChar w:fldCharType="separate"/>
      </w:r>
      <w:r w:rsidR="008D518D" w:rsidRPr="008D518D">
        <w:rPr>
          <w:rFonts w:ascii="Times New Roman" w:hAnsi="Times New Roman" w:cs="Times New Roman"/>
          <w:noProof/>
          <w:sz w:val="24"/>
          <w:szCs w:val="24"/>
          <w:lang w:val="en-GB"/>
        </w:rPr>
        <w:t>[46]</w:t>
      </w:r>
      <w:r w:rsidR="00223473">
        <w:rPr>
          <w:rFonts w:ascii="Times New Roman" w:hAnsi="Times New Roman" w:cs="Times New Roman"/>
          <w:sz w:val="24"/>
          <w:szCs w:val="24"/>
          <w:lang w:val="en-GB"/>
        </w:rPr>
        <w:fldChar w:fldCharType="end"/>
      </w:r>
      <w:r w:rsidR="2100169C" w:rsidRPr="00E11754">
        <w:rPr>
          <w:rFonts w:ascii="Times New Roman" w:eastAsia="Times New Roman" w:hAnsi="Times New Roman" w:cs="Times New Roman"/>
          <w:color w:val="203864"/>
          <w:sz w:val="24"/>
          <w:szCs w:val="24"/>
          <w:lang w:val="en-GB"/>
        </w:rPr>
        <w:t xml:space="preserve">. </w:t>
      </w:r>
      <w:r w:rsidR="2100169C" w:rsidRPr="00E11754">
        <w:rPr>
          <w:rFonts w:ascii="Times New Roman" w:eastAsia="Times New Roman" w:hAnsi="Times New Roman" w:cs="Times New Roman"/>
          <w:sz w:val="24"/>
          <w:szCs w:val="24"/>
          <w:lang w:eastAsia="pl-PL"/>
        </w:rPr>
        <w:t xml:space="preserve">Wszystkie </w:t>
      </w:r>
      <w:r w:rsidR="5997071B" w:rsidRPr="5997071B">
        <w:rPr>
          <w:rFonts w:ascii="Times New Roman" w:eastAsia="Times New Roman" w:hAnsi="Times New Roman" w:cs="Times New Roman"/>
          <w:sz w:val="24"/>
          <w:szCs w:val="24"/>
          <w:lang w:eastAsia="pl-PL"/>
        </w:rPr>
        <w:t>wymagane etapy</w:t>
      </w:r>
      <w:r w:rsidR="18D94345" w:rsidRPr="00E11754">
        <w:rPr>
          <w:rFonts w:ascii="Times New Roman" w:eastAsia="Times New Roman" w:hAnsi="Times New Roman" w:cs="Times New Roman"/>
          <w:sz w:val="24"/>
          <w:szCs w:val="24"/>
          <w:lang w:eastAsia="pl-PL"/>
        </w:rPr>
        <w:t xml:space="preserve"> walidacyjne</w:t>
      </w:r>
      <w:r w:rsidR="2100169C" w:rsidRPr="00E11754">
        <w:rPr>
          <w:rFonts w:ascii="Times New Roman" w:eastAsia="Times New Roman" w:hAnsi="Times New Roman" w:cs="Times New Roman"/>
          <w:sz w:val="24"/>
          <w:szCs w:val="24"/>
          <w:lang w:eastAsia="pl-PL"/>
        </w:rPr>
        <w:t xml:space="preserve"> były prowadzone w trakcie realizacji pracy doktorskiej</w:t>
      </w:r>
      <w:r w:rsidR="7E195206" w:rsidRPr="7E195206">
        <w:rPr>
          <w:rFonts w:ascii="Times New Roman" w:eastAsia="Times New Roman" w:hAnsi="Times New Roman" w:cs="Times New Roman"/>
          <w:sz w:val="24"/>
          <w:szCs w:val="24"/>
          <w:lang w:eastAsia="pl-PL"/>
        </w:rPr>
        <w:t xml:space="preserve">. </w:t>
      </w:r>
    </w:p>
    <w:p w14:paraId="7355DECB" w14:textId="042EA654" w:rsidR="2BA7FFDF" w:rsidRPr="00E11754" w:rsidRDefault="3998842B" w:rsidP="004265B2">
      <w:pPr>
        <w:pStyle w:val="Akapitzlist"/>
        <w:spacing w:after="0" w:line="360" w:lineRule="auto"/>
        <w:ind w:left="0" w:firstLine="708"/>
        <w:jc w:val="both"/>
        <w:rPr>
          <w:rFonts w:ascii="Times New Roman" w:hAnsi="Times New Roman" w:cs="Times New Roman"/>
          <w:sz w:val="24"/>
          <w:szCs w:val="24"/>
        </w:rPr>
        <w:sectPr w:rsidR="2BA7FFDF" w:rsidRPr="00E11754" w:rsidSect="000D6A5E">
          <w:pgSz w:w="11906" w:h="16838"/>
          <w:pgMar w:top="1418" w:right="1134" w:bottom="1418" w:left="1985" w:header="709" w:footer="709" w:gutter="0"/>
          <w:cols w:space="708"/>
          <w:docGrid w:linePitch="360"/>
        </w:sectPr>
      </w:pPr>
      <w:r w:rsidRPr="3998842B">
        <w:rPr>
          <w:rFonts w:ascii="Times New Roman" w:eastAsia="Times New Roman" w:hAnsi="Times New Roman" w:cs="Times New Roman"/>
          <w:sz w:val="24"/>
          <w:szCs w:val="24"/>
          <w:lang w:eastAsia="pl-PL"/>
        </w:rPr>
        <w:t xml:space="preserve"> W ramach opracowania nowych metod chromatograficznych </w:t>
      </w:r>
      <w:r w:rsidRPr="3998842B">
        <w:rPr>
          <w:rFonts w:ascii="Times New Roman" w:hAnsi="Times New Roman" w:cs="Times New Roman"/>
          <w:sz w:val="24"/>
          <w:szCs w:val="24"/>
        </w:rPr>
        <w:t xml:space="preserve">do określania stężeń wybranych leków cytostatycznych w materiale biologicznym do potencjalnych zastosowań w TDM bądź innych aplikacji w obszarze badań klinicznych, farmakokinetycznych czy </w:t>
      </w:r>
      <w:proofErr w:type="spellStart"/>
      <w:r w:rsidRPr="3998842B">
        <w:rPr>
          <w:rFonts w:ascii="Times New Roman" w:hAnsi="Times New Roman" w:cs="Times New Roman"/>
          <w:sz w:val="24"/>
          <w:szCs w:val="24"/>
        </w:rPr>
        <w:t>farmakodynamiczych</w:t>
      </w:r>
      <w:proofErr w:type="spellEnd"/>
      <w:r w:rsidRPr="3998842B">
        <w:rPr>
          <w:rFonts w:ascii="Times New Roman" w:hAnsi="Times New Roman" w:cs="Times New Roman"/>
          <w:sz w:val="24"/>
          <w:szCs w:val="24"/>
        </w:rPr>
        <w:t xml:space="preserve"> jako </w:t>
      </w:r>
      <w:proofErr w:type="spellStart"/>
      <w:r w:rsidRPr="3998842B">
        <w:rPr>
          <w:rFonts w:ascii="Times New Roman" w:hAnsi="Times New Roman" w:cs="Times New Roman"/>
          <w:sz w:val="24"/>
          <w:szCs w:val="24"/>
        </w:rPr>
        <w:t>anality</w:t>
      </w:r>
      <w:proofErr w:type="spellEnd"/>
      <w:r w:rsidRPr="3998842B">
        <w:rPr>
          <w:rFonts w:ascii="Times New Roman" w:hAnsi="Times New Roman" w:cs="Times New Roman"/>
          <w:sz w:val="24"/>
          <w:szCs w:val="24"/>
        </w:rPr>
        <w:t xml:space="preserve"> wytypowano cytostatyki należące do grupy </w:t>
      </w:r>
      <w:proofErr w:type="spellStart"/>
      <w:r w:rsidRPr="3998842B">
        <w:rPr>
          <w:rFonts w:ascii="Times New Roman" w:hAnsi="Times New Roman" w:cs="Times New Roman"/>
          <w:sz w:val="24"/>
          <w:szCs w:val="24"/>
        </w:rPr>
        <w:t>antracyklin</w:t>
      </w:r>
      <w:proofErr w:type="spellEnd"/>
      <w:r w:rsidRPr="3998842B">
        <w:rPr>
          <w:rFonts w:ascii="Times New Roman" w:hAnsi="Times New Roman" w:cs="Times New Roman"/>
          <w:sz w:val="24"/>
          <w:szCs w:val="24"/>
        </w:rPr>
        <w:t xml:space="preserve"> </w:t>
      </w:r>
      <w:r w:rsidRPr="3998842B">
        <w:rPr>
          <w:rFonts w:ascii="Times New Roman" w:hAnsi="Times New Roman" w:cs="Times New Roman"/>
          <w:sz w:val="24"/>
          <w:szCs w:val="24"/>
        </w:rPr>
        <w:lastRenderedPageBreak/>
        <w:t>(</w:t>
      </w:r>
      <w:proofErr w:type="spellStart"/>
      <w:r w:rsidRPr="3998842B">
        <w:rPr>
          <w:rFonts w:ascii="Times New Roman" w:hAnsi="Times New Roman" w:cs="Times New Roman"/>
          <w:sz w:val="24"/>
          <w:szCs w:val="24"/>
        </w:rPr>
        <w:t>doksorubicyna</w:t>
      </w:r>
      <w:proofErr w:type="spellEnd"/>
      <w:r w:rsidRPr="3998842B">
        <w:rPr>
          <w:rFonts w:ascii="Times New Roman" w:hAnsi="Times New Roman" w:cs="Times New Roman"/>
          <w:sz w:val="24"/>
          <w:szCs w:val="24"/>
        </w:rPr>
        <w:t xml:space="preserve">, </w:t>
      </w:r>
      <w:proofErr w:type="spellStart"/>
      <w:r w:rsidRPr="3998842B">
        <w:rPr>
          <w:rFonts w:ascii="Times New Roman" w:hAnsi="Times New Roman" w:cs="Times New Roman"/>
          <w:sz w:val="24"/>
          <w:szCs w:val="24"/>
        </w:rPr>
        <w:t>epirubicyna</w:t>
      </w:r>
      <w:proofErr w:type="spellEnd"/>
      <w:r w:rsidRPr="3998842B">
        <w:rPr>
          <w:rFonts w:ascii="Times New Roman" w:hAnsi="Times New Roman" w:cs="Times New Roman"/>
          <w:sz w:val="24"/>
          <w:szCs w:val="24"/>
        </w:rPr>
        <w:t xml:space="preserve"> i </w:t>
      </w:r>
      <w:proofErr w:type="spellStart"/>
      <w:r w:rsidRPr="3998842B">
        <w:rPr>
          <w:rFonts w:ascii="Times New Roman" w:hAnsi="Times New Roman" w:cs="Times New Roman"/>
          <w:sz w:val="24"/>
          <w:szCs w:val="24"/>
        </w:rPr>
        <w:t>idarubicyna</w:t>
      </w:r>
      <w:proofErr w:type="spellEnd"/>
      <w:r w:rsidRPr="3998842B">
        <w:rPr>
          <w:rFonts w:ascii="Times New Roman" w:hAnsi="Times New Roman" w:cs="Times New Roman"/>
          <w:sz w:val="24"/>
          <w:szCs w:val="24"/>
        </w:rPr>
        <w:t xml:space="preserve">) oraz </w:t>
      </w:r>
      <w:proofErr w:type="spellStart"/>
      <w:r w:rsidRPr="3998842B">
        <w:rPr>
          <w:rFonts w:ascii="Times New Roman" w:hAnsi="Times New Roman" w:cs="Times New Roman"/>
          <w:sz w:val="24"/>
          <w:szCs w:val="24"/>
        </w:rPr>
        <w:t>taksanów</w:t>
      </w:r>
      <w:proofErr w:type="spellEnd"/>
      <w:r w:rsidRPr="3998842B">
        <w:rPr>
          <w:rFonts w:ascii="Times New Roman" w:hAnsi="Times New Roman" w:cs="Times New Roman"/>
          <w:sz w:val="24"/>
          <w:szCs w:val="24"/>
        </w:rPr>
        <w:t xml:space="preserve"> (</w:t>
      </w:r>
      <w:proofErr w:type="spellStart"/>
      <w:r w:rsidRPr="3998842B">
        <w:rPr>
          <w:rFonts w:ascii="Times New Roman" w:hAnsi="Times New Roman" w:cs="Times New Roman"/>
          <w:sz w:val="24"/>
          <w:szCs w:val="24"/>
        </w:rPr>
        <w:t>docetaksel</w:t>
      </w:r>
      <w:proofErr w:type="spellEnd"/>
      <w:r w:rsidRPr="3998842B">
        <w:rPr>
          <w:rFonts w:ascii="Times New Roman" w:hAnsi="Times New Roman" w:cs="Times New Roman"/>
          <w:sz w:val="24"/>
          <w:szCs w:val="24"/>
        </w:rPr>
        <w:t xml:space="preserve">). Wybór wymienionych powyżej </w:t>
      </w:r>
      <w:proofErr w:type="spellStart"/>
      <w:r w:rsidRPr="3998842B">
        <w:rPr>
          <w:rFonts w:ascii="Times New Roman" w:hAnsi="Times New Roman" w:cs="Times New Roman"/>
          <w:sz w:val="24"/>
          <w:szCs w:val="24"/>
        </w:rPr>
        <w:t>cytostatyków</w:t>
      </w:r>
      <w:proofErr w:type="spellEnd"/>
      <w:r w:rsidRPr="3998842B">
        <w:rPr>
          <w:rFonts w:ascii="Times New Roman" w:hAnsi="Times New Roman" w:cs="Times New Roman"/>
          <w:sz w:val="24"/>
          <w:szCs w:val="24"/>
        </w:rPr>
        <w:t xml:space="preserve"> do badań był związany z tym, że pomimo szeregu już opublikowanych procedur analitycznych do monitorowania tych substancji przeciwnowotworowych w matrycach biologicznych, ciągle istnieje potrzeba opracowania nowych, alternatywnych narzędzi analitycznych o wyższym potencjale aplikacyjnych niż dotychczas dostępne w laboratoriach przyszpitalnych, farmaceutycznych czy klinicznych. Opracowanie nowych procedur chromatograficznych, a następnie wprowadzenie do laboratoriów może ułatwić rozpowszechnienie praktyki TDM w przypadku leczenia pacjentów onkologicznych. Ponadto, wyznaczone profile stężeń wybranych </w:t>
      </w:r>
      <w:proofErr w:type="spellStart"/>
      <w:r w:rsidRPr="3998842B">
        <w:rPr>
          <w:rFonts w:ascii="Times New Roman" w:hAnsi="Times New Roman" w:cs="Times New Roman"/>
          <w:sz w:val="24"/>
          <w:szCs w:val="24"/>
        </w:rPr>
        <w:t>cytostatyków</w:t>
      </w:r>
      <w:proofErr w:type="spellEnd"/>
      <w:r w:rsidRPr="3998842B">
        <w:rPr>
          <w:rFonts w:ascii="Times New Roman" w:hAnsi="Times New Roman" w:cs="Times New Roman"/>
          <w:sz w:val="24"/>
          <w:szCs w:val="24"/>
        </w:rPr>
        <w:t xml:space="preserve"> w rzeczywistych próbkach pobranych od pacjentów poddanych chemioterapii może pogłębić naszą wiedzę w zakresie ich efektywności terapeutycznej oraz działań niepożądanych, co może przełożyć się na poprawę jakości życia i rokowań dla pacjentów, a także bezpieczeństwo ich stosowania w praktyce klinicznej.   </w:t>
      </w:r>
    </w:p>
    <w:p w14:paraId="5802385F" w14:textId="1956EA45" w:rsidR="00412BAD" w:rsidRPr="00E11754" w:rsidRDefault="00FE1B13" w:rsidP="000D6A5E">
      <w:pPr>
        <w:pStyle w:val="NAGWEK10"/>
        <w:rPr>
          <w:sz w:val="24"/>
          <w:szCs w:val="24"/>
        </w:rPr>
      </w:pPr>
      <w:bookmarkStart w:id="17" w:name="_Toc137702478"/>
      <w:r w:rsidRPr="00E11754">
        <w:rPr>
          <w:sz w:val="24"/>
          <w:szCs w:val="24"/>
        </w:rPr>
        <w:lastRenderedPageBreak/>
        <w:t>Cel pracy</w:t>
      </w:r>
      <w:bookmarkEnd w:id="17"/>
    </w:p>
    <w:p w14:paraId="5BED3AF3" w14:textId="77777777" w:rsidR="007B2FF4" w:rsidRPr="00E11754" w:rsidRDefault="007B2FF4" w:rsidP="007B2FF4">
      <w:pPr>
        <w:rPr>
          <w:rFonts w:ascii="Times New Roman" w:hAnsi="Times New Roman" w:cs="Times New Roman"/>
          <w:sz w:val="24"/>
          <w:szCs w:val="24"/>
        </w:rPr>
      </w:pPr>
    </w:p>
    <w:p w14:paraId="29FA95E3" w14:textId="5F678412" w:rsidR="002E3968" w:rsidRPr="00E11754" w:rsidRDefault="00527269" w:rsidP="004265B2">
      <w:pPr>
        <w:spacing w:line="360" w:lineRule="auto"/>
        <w:jc w:val="both"/>
        <w:rPr>
          <w:rFonts w:ascii="Times New Roman" w:hAnsi="Times New Roman" w:cs="Times New Roman"/>
          <w:bCs/>
          <w:sz w:val="24"/>
          <w:szCs w:val="24"/>
        </w:rPr>
      </w:pPr>
      <w:r w:rsidRPr="00E11754">
        <w:rPr>
          <w:rFonts w:ascii="Times New Roman" w:hAnsi="Times New Roman" w:cs="Times New Roman"/>
          <w:sz w:val="24"/>
          <w:szCs w:val="24"/>
        </w:rPr>
        <w:tab/>
      </w:r>
      <w:r w:rsidR="002E3968" w:rsidRPr="00E11754">
        <w:rPr>
          <w:rFonts w:ascii="Times New Roman" w:hAnsi="Times New Roman" w:cs="Times New Roman"/>
          <w:sz w:val="24"/>
          <w:szCs w:val="24"/>
        </w:rPr>
        <w:t>Głównym c</w:t>
      </w:r>
      <w:r w:rsidR="00920FF1" w:rsidRPr="00E11754">
        <w:rPr>
          <w:rFonts w:ascii="Times New Roman" w:hAnsi="Times New Roman" w:cs="Times New Roman"/>
          <w:sz w:val="24"/>
          <w:szCs w:val="24"/>
        </w:rPr>
        <w:t>elem pracy był</w:t>
      </w:r>
      <w:r w:rsidR="002E3968" w:rsidRPr="00E11754">
        <w:rPr>
          <w:rFonts w:ascii="Times New Roman" w:hAnsi="Times New Roman" w:cs="Times New Roman"/>
          <w:sz w:val="24"/>
          <w:szCs w:val="24"/>
        </w:rPr>
        <w:t>a o</w:t>
      </w:r>
      <w:r w:rsidR="002E3968" w:rsidRPr="00E11754">
        <w:rPr>
          <w:rFonts w:ascii="Times New Roman" w:hAnsi="Times New Roman" w:cs="Times New Roman"/>
          <w:bCs/>
          <w:sz w:val="24"/>
          <w:szCs w:val="24"/>
        </w:rPr>
        <w:t xml:space="preserve">ptymalizacja metod chromatograficznych jako narzędzi analitycznych do pomiaru stężeń wybranych leków cytostatycznych w materiale biologicznym. </w:t>
      </w:r>
    </w:p>
    <w:p w14:paraId="7B60BC66" w14:textId="39F78B62" w:rsidR="00C570CD" w:rsidRPr="00E11754" w:rsidRDefault="13A8E3F4" w:rsidP="004265B2">
      <w:p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 xml:space="preserve">Aby zrealizować cel tych badań zaplanowano dwa etapy </w:t>
      </w:r>
      <w:r w:rsidR="27C92B60" w:rsidRPr="00E11754">
        <w:rPr>
          <w:rFonts w:ascii="Times New Roman" w:hAnsi="Times New Roman" w:cs="Times New Roman"/>
          <w:sz w:val="24"/>
          <w:szCs w:val="24"/>
        </w:rPr>
        <w:t>realizacji</w:t>
      </w:r>
      <w:r w:rsidRPr="00E11754">
        <w:rPr>
          <w:rFonts w:ascii="Times New Roman" w:hAnsi="Times New Roman" w:cs="Times New Roman"/>
          <w:sz w:val="24"/>
          <w:szCs w:val="24"/>
        </w:rPr>
        <w:t xml:space="preserve">, które </w:t>
      </w:r>
      <w:r w:rsidR="27C92B60" w:rsidRPr="00E11754">
        <w:rPr>
          <w:rFonts w:ascii="Times New Roman" w:hAnsi="Times New Roman" w:cs="Times New Roman"/>
          <w:sz w:val="24"/>
          <w:szCs w:val="24"/>
        </w:rPr>
        <w:t>obejmowały</w:t>
      </w:r>
      <w:r w:rsidRPr="00E11754">
        <w:rPr>
          <w:rFonts w:ascii="Times New Roman" w:hAnsi="Times New Roman" w:cs="Times New Roman"/>
          <w:sz w:val="24"/>
          <w:szCs w:val="24"/>
        </w:rPr>
        <w:t>:</w:t>
      </w:r>
    </w:p>
    <w:p w14:paraId="51ECF1D7" w14:textId="166B984B" w:rsidR="00743999" w:rsidRPr="00E11754" w:rsidRDefault="3998842B" w:rsidP="004265B2">
      <w:pPr>
        <w:pStyle w:val="Akapitzlist"/>
        <w:numPr>
          <w:ilvl w:val="0"/>
          <w:numId w:val="32"/>
        </w:numPr>
        <w:spacing w:line="360" w:lineRule="auto"/>
        <w:ind w:left="714" w:hanging="357"/>
        <w:jc w:val="both"/>
        <w:rPr>
          <w:rFonts w:ascii="Times New Roman" w:hAnsi="Times New Roman" w:cs="Times New Roman"/>
          <w:sz w:val="24"/>
          <w:szCs w:val="24"/>
        </w:rPr>
      </w:pPr>
      <w:r w:rsidRPr="3998842B">
        <w:rPr>
          <w:rFonts w:ascii="Times New Roman" w:hAnsi="Times New Roman" w:cs="Times New Roman"/>
          <w:sz w:val="24"/>
          <w:szCs w:val="24"/>
        </w:rPr>
        <w:t xml:space="preserve">Opracowania metod oznaczania </w:t>
      </w:r>
      <w:proofErr w:type="spellStart"/>
      <w:r w:rsidRPr="3998842B">
        <w:rPr>
          <w:rFonts w:ascii="Times New Roman" w:hAnsi="Times New Roman" w:cs="Times New Roman"/>
          <w:sz w:val="24"/>
          <w:szCs w:val="24"/>
        </w:rPr>
        <w:t>doksorubicyny</w:t>
      </w:r>
      <w:proofErr w:type="spellEnd"/>
      <w:r w:rsidRPr="3998842B">
        <w:rPr>
          <w:rFonts w:ascii="Times New Roman" w:hAnsi="Times New Roman" w:cs="Times New Roman"/>
          <w:sz w:val="24"/>
          <w:szCs w:val="24"/>
        </w:rPr>
        <w:t xml:space="preserve">, </w:t>
      </w:r>
      <w:proofErr w:type="spellStart"/>
      <w:r w:rsidRPr="3998842B">
        <w:rPr>
          <w:rFonts w:ascii="Times New Roman" w:hAnsi="Times New Roman" w:cs="Times New Roman"/>
          <w:sz w:val="24"/>
          <w:szCs w:val="24"/>
        </w:rPr>
        <w:t>epirubicyny</w:t>
      </w:r>
      <w:proofErr w:type="spellEnd"/>
      <w:r w:rsidRPr="3998842B">
        <w:rPr>
          <w:rFonts w:ascii="Times New Roman" w:hAnsi="Times New Roman" w:cs="Times New Roman"/>
          <w:sz w:val="24"/>
          <w:szCs w:val="24"/>
        </w:rPr>
        <w:t xml:space="preserve"> i </w:t>
      </w:r>
      <w:proofErr w:type="spellStart"/>
      <w:r w:rsidRPr="3998842B">
        <w:rPr>
          <w:rFonts w:ascii="Times New Roman" w:hAnsi="Times New Roman" w:cs="Times New Roman"/>
          <w:sz w:val="24"/>
          <w:szCs w:val="24"/>
        </w:rPr>
        <w:t>idarubicyny</w:t>
      </w:r>
      <w:proofErr w:type="spellEnd"/>
      <w:r w:rsidRPr="3998842B">
        <w:rPr>
          <w:rFonts w:ascii="Times New Roman" w:hAnsi="Times New Roman" w:cs="Times New Roman"/>
          <w:sz w:val="24"/>
          <w:szCs w:val="24"/>
        </w:rPr>
        <w:t xml:space="preserve"> w różnorodnych matrycach biologicznych (mocz i osocze krwi ludzkiej) oraz tkanki zwierzęce w przypadku </w:t>
      </w:r>
      <w:proofErr w:type="spellStart"/>
      <w:r w:rsidRPr="3998842B">
        <w:rPr>
          <w:rFonts w:ascii="Times New Roman" w:hAnsi="Times New Roman" w:cs="Times New Roman"/>
          <w:sz w:val="24"/>
          <w:szCs w:val="24"/>
        </w:rPr>
        <w:t>doksorubicyny</w:t>
      </w:r>
      <w:proofErr w:type="spellEnd"/>
      <w:r w:rsidRPr="3998842B">
        <w:rPr>
          <w:rFonts w:ascii="Times New Roman" w:hAnsi="Times New Roman" w:cs="Times New Roman"/>
          <w:sz w:val="24"/>
          <w:szCs w:val="24"/>
        </w:rPr>
        <w:t xml:space="preserve"> techniką chromatografii cieczowej z detekcją fluorescencyjną (LC-FL). Realizacja tego zadania badawczego wymagała:</w:t>
      </w:r>
    </w:p>
    <w:p w14:paraId="0AC36DCD" w14:textId="0EEFE6A4" w:rsidR="00743999" w:rsidRPr="00F00B5D" w:rsidRDefault="3998842B">
      <w:pPr>
        <w:pStyle w:val="Akapitzlist"/>
        <w:numPr>
          <w:ilvl w:val="0"/>
          <w:numId w:val="1"/>
        </w:numPr>
        <w:spacing w:line="360" w:lineRule="auto"/>
        <w:jc w:val="both"/>
        <w:rPr>
          <w:rFonts w:ascii="Times New Roman" w:hAnsi="Times New Roman" w:cs="Times New Roman"/>
          <w:sz w:val="24"/>
          <w:szCs w:val="24"/>
        </w:rPr>
      </w:pPr>
      <w:r w:rsidRPr="3998842B">
        <w:rPr>
          <w:rFonts w:ascii="Times New Roman" w:hAnsi="Times New Roman" w:cs="Times New Roman"/>
          <w:sz w:val="24"/>
          <w:szCs w:val="24"/>
        </w:rPr>
        <w:t xml:space="preserve">opracowania optymalnych warunków ich separacji chromatograficznych techniką LC-FL, </w:t>
      </w:r>
    </w:p>
    <w:p w14:paraId="550E105B" w14:textId="2957AAA7" w:rsidR="00743999" w:rsidRPr="00F00B5D" w:rsidRDefault="3998842B">
      <w:pPr>
        <w:pStyle w:val="Akapitzlist"/>
        <w:numPr>
          <w:ilvl w:val="0"/>
          <w:numId w:val="1"/>
        </w:numPr>
        <w:spacing w:line="360" w:lineRule="auto"/>
        <w:jc w:val="both"/>
        <w:rPr>
          <w:rFonts w:ascii="Times New Roman" w:hAnsi="Times New Roman" w:cs="Times New Roman"/>
          <w:sz w:val="24"/>
          <w:szCs w:val="24"/>
        </w:rPr>
      </w:pPr>
      <w:r w:rsidRPr="3998842B">
        <w:rPr>
          <w:rFonts w:ascii="Times New Roman" w:hAnsi="Times New Roman" w:cs="Times New Roman"/>
          <w:sz w:val="24"/>
          <w:szCs w:val="24"/>
        </w:rPr>
        <w:t xml:space="preserve">opracowania optymalnych warunków izolacji wymienionych </w:t>
      </w:r>
      <w:proofErr w:type="spellStart"/>
      <w:r w:rsidRPr="3998842B">
        <w:rPr>
          <w:rFonts w:ascii="Times New Roman" w:hAnsi="Times New Roman" w:cs="Times New Roman"/>
          <w:sz w:val="24"/>
          <w:szCs w:val="24"/>
        </w:rPr>
        <w:t>antracyklin</w:t>
      </w:r>
      <w:proofErr w:type="spellEnd"/>
      <w:r w:rsidRPr="3998842B">
        <w:rPr>
          <w:rFonts w:ascii="Times New Roman" w:hAnsi="Times New Roman" w:cs="Times New Roman"/>
          <w:sz w:val="24"/>
          <w:szCs w:val="24"/>
        </w:rPr>
        <w:t xml:space="preserve"> z wybranych matryc biologicznych,</w:t>
      </w:r>
    </w:p>
    <w:p w14:paraId="337A9A8B" w14:textId="7037BB9F" w:rsidR="004978FD" w:rsidRPr="00E11754" w:rsidRDefault="3998842B" w:rsidP="004265B2">
      <w:pPr>
        <w:pStyle w:val="Akapitzlist"/>
        <w:numPr>
          <w:ilvl w:val="0"/>
          <w:numId w:val="1"/>
        </w:numPr>
        <w:spacing w:line="360" w:lineRule="auto"/>
        <w:jc w:val="both"/>
        <w:rPr>
          <w:rFonts w:ascii="Times New Roman" w:hAnsi="Times New Roman" w:cs="Times New Roman"/>
          <w:sz w:val="24"/>
          <w:szCs w:val="24"/>
        </w:rPr>
      </w:pPr>
      <w:r w:rsidRPr="3998842B">
        <w:rPr>
          <w:rFonts w:ascii="Times New Roman" w:hAnsi="Times New Roman" w:cs="Times New Roman"/>
          <w:sz w:val="24"/>
          <w:szCs w:val="24"/>
        </w:rPr>
        <w:t>walidacji opracowanych metod chromatograficznych zgodnie z wymaganiami FDA oraz ICH,</w:t>
      </w:r>
    </w:p>
    <w:p w14:paraId="0E1F477B" w14:textId="2ADF364A" w:rsidR="004978FD" w:rsidRPr="00E11754" w:rsidRDefault="3998842B" w:rsidP="004265B2">
      <w:pPr>
        <w:pStyle w:val="Akapitzlist"/>
        <w:numPr>
          <w:ilvl w:val="0"/>
          <w:numId w:val="1"/>
        </w:numPr>
        <w:spacing w:line="360" w:lineRule="auto"/>
        <w:jc w:val="both"/>
        <w:rPr>
          <w:rFonts w:ascii="Times New Roman" w:hAnsi="Times New Roman" w:cs="Times New Roman"/>
          <w:sz w:val="24"/>
          <w:szCs w:val="24"/>
        </w:rPr>
      </w:pPr>
      <w:r w:rsidRPr="3998842B">
        <w:rPr>
          <w:rFonts w:ascii="Times New Roman" w:hAnsi="Times New Roman" w:cs="Times New Roman"/>
          <w:sz w:val="24"/>
          <w:szCs w:val="24"/>
        </w:rPr>
        <w:t xml:space="preserve">potwierdzenia użyteczności opracowanych metod chromatograficznych w praktyce klinicznej poprzez ich zastosowanie do wyznaczenia profili stężeń wybranych </w:t>
      </w:r>
      <w:proofErr w:type="spellStart"/>
      <w:r w:rsidRPr="3998842B">
        <w:rPr>
          <w:rFonts w:ascii="Times New Roman" w:hAnsi="Times New Roman" w:cs="Times New Roman"/>
          <w:sz w:val="24"/>
          <w:szCs w:val="24"/>
        </w:rPr>
        <w:t>antracyklin</w:t>
      </w:r>
      <w:proofErr w:type="spellEnd"/>
      <w:r w:rsidRPr="3998842B">
        <w:rPr>
          <w:rFonts w:ascii="Times New Roman" w:hAnsi="Times New Roman" w:cs="Times New Roman"/>
          <w:sz w:val="24"/>
          <w:szCs w:val="24"/>
        </w:rPr>
        <w:t xml:space="preserve"> w próbkach osocza i moczu pobranych od pacjentów poddanych leczeniu onkologicznemu, </w:t>
      </w:r>
    </w:p>
    <w:p w14:paraId="31289B26" w14:textId="5EC04848" w:rsidR="004978FD" w:rsidRPr="00E11754" w:rsidRDefault="3998842B" w:rsidP="004265B2">
      <w:pPr>
        <w:pStyle w:val="Akapitzlist"/>
        <w:numPr>
          <w:ilvl w:val="0"/>
          <w:numId w:val="1"/>
        </w:numPr>
        <w:spacing w:line="360" w:lineRule="auto"/>
        <w:jc w:val="both"/>
        <w:rPr>
          <w:rFonts w:ascii="Times New Roman" w:hAnsi="Times New Roman" w:cs="Times New Roman"/>
          <w:sz w:val="24"/>
          <w:szCs w:val="24"/>
        </w:rPr>
      </w:pPr>
      <w:r w:rsidRPr="3998842B">
        <w:rPr>
          <w:rFonts w:ascii="Times New Roman" w:hAnsi="Times New Roman" w:cs="Times New Roman"/>
          <w:sz w:val="24"/>
          <w:szCs w:val="24"/>
        </w:rPr>
        <w:t>odniesienie uzyskanych danych do wcześniej opublikowanych w literaturze w aspekcie efektywności i bezpieczeństwa ich stosowania dla pacjenta i jego otoczenia,</w:t>
      </w:r>
    </w:p>
    <w:p w14:paraId="01F3E80F" w14:textId="70A222E1" w:rsidR="00917561" w:rsidRPr="00E11754" w:rsidRDefault="004978FD" w:rsidP="004265B2">
      <w:pPr>
        <w:pStyle w:val="Akapitzlist"/>
        <w:numPr>
          <w:ilvl w:val="0"/>
          <w:numId w:val="1"/>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 xml:space="preserve">potwierdzenie użyteczności </w:t>
      </w:r>
      <w:r w:rsidR="00917561" w:rsidRPr="00E11754">
        <w:rPr>
          <w:rFonts w:ascii="Times New Roman" w:hAnsi="Times New Roman" w:cs="Times New Roman"/>
          <w:sz w:val="24"/>
          <w:szCs w:val="24"/>
        </w:rPr>
        <w:t xml:space="preserve">opracowanej metody oznaczania </w:t>
      </w:r>
      <w:proofErr w:type="spellStart"/>
      <w:r w:rsidR="00917561" w:rsidRPr="00E11754">
        <w:rPr>
          <w:rFonts w:ascii="Times New Roman" w:hAnsi="Times New Roman" w:cs="Times New Roman"/>
          <w:sz w:val="24"/>
          <w:szCs w:val="24"/>
        </w:rPr>
        <w:t>doksorubicyny</w:t>
      </w:r>
      <w:proofErr w:type="spellEnd"/>
      <w:r w:rsidR="00917561" w:rsidRPr="00E11754">
        <w:rPr>
          <w:rFonts w:ascii="Times New Roman" w:hAnsi="Times New Roman" w:cs="Times New Roman"/>
          <w:sz w:val="24"/>
          <w:szCs w:val="24"/>
        </w:rPr>
        <w:t xml:space="preserve"> w tkankach szczurzych techniką LC-FL do potencjalnych zastosowań w badaniach </w:t>
      </w:r>
      <w:r w:rsidR="00917561" w:rsidRPr="00E11754">
        <w:rPr>
          <w:rFonts w:ascii="Times New Roman" w:eastAsia="Times New Roman" w:hAnsi="Times New Roman" w:cs="Times New Roman"/>
          <w:sz w:val="24"/>
          <w:szCs w:val="24"/>
          <w:bdr w:val="none" w:sz="0" w:space="0" w:color="auto" w:frame="1"/>
          <w:lang w:eastAsia="pl-PL"/>
        </w:rPr>
        <w:t>z udziałem zwierząt laboratoryjnych,</w:t>
      </w:r>
    </w:p>
    <w:p w14:paraId="27176CF7" w14:textId="59BF068A" w:rsidR="00917561" w:rsidRPr="00E11754" w:rsidRDefault="13A8E3F4" w:rsidP="18D94345">
      <w:pPr>
        <w:pStyle w:val="Akapitzlist"/>
        <w:numPr>
          <w:ilvl w:val="0"/>
          <w:numId w:val="40"/>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 xml:space="preserve">Opracowania metody oznaczania </w:t>
      </w:r>
      <w:proofErr w:type="spellStart"/>
      <w:r w:rsidRPr="00E11754">
        <w:rPr>
          <w:rFonts w:ascii="Times New Roman" w:hAnsi="Times New Roman" w:cs="Times New Roman"/>
          <w:sz w:val="24"/>
          <w:szCs w:val="24"/>
        </w:rPr>
        <w:t>docetakselu</w:t>
      </w:r>
      <w:proofErr w:type="spellEnd"/>
      <w:r w:rsidRPr="00E11754">
        <w:rPr>
          <w:rFonts w:ascii="Times New Roman" w:hAnsi="Times New Roman" w:cs="Times New Roman"/>
          <w:sz w:val="24"/>
          <w:szCs w:val="24"/>
        </w:rPr>
        <w:t xml:space="preserve"> w moczu i osoczu krwi ludzkiej techniką LC-MS/MS, co wiązało się </w:t>
      </w:r>
      <w:r w:rsidR="3CA152A5" w:rsidRPr="00E11754">
        <w:rPr>
          <w:rFonts w:ascii="Times New Roman" w:hAnsi="Times New Roman" w:cs="Times New Roman"/>
          <w:sz w:val="24"/>
          <w:szCs w:val="24"/>
        </w:rPr>
        <w:t>z</w:t>
      </w:r>
      <w:r w:rsidRPr="00E11754">
        <w:rPr>
          <w:rFonts w:ascii="Times New Roman" w:hAnsi="Times New Roman" w:cs="Times New Roman"/>
          <w:sz w:val="24"/>
          <w:szCs w:val="24"/>
        </w:rPr>
        <w:t>:</w:t>
      </w:r>
    </w:p>
    <w:p w14:paraId="48BC0C62" w14:textId="68E4BF88" w:rsidR="00917561" w:rsidRPr="00E11754" w:rsidRDefault="430F6539" w:rsidP="7FED27BB">
      <w:pPr>
        <w:pStyle w:val="Akapitzlist"/>
        <w:numPr>
          <w:ilvl w:val="0"/>
          <w:numId w:val="41"/>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opracowaniem</w:t>
      </w:r>
      <w:r w:rsidR="13A8E3F4" w:rsidRPr="00E11754">
        <w:rPr>
          <w:rFonts w:ascii="Times New Roman" w:hAnsi="Times New Roman" w:cs="Times New Roman"/>
          <w:sz w:val="24"/>
          <w:szCs w:val="24"/>
        </w:rPr>
        <w:t xml:space="preserve"> optymalnych warunków separacji chromatograficznych tego </w:t>
      </w:r>
      <w:proofErr w:type="spellStart"/>
      <w:r w:rsidR="13A8E3F4" w:rsidRPr="00E11754">
        <w:rPr>
          <w:rFonts w:ascii="Times New Roman" w:hAnsi="Times New Roman" w:cs="Times New Roman"/>
          <w:sz w:val="24"/>
          <w:szCs w:val="24"/>
        </w:rPr>
        <w:t>analitu</w:t>
      </w:r>
      <w:proofErr w:type="spellEnd"/>
      <w:r w:rsidR="13A8E3F4" w:rsidRPr="00E11754">
        <w:rPr>
          <w:rFonts w:ascii="Times New Roman" w:hAnsi="Times New Roman" w:cs="Times New Roman"/>
          <w:sz w:val="24"/>
          <w:szCs w:val="24"/>
        </w:rPr>
        <w:t xml:space="preserve"> techniką LC-MS/MS,</w:t>
      </w:r>
    </w:p>
    <w:p w14:paraId="7133DE78" w14:textId="7B1AD0AA" w:rsidR="00917561" w:rsidRPr="00E11754" w:rsidRDefault="430F6539" w:rsidP="7FED27BB">
      <w:pPr>
        <w:pStyle w:val="Akapitzlist"/>
        <w:numPr>
          <w:ilvl w:val="0"/>
          <w:numId w:val="41"/>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opracowaniem</w:t>
      </w:r>
      <w:r w:rsidR="13A8E3F4" w:rsidRPr="00E11754">
        <w:rPr>
          <w:rFonts w:ascii="Times New Roman" w:hAnsi="Times New Roman" w:cs="Times New Roman"/>
          <w:sz w:val="24"/>
          <w:szCs w:val="24"/>
        </w:rPr>
        <w:t xml:space="preserve"> optymalnych warunków izolacji </w:t>
      </w:r>
      <w:proofErr w:type="spellStart"/>
      <w:r w:rsidR="13A8E3F4" w:rsidRPr="00E11754">
        <w:rPr>
          <w:rFonts w:ascii="Times New Roman" w:hAnsi="Times New Roman" w:cs="Times New Roman"/>
          <w:sz w:val="24"/>
          <w:szCs w:val="24"/>
        </w:rPr>
        <w:t>docetakselu</w:t>
      </w:r>
      <w:proofErr w:type="spellEnd"/>
      <w:r w:rsidR="13A8E3F4" w:rsidRPr="00E11754">
        <w:rPr>
          <w:rFonts w:ascii="Times New Roman" w:hAnsi="Times New Roman" w:cs="Times New Roman"/>
          <w:sz w:val="24"/>
          <w:szCs w:val="24"/>
        </w:rPr>
        <w:t xml:space="preserve"> ze wspomnianych matryc biologicznych,</w:t>
      </w:r>
    </w:p>
    <w:p w14:paraId="6DEA9DBF" w14:textId="3F5929B5" w:rsidR="00917561" w:rsidRPr="00E11754" w:rsidRDefault="77286447" w:rsidP="7FED27BB">
      <w:pPr>
        <w:pStyle w:val="Akapitzlist"/>
        <w:numPr>
          <w:ilvl w:val="0"/>
          <w:numId w:val="41"/>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lastRenderedPageBreak/>
        <w:t>walidacją</w:t>
      </w:r>
      <w:r w:rsidR="13A8E3F4" w:rsidRPr="00E11754">
        <w:rPr>
          <w:rFonts w:ascii="Times New Roman" w:hAnsi="Times New Roman" w:cs="Times New Roman"/>
          <w:sz w:val="24"/>
          <w:szCs w:val="24"/>
        </w:rPr>
        <w:t xml:space="preserve"> opracowanej metod chromatograficznej zgodnie z wymaganiami FDA oraz ICH,</w:t>
      </w:r>
    </w:p>
    <w:p w14:paraId="5DD9E865" w14:textId="24CA1BC7" w:rsidR="00BF2035" w:rsidRPr="00E11754" w:rsidRDefault="13A8E3F4" w:rsidP="7FED27BB">
      <w:pPr>
        <w:pStyle w:val="Akapitzlist"/>
        <w:numPr>
          <w:ilvl w:val="0"/>
          <w:numId w:val="41"/>
        </w:numPr>
        <w:spacing w:before="120" w:after="200" w:line="360" w:lineRule="auto"/>
        <w:jc w:val="both"/>
        <w:rPr>
          <w:rFonts w:ascii="Times New Roman" w:hAnsi="Times New Roman" w:cs="Times New Roman"/>
          <w:sz w:val="24"/>
          <w:szCs w:val="24"/>
        </w:rPr>
        <w:sectPr w:rsidR="00BF2035" w:rsidRPr="00E11754" w:rsidSect="00FF3370">
          <w:pgSz w:w="11906" w:h="16838"/>
          <w:pgMar w:top="1418" w:right="1134" w:bottom="1418" w:left="1985" w:header="709" w:footer="709" w:gutter="0"/>
          <w:cols w:space="708"/>
          <w:docGrid w:linePitch="360"/>
        </w:sectPr>
      </w:pPr>
      <w:r w:rsidRPr="00E11754">
        <w:rPr>
          <w:rFonts w:ascii="Times New Roman" w:hAnsi="Times New Roman" w:cs="Times New Roman"/>
          <w:sz w:val="24"/>
          <w:szCs w:val="24"/>
        </w:rPr>
        <w:t xml:space="preserve">potwierdzeniem użyteczności opracowanej metod LC-MS/MS w praktyce klinicznej poprzez jej zastosowanie do wyznaczenia profili stężeń </w:t>
      </w:r>
      <w:proofErr w:type="spellStart"/>
      <w:r w:rsidRPr="00E11754">
        <w:rPr>
          <w:rFonts w:ascii="Times New Roman" w:hAnsi="Times New Roman" w:cs="Times New Roman"/>
          <w:sz w:val="24"/>
          <w:szCs w:val="24"/>
        </w:rPr>
        <w:t>docetakselu</w:t>
      </w:r>
      <w:proofErr w:type="spellEnd"/>
      <w:r w:rsidRPr="00E11754">
        <w:rPr>
          <w:rFonts w:ascii="Times New Roman" w:hAnsi="Times New Roman" w:cs="Times New Roman"/>
          <w:sz w:val="24"/>
          <w:szCs w:val="24"/>
        </w:rPr>
        <w:t xml:space="preserve"> w próbkach osocza i moczu pobranych od pacjenta poddanego leczeniu onkologicznemu</w:t>
      </w:r>
      <w:r w:rsidR="5A1DC5BE" w:rsidRPr="00E11754">
        <w:rPr>
          <w:rFonts w:ascii="Times New Roman" w:hAnsi="Times New Roman" w:cs="Times New Roman"/>
          <w:sz w:val="24"/>
          <w:szCs w:val="24"/>
        </w:rPr>
        <w:t>.</w:t>
      </w:r>
    </w:p>
    <w:p w14:paraId="249359CB" w14:textId="0E53B61D" w:rsidR="00FE1B13" w:rsidRPr="00C31598" w:rsidRDefault="00FE1B13" w:rsidP="001D4A5C">
      <w:pPr>
        <w:pStyle w:val="Nagwek1"/>
        <w:numPr>
          <w:ilvl w:val="0"/>
          <w:numId w:val="13"/>
        </w:numPr>
        <w:spacing w:line="360" w:lineRule="auto"/>
        <w:rPr>
          <w:rFonts w:ascii="Times New Roman" w:hAnsi="Times New Roman" w:cs="Times New Roman"/>
          <w:b/>
          <w:bCs/>
          <w:sz w:val="28"/>
          <w:szCs w:val="28"/>
        </w:rPr>
      </w:pPr>
      <w:bookmarkStart w:id="18" w:name="_Toc137702479"/>
      <w:r w:rsidRPr="00C31598">
        <w:rPr>
          <w:rFonts w:ascii="Times New Roman" w:hAnsi="Times New Roman" w:cs="Times New Roman"/>
          <w:b/>
          <w:bCs/>
          <w:sz w:val="28"/>
          <w:szCs w:val="28"/>
        </w:rPr>
        <w:lastRenderedPageBreak/>
        <w:t>Omówienie publikacji</w:t>
      </w:r>
      <w:bookmarkEnd w:id="18"/>
    </w:p>
    <w:p w14:paraId="0D33B034" w14:textId="2E1A1FD7" w:rsidR="00584670" w:rsidRPr="00E11754" w:rsidRDefault="610AA1E2" w:rsidP="73AF9BC6">
      <w:pPr>
        <w:spacing w:line="360" w:lineRule="auto"/>
        <w:ind w:firstLine="708"/>
        <w:jc w:val="both"/>
        <w:rPr>
          <w:rFonts w:ascii="Times New Roman" w:hAnsi="Times New Roman" w:cs="Times New Roman"/>
          <w:sz w:val="24"/>
          <w:szCs w:val="24"/>
        </w:rPr>
      </w:pPr>
      <w:r w:rsidRPr="610AA1E2">
        <w:rPr>
          <w:rFonts w:ascii="Times New Roman" w:hAnsi="Times New Roman" w:cs="Times New Roman"/>
          <w:sz w:val="24"/>
          <w:szCs w:val="24"/>
        </w:rPr>
        <w:t>Praca doktorska pod tytułem „</w:t>
      </w:r>
      <w:r w:rsidRPr="610AA1E2">
        <w:rPr>
          <w:rFonts w:ascii="Times New Roman" w:hAnsi="Times New Roman" w:cs="Times New Roman"/>
          <w:i/>
          <w:iCs/>
          <w:sz w:val="24"/>
          <w:szCs w:val="24"/>
        </w:rPr>
        <w:t>Optymalizacja metod chromatograficznych jako narzędzi analitycznych do pomiaru stężeń wybranych leków cytostatycznych w materiale biologicznym</w:t>
      </w:r>
      <w:r w:rsidRPr="610AA1E2">
        <w:rPr>
          <w:rFonts w:ascii="Times New Roman" w:hAnsi="Times New Roman" w:cs="Times New Roman"/>
          <w:sz w:val="24"/>
          <w:szCs w:val="24"/>
        </w:rPr>
        <w:t xml:space="preserve">” stanowi cykl pięciu publikacji opublikowanych w zagranicznych czasopismach naukowych z listy JCR w latach 2018-2023. W publikacjach nr 1-3 przedstawiono opracowane metody chromatograficzne oznaczania </w:t>
      </w:r>
      <w:proofErr w:type="spellStart"/>
      <w:r w:rsidRPr="610AA1E2">
        <w:rPr>
          <w:rFonts w:ascii="Times New Roman" w:hAnsi="Times New Roman" w:cs="Times New Roman"/>
          <w:sz w:val="24"/>
          <w:szCs w:val="24"/>
        </w:rPr>
        <w:t>antracyklin</w:t>
      </w:r>
      <w:proofErr w:type="spellEnd"/>
      <w:r w:rsidRPr="610AA1E2">
        <w:rPr>
          <w:rFonts w:ascii="Times New Roman" w:hAnsi="Times New Roman" w:cs="Times New Roman"/>
          <w:sz w:val="24"/>
          <w:szCs w:val="24"/>
        </w:rPr>
        <w:t xml:space="preserve"> (</w:t>
      </w:r>
      <w:proofErr w:type="spellStart"/>
      <w:r w:rsidRPr="610AA1E2">
        <w:rPr>
          <w:rFonts w:ascii="Times New Roman" w:hAnsi="Times New Roman" w:cs="Times New Roman"/>
          <w:sz w:val="24"/>
          <w:szCs w:val="24"/>
        </w:rPr>
        <w:t>doksorubicyny</w:t>
      </w:r>
      <w:proofErr w:type="spellEnd"/>
      <w:r w:rsidRPr="610AA1E2">
        <w:rPr>
          <w:rFonts w:ascii="Times New Roman" w:hAnsi="Times New Roman" w:cs="Times New Roman"/>
          <w:sz w:val="24"/>
          <w:szCs w:val="24"/>
        </w:rPr>
        <w:t xml:space="preserve">, </w:t>
      </w:r>
      <w:proofErr w:type="spellStart"/>
      <w:r w:rsidRPr="610AA1E2">
        <w:rPr>
          <w:rFonts w:ascii="Times New Roman" w:hAnsi="Times New Roman" w:cs="Times New Roman"/>
          <w:sz w:val="24"/>
          <w:szCs w:val="24"/>
        </w:rPr>
        <w:t>epirubicyny</w:t>
      </w:r>
      <w:proofErr w:type="spellEnd"/>
      <w:r w:rsidRPr="610AA1E2">
        <w:rPr>
          <w:rFonts w:ascii="Times New Roman" w:hAnsi="Times New Roman" w:cs="Times New Roman"/>
          <w:sz w:val="24"/>
          <w:szCs w:val="24"/>
        </w:rPr>
        <w:t xml:space="preserve"> i </w:t>
      </w:r>
      <w:proofErr w:type="spellStart"/>
      <w:r w:rsidRPr="610AA1E2">
        <w:rPr>
          <w:rFonts w:ascii="Times New Roman" w:hAnsi="Times New Roman" w:cs="Times New Roman"/>
          <w:sz w:val="24"/>
          <w:szCs w:val="24"/>
        </w:rPr>
        <w:t>idarubicyny</w:t>
      </w:r>
      <w:proofErr w:type="spellEnd"/>
      <w:r w:rsidRPr="610AA1E2">
        <w:rPr>
          <w:rFonts w:ascii="Times New Roman" w:hAnsi="Times New Roman" w:cs="Times New Roman"/>
          <w:sz w:val="24"/>
          <w:szCs w:val="24"/>
        </w:rPr>
        <w:t xml:space="preserve">)  w ludzkim osoczu oraz moczu techniką LC-FL, natomiast w publikacji nr 4 opisano rozszerzenie opracowanej metody, którą przedstawiono w publikacji nr 1, do oznaczania </w:t>
      </w:r>
      <w:proofErr w:type="spellStart"/>
      <w:r w:rsidRPr="610AA1E2">
        <w:rPr>
          <w:rFonts w:ascii="Times New Roman" w:hAnsi="Times New Roman" w:cs="Times New Roman"/>
          <w:sz w:val="24"/>
          <w:szCs w:val="24"/>
        </w:rPr>
        <w:t>doksorubicyny</w:t>
      </w:r>
      <w:proofErr w:type="spellEnd"/>
      <w:r w:rsidRPr="610AA1E2">
        <w:rPr>
          <w:rFonts w:ascii="Times New Roman" w:hAnsi="Times New Roman" w:cs="Times New Roman"/>
          <w:sz w:val="24"/>
          <w:szCs w:val="24"/>
        </w:rPr>
        <w:t xml:space="preserve"> w tkankach zwierzęcych. W przypadku metod LC-FL do oznaczania wyżej wymienionych </w:t>
      </w:r>
      <w:proofErr w:type="spellStart"/>
      <w:r w:rsidRPr="610AA1E2">
        <w:rPr>
          <w:rFonts w:ascii="Times New Roman" w:hAnsi="Times New Roman" w:cs="Times New Roman"/>
          <w:sz w:val="24"/>
          <w:szCs w:val="24"/>
        </w:rPr>
        <w:t>antracyklin</w:t>
      </w:r>
      <w:proofErr w:type="spellEnd"/>
      <w:r w:rsidRPr="610AA1E2">
        <w:rPr>
          <w:rFonts w:ascii="Times New Roman" w:hAnsi="Times New Roman" w:cs="Times New Roman"/>
          <w:sz w:val="24"/>
          <w:szCs w:val="24"/>
        </w:rPr>
        <w:t xml:space="preserve">, zdecydowano się zaproponować niezależne protokoły analityczne dla każdego leku z uwagi na możliwość maksymalnego dostosowania do jego charakteru fizykochemicznego warunków ekstrakcji i separacji danego </w:t>
      </w:r>
      <w:proofErr w:type="spellStart"/>
      <w:r w:rsidRPr="610AA1E2">
        <w:rPr>
          <w:rFonts w:ascii="Times New Roman" w:hAnsi="Times New Roman" w:cs="Times New Roman"/>
          <w:sz w:val="24"/>
          <w:szCs w:val="24"/>
        </w:rPr>
        <w:t>analitu</w:t>
      </w:r>
      <w:proofErr w:type="spellEnd"/>
      <w:r w:rsidRPr="610AA1E2">
        <w:rPr>
          <w:rFonts w:ascii="Times New Roman" w:hAnsi="Times New Roman" w:cs="Times New Roman"/>
          <w:sz w:val="24"/>
          <w:szCs w:val="24"/>
        </w:rPr>
        <w:t xml:space="preserve">. Takie podejście umożliwiało także dostosowania zakresu stężeń, w których dana metoda była walidowana, do wymagań dotyczących potencjalnych aplikacji klinicznych. To jest bowiem bardzo istotne, aby dostosować zakres liniowości metody do spodziewanych poziomów stężeń substancji czynnej u pacjenta/ów po podaniu określonej dawki leku zależnie od postaci, w jakiej ten lek był aplikowany. Takie podejście było także podyktowane tym, iż jak wspomniano w rozdziale 1.4.1, </w:t>
      </w:r>
      <w:proofErr w:type="spellStart"/>
      <w:r w:rsidRPr="610AA1E2">
        <w:rPr>
          <w:rFonts w:ascii="Times New Roman" w:hAnsi="Times New Roman" w:cs="Times New Roman"/>
          <w:sz w:val="24"/>
          <w:szCs w:val="24"/>
        </w:rPr>
        <w:t>antracykliny</w:t>
      </w:r>
      <w:proofErr w:type="spellEnd"/>
      <w:r w:rsidRPr="610AA1E2">
        <w:rPr>
          <w:rFonts w:ascii="Times New Roman" w:hAnsi="Times New Roman" w:cs="Times New Roman"/>
          <w:sz w:val="24"/>
          <w:szCs w:val="24"/>
        </w:rPr>
        <w:t xml:space="preserve"> mogą być stosowane w </w:t>
      </w:r>
      <w:proofErr w:type="spellStart"/>
      <w:r w:rsidRPr="610AA1E2">
        <w:rPr>
          <w:rFonts w:ascii="Times New Roman" w:hAnsi="Times New Roman" w:cs="Times New Roman"/>
          <w:sz w:val="24"/>
          <w:szCs w:val="24"/>
        </w:rPr>
        <w:t>monoterapii</w:t>
      </w:r>
      <w:proofErr w:type="spellEnd"/>
      <w:r w:rsidRPr="610AA1E2">
        <w:rPr>
          <w:rFonts w:ascii="Times New Roman" w:hAnsi="Times New Roman" w:cs="Times New Roman"/>
          <w:sz w:val="24"/>
          <w:szCs w:val="24"/>
        </w:rPr>
        <w:t xml:space="preserve"> bądź terapii wielolekowej, ale nigdy nie są podawane jednocześnie, aby minimalizować efekty uboczne ich działania. Nie istnieje zatem konieczność ich jednoczesnego oznaczania w rzeczywistych próbkach pobranych od pacjentów. Ponadto, wytypowano do ich oznaczeń technikę LC-FL z uwagi na naturalne właściwości fluorescencyjne </w:t>
      </w:r>
      <w:proofErr w:type="spellStart"/>
      <w:r w:rsidRPr="610AA1E2">
        <w:rPr>
          <w:rFonts w:ascii="Times New Roman" w:hAnsi="Times New Roman" w:cs="Times New Roman"/>
          <w:sz w:val="24"/>
          <w:szCs w:val="24"/>
        </w:rPr>
        <w:t>antracyklin</w:t>
      </w:r>
      <w:proofErr w:type="spellEnd"/>
      <w:r w:rsidRPr="610AA1E2">
        <w:rPr>
          <w:rFonts w:ascii="Times New Roman" w:hAnsi="Times New Roman" w:cs="Times New Roman"/>
          <w:sz w:val="24"/>
          <w:szCs w:val="24"/>
        </w:rPr>
        <w:t xml:space="preserve">, które to sprawiają, że związki te nie wymagają </w:t>
      </w:r>
      <w:proofErr w:type="spellStart"/>
      <w:r w:rsidRPr="610AA1E2">
        <w:rPr>
          <w:rFonts w:ascii="Times New Roman" w:hAnsi="Times New Roman" w:cs="Times New Roman"/>
          <w:sz w:val="24"/>
          <w:szCs w:val="24"/>
        </w:rPr>
        <w:t>derywatyzacji</w:t>
      </w:r>
      <w:proofErr w:type="spellEnd"/>
      <w:r w:rsidRPr="610AA1E2">
        <w:rPr>
          <w:rFonts w:ascii="Times New Roman" w:hAnsi="Times New Roman" w:cs="Times New Roman"/>
          <w:sz w:val="24"/>
          <w:szCs w:val="24"/>
        </w:rPr>
        <w:t>,</w:t>
      </w:r>
      <w:r w:rsidRPr="610AA1E2">
        <w:rPr>
          <w:rFonts w:ascii="Times New Roman" w:eastAsia="Times New Roman" w:hAnsi="Times New Roman" w:cs="Times New Roman"/>
          <w:sz w:val="24"/>
          <w:szCs w:val="24"/>
        </w:rPr>
        <w:t xml:space="preserve"> a to znacznie uproszcza przebieg procedury przygotowania prób do analizy. Jednocześnie, gwarantuje osiągnięcie znacznie wyższej selektywności oraz czułości w porównaniu do analiz opartych na detektorach UV-VIS. Istotnym czynnikiem jest także to, że detekcja FL jest także konkurencyjna względem MS(MS), gdyż </w:t>
      </w:r>
      <w:proofErr w:type="spellStart"/>
      <w:r w:rsidRPr="610AA1E2">
        <w:rPr>
          <w:rFonts w:ascii="Times New Roman" w:eastAsia="Times New Roman" w:hAnsi="Times New Roman" w:cs="Times New Roman"/>
          <w:sz w:val="24"/>
          <w:szCs w:val="24"/>
        </w:rPr>
        <w:t>umożliwa</w:t>
      </w:r>
      <w:proofErr w:type="spellEnd"/>
      <w:r w:rsidRPr="610AA1E2">
        <w:rPr>
          <w:rFonts w:ascii="Times New Roman" w:eastAsia="Times New Roman" w:hAnsi="Times New Roman" w:cs="Times New Roman"/>
          <w:sz w:val="24"/>
          <w:szCs w:val="24"/>
        </w:rPr>
        <w:t xml:space="preserve"> monitorować niektóre </w:t>
      </w:r>
      <w:proofErr w:type="spellStart"/>
      <w:r w:rsidRPr="610AA1E2">
        <w:rPr>
          <w:rFonts w:ascii="Times New Roman" w:eastAsia="Times New Roman" w:hAnsi="Times New Roman" w:cs="Times New Roman"/>
          <w:sz w:val="24"/>
          <w:szCs w:val="24"/>
        </w:rPr>
        <w:t>anality</w:t>
      </w:r>
      <w:proofErr w:type="spellEnd"/>
      <w:r w:rsidRPr="610AA1E2">
        <w:rPr>
          <w:rFonts w:ascii="Times New Roman" w:eastAsia="Times New Roman" w:hAnsi="Times New Roman" w:cs="Times New Roman"/>
          <w:sz w:val="24"/>
          <w:szCs w:val="24"/>
        </w:rPr>
        <w:t xml:space="preserve"> na porównywalnym poziomie wartości parametrów LOD oraz LOQ. Tym samym, metody LC-FL oferują odpowiednią dokładnością, precyzją i czułością analiz bez ponoszenia wysokich nakładów finansowych na ich przeprowadzenie związanych z zakupem oraz serwisowaniem aparatury LC-MS(MS). Mogą być także stosowane w większości laboratoriów klinicznych i farmaceutycznych, gdyż aparatura LC-FL w porównaniu do LC-MS(MS) jest bardziej dostępna i prostsza w obsłudze i nie wymaga personelu o wysoce specjalistycznym przeszkoleniu.  </w:t>
      </w:r>
      <w:r w:rsidRPr="610AA1E2">
        <w:rPr>
          <w:rFonts w:ascii="Times New Roman" w:hAnsi="Times New Roman" w:cs="Times New Roman"/>
          <w:sz w:val="24"/>
          <w:szCs w:val="24"/>
        </w:rPr>
        <w:t xml:space="preserve"> </w:t>
      </w:r>
    </w:p>
    <w:p w14:paraId="2F0D0957" w14:textId="34EF1B16" w:rsidR="00584670" w:rsidRPr="00E11754" w:rsidRDefault="13A8E3F4" w:rsidP="13A8E3F4">
      <w:pPr>
        <w:spacing w:line="360" w:lineRule="auto"/>
        <w:ind w:firstLine="708"/>
        <w:jc w:val="both"/>
        <w:rPr>
          <w:rFonts w:ascii="Times New Roman" w:hAnsi="Times New Roman" w:cs="Times New Roman"/>
          <w:sz w:val="24"/>
          <w:szCs w:val="24"/>
        </w:rPr>
      </w:pPr>
      <w:r w:rsidRPr="00E11754">
        <w:rPr>
          <w:rFonts w:ascii="Times New Roman" w:hAnsi="Times New Roman" w:cs="Times New Roman"/>
          <w:sz w:val="24"/>
          <w:szCs w:val="24"/>
        </w:rPr>
        <w:lastRenderedPageBreak/>
        <w:t xml:space="preserve">Tematem przewodnim publikacji 5 było opracowanie metody LC-MS/MS do oznaczania </w:t>
      </w:r>
      <w:proofErr w:type="spellStart"/>
      <w:r w:rsidRPr="00E11754">
        <w:rPr>
          <w:rFonts w:ascii="Times New Roman" w:hAnsi="Times New Roman" w:cs="Times New Roman"/>
          <w:sz w:val="24"/>
          <w:szCs w:val="24"/>
        </w:rPr>
        <w:t>docetakselu</w:t>
      </w:r>
      <w:proofErr w:type="spellEnd"/>
      <w:r w:rsidRPr="00E11754">
        <w:rPr>
          <w:rFonts w:ascii="Times New Roman" w:hAnsi="Times New Roman" w:cs="Times New Roman"/>
          <w:sz w:val="24"/>
          <w:szCs w:val="24"/>
        </w:rPr>
        <w:t xml:space="preserve"> w ludzkim osoczu i moczu oraz potwierdzenie jej użyteczności w praktyce klinicznej. W tym przypadku, wybór techniki LC-MS/MS był uwarunkowany wymogami dotyczącymi poziomu stężeń leku, które są osiągane u pacjentów po podaniu tego leku we wlewie dożylnym. Metody chromatograficzne oparte na detekcji UV-VIS nie spełniają kryterium czułości oraz liniowości w zakresach stężeń oznaczanych w rzeczywistych próbkach klinicznych, a </w:t>
      </w:r>
      <w:proofErr w:type="spellStart"/>
      <w:r w:rsidRPr="00E11754">
        <w:rPr>
          <w:rFonts w:ascii="Times New Roman" w:hAnsi="Times New Roman" w:cs="Times New Roman"/>
          <w:sz w:val="24"/>
          <w:szCs w:val="24"/>
        </w:rPr>
        <w:t>docetaksel</w:t>
      </w:r>
      <w:proofErr w:type="spellEnd"/>
      <w:r w:rsidRPr="00E11754">
        <w:rPr>
          <w:rFonts w:ascii="Times New Roman" w:hAnsi="Times New Roman" w:cs="Times New Roman"/>
          <w:sz w:val="24"/>
          <w:szCs w:val="24"/>
        </w:rPr>
        <w:t xml:space="preserve"> nie wykazuje naturalnej fluorescencji, co narzuca konieczność </w:t>
      </w:r>
      <w:proofErr w:type="spellStart"/>
      <w:r w:rsidRPr="00E11754">
        <w:rPr>
          <w:rFonts w:ascii="Times New Roman" w:hAnsi="Times New Roman" w:cs="Times New Roman"/>
          <w:sz w:val="24"/>
          <w:szCs w:val="24"/>
        </w:rPr>
        <w:t>derywatyzacji</w:t>
      </w:r>
      <w:proofErr w:type="spellEnd"/>
      <w:r w:rsidRPr="00E11754">
        <w:rPr>
          <w:rFonts w:ascii="Times New Roman" w:hAnsi="Times New Roman" w:cs="Times New Roman"/>
          <w:sz w:val="24"/>
          <w:szCs w:val="24"/>
        </w:rPr>
        <w:t xml:space="preserve"> tego </w:t>
      </w:r>
      <w:proofErr w:type="spellStart"/>
      <w:r w:rsidRPr="00E11754">
        <w:rPr>
          <w:rFonts w:ascii="Times New Roman" w:hAnsi="Times New Roman" w:cs="Times New Roman"/>
          <w:sz w:val="24"/>
          <w:szCs w:val="24"/>
        </w:rPr>
        <w:t>analitu</w:t>
      </w:r>
      <w:proofErr w:type="spellEnd"/>
      <w:r w:rsidRPr="00E11754">
        <w:rPr>
          <w:rFonts w:ascii="Times New Roman" w:hAnsi="Times New Roman" w:cs="Times New Roman"/>
          <w:sz w:val="24"/>
          <w:szCs w:val="24"/>
        </w:rPr>
        <w:t xml:space="preserve"> przez analizą LC-FL. Tym samym procedura przygotowania prób byłaby skomplikowana i czasochłonna obniżając atrakcyjność tego rozwiązania analitycznego do zastosowań klinicznych. </w:t>
      </w:r>
    </w:p>
    <w:p w14:paraId="517D3BCE" w14:textId="3C4A6708" w:rsidR="00584670" w:rsidRPr="00E11754" w:rsidRDefault="13A8E3F4" w:rsidP="13A8E3F4">
      <w:pPr>
        <w:spacing w:line="360" w:lineRule="auto"/>
        <w:ind w:firstLine="708"/>
        <w:jc w:val="both"/>
        <w:rPr>
          <w:rFonts w:ascii="Times New Roman" w:hAnsi="Times New Roman" w:cs="Times New Roman"/>
          <w:sz w:val="24"/>
          <w:szCs w:val="24"/>
        </w:rPr>
      </w:pPr>
      <w:r w:rsidRPr="00E11754">
        <w:rPr>
          <w:rFonts w:ascii="Times New Roman" w:hAnsi="Times New Roman" w:cs="Times New Roman"/>
          <w:sz w:val="24"/>
          <w:szCs w:val="24"/>
        </w:rPr>
        <w:t xml:space="preserve">Wszystkie badania kliniczne potwierdzające użyteczność opracowanych metod chromatograficznych, które opisane w publikacjach nr 1-3 i 5, były prowadzone we współpracy z </w:t>
      </w:r>
      <w:r w:rsidRPr="00E11754">
        <w:rPr>
          <w:rFonts w:ascii="Times New Roman" w:eastAsia="Times New Roman" w:hAnsi="Times New Roman" w:cs="Times New Roman"/>
          <w:sz w:val="24"/>
          <w:szCs w:val="24"/>
        </w:rPr>
        <w:t xml:space="preserve">Kliniką Pediatrii, Hematologii i Onkologii Uniwersyteckiego Centrum Klinicznego (UCK) przy </w:t>
      </w:r>
      <w:r w:rsidRPr="00E11754">
        <w:rPr>
          <w:rFonts w:ascii="Times New Roman" w:hAnsi="Times New Roman" w:cs="Times New Roman"/>
          <w:sz w:val="24"/>
          <w:szCs w:val="24"/>
        </w:rPr>
        <w:t>Gdańskim Uniwersytecie Medycznym</w:t>
      </w:r>
      <w:r w:rsidRPr="00E11754">
        <w:rPr>
          <w:rFonts w:ascii="Times New Roman" w:eastAsia="Times New Roman" w:hAnsi="Times New Roman" w:cs="Times New Roman"/>
          <w:sz w:val="24"/>
          <w:szCs w:val="24"/>
        </w:rPr>
        <w:t xml:space="preserve"> (</w:t>
      </w:r>
      <w:proofErr w:type="spellStart"/>
      <w:r w:rsidRPr="00E11754">
        <w:rPr>
          <w:rFonts w:ascii="Times New Roman" w:eastAsia="Times New Roman" w:hAnsi="Times New Roman" w:cs="Times New Roman"/>
          <w:sz w:val="24"/>
          <w:szCs w:val="24"/>
        </w:rPr>
        <w:t>GUMed</w:t>
      </w:r>
      <w:proofErr w:type="spellEnd"/>
      <w:r w:rsidRPr="00E11754">
        <w:rPr>
          <w:rFonts w:ascii="Times New Roman" w:eastAsia="Times New Roman" w:hAnsi="Times New Roman" w:cs="Times New Roman"/>
          <w:sz w:val="24"/>
          <w:szCs w:val="24"/>
        </w:rPr>
        <w:t xml:space="preserve">). </w:t>
      </w:r>
      <w:r w:rsidRPr="00E11754">
        <w:rPr>
          <w:rFonts w:ascii="Times New Roman" w:hAnsi="Times New Roman" w:cs="Times New Roman"/>
          <w:sz w:val="24"/>
          <w:szCs w:val="24"/>
        </w:rPr>
        <w:t xml:space="preserve"> </w:t>
      </w:r>
      <w:r w:rsidR="7C022E5E" w:rsidRPr="00E11754">
        <w:rPr>
          <w:rFonts w:ascii="Times New Roman" w:hAnsi="Times New Roman" w:cs="Times New Roman"/>
          <w:sz w:val="24"/>
          <w:szCs w:val="24"/>
        </w:rPr>
        <w:t>Badania te</w:t>
      </w:r>
      <w:r w:rsidRPr="00E11754">
        <w:rPr>
          <w:rFonts w:ascii="Times New Roman" w:hAnsi="Times New Roman" w:cs="Times New Roman"/>
          <w:sz w:val="24"/>
          <w:szCs w:val="24"/>
        </w:rPr>
        <w:t xml:space="preserve"> uzyskały zgodę Niezależnej Komisji Biotycznej ds. Badań Naukowych przy Gdańskim Uniwersytecie Medycznym (NKBBN/232/2015, NKBBN/232/2018 i NKBBN/232-219/2021).</w:t>
      </w:r>
    </w:p>
    <w:p w14:paraId="042EFB82" w14:textId="77777777" w:rsidR="006C6CAA" w:rsidRPr="00E11754" w:rsidRDefault="006C6CAA" w:rsidP="006C6CAA">
      <w:pPr>
        <w:pStyle w:val="Nagwek2"/>
        <w:rPr>
          <w:rFonts w:ascii="Times New Roman" w:hAnsi="Times New Roman" w:cs="Times New Roman"/>
          <w:b/>
          <w:bCs/>
          <w:sz w:val="24"/>
          <w:szCs w:val="24"/>
          <w:lang w:val="en-GB"/>
        </w:rPr>
      </w:pPr>
      <w:bookmarkStart w:id="19" w:name="_Toc135306228"/>
      <w:bookmarkStart w:id="20" w:name="_Toc137702480"/>
      <w:r w:rsidRPr="00E11754">
        <w:rPr>
          <w:rFonts w:ascii="Times New Roman" w:hAnsi="Times New Roman" w:cs="Times New Roman"/>
          <w:b/>
          <w:bCs/>
          <w:sz w:val="24"/>
          <w:szCs w:val="24"/>
          <w:lang w:val="en-GB"/>
        </w:rPr>
        <w:t xml:space="preserve">3.1. </w:t>
      </w:r>
      <w:proofErr w:type="spellStart"/>
      <w:r w:rsidRPr="00E11754">
        <w:rPr>
          <w:rFonts w:ascii="Times New Roman" w:hAnsi="Times New Roman" w:cs="Times New Roman"/>
          <w:b/>
          <w:bCs/>
          <w:sz w:val="24"/>
          <w:szCs w:val="24"/>
          <w:lang w:val="en-GB"/>
        </w:rPr>
        <w:t>Publikacja</w:t>
      </w:r>
      <w:proofErr w:type="spellEnd"/>
      <w:r w:rsidRPr="00E11754">
        <w:rPr>
          <w:rFonts w:ascii="Times New Roman" w:hAnsi="Times New Roman" w:cs="Times New Roman"/>
          <w:b/>
          <w:bCs/>
          <w:sz w:val="24"/>
          <w:szCs w:val="24"/>
          <w:lang w:val="en-GB"/>
        </w:rPr>
        <w:t xml:space="preserve"> 1.</w:t>
      </w:r>
      <w:bookmarkEnd w:id="19"/>
      <w:bookmarkEnd w:id="20"/>
      <w:r w:rsidRPr="00E11754">
        <w:rPr>
          <w:rFonts w:ascii="Times New Roman" w:hAnsi="Times New Roman" w:cs="Times New Roman"/>
          <w:b/>
          <w:bCs/>
          <w:sz w:val="24"/>
          <w:szCs w:val="24"/>
          <w:lang w:val="en-GB"/>
        </w:rPr>
        <w:t xml:space="preserve"> </w:t>
      </w:r>
    </w:p>
    <w:p w14:paraId="19735D08" w14:textId="77777777" w:rsidR="006C6CAA" w:rsidRPr="00E11754" w:rsidRDefault="006C6CAA" w:rsidP="006C6CAA">
      <w:pPr>
        <w:rPr>
          <w:rFonts w:ascii="Times New Roman" w:hAnsi="Times New Roman" w:cs="Times New Roman"/>
          <w:sz w:val="24"/>
          <w:szCs w:val="24"/>
          <w:lang w:val="en-GB"/>
        </w:rPr>
      </w:pPr>
    </w:p>
    <w:p w14:paraId="62DC33A0" w14:textId="060CC684" w:rsidR="5A1DC5BE" w:rsidRPr="00E11754" w:rsidRDefault="2BA7FFDF" w:rsidP="5A1DC5BE">
      <w:pPr>
        <w:spacing w:line="360" w:lineRule="auto"/>
        <w:rPr>
          <w:rFonts w:ascii="Times New Roman" w:hAnsi="Times New Roman" w:cs="Times New Roman"/>
          <w:sz w:val="24"/>
          <w:szCs w:val="24"/>
        </w:rPr>
      </w:pPr>
      <w:r w:rsidRPr="00E11754">
        <w:rPr>
          <w:rFonts w:ascii="Times New Roman" w:hAnsi="Times New Roman" w:cs="Times New Roman"/>
          <w:sz w:val="24"/>
          <w:szCs w:val="24"/>
          <w:lang w:val="en-US"/>
        </w:rPr>
        <w:t xml:space="preserve">O. </w:t>
      </w:r>
      <w:proofErr w:type="spellStart"/>
      <w:r w:rsidRPr="00E11754">
        <w:rPr>
          <w:rFonts w:ascii="Times New Roman" w:hAnsi="Times New Roman" w:cs="Times New Roman"/>
          <w:sz w:val="24"/>
          <w:szCs w:val="24"/>
          <w:lang w:val="en-US"/>
        </w:rPr>
        <w:t>Maliszewska</w:t>
      </w:r>
      <w:proofErr w:type="spellEnd"/>
      <w:r w:rsidRPr="00E11754">
        <w:rPr>
          <w:rFonts w:ascii="Times New Roman" w:hAnsi="Times New Roman" w:cs="Times New Roman"/>
          <w:sz w:val="24"/>
          <w:szCs w:val="24"/>
          <w:lang w:val="en-US"/>
        </w:rPr>
        <w:t xml:space="preserve">, A. </w:t>
      </w:r>
      <w:proofErr w:type="spellStart"/>
      <w:r w:rsidRPr="00E11754">
        <w:rPr>
          <w:rFonts w:ascii="Times New Roman" w:hAnsi="Times New Roman" w:cs="Times New Roman"/>
          <w:sz w:val="24"/>
          <w:szCs w:val="24"/>
          <w:lang w:val="en-US"/>
        </w:rPr>
        <w:t>Plenis</w:t>
      </w:r>
      <w:proofErr w:type="spellEnd"/>
      <w:r w:rsidRPr="00E11754">
        <w:rPr>
          <w:rFonts w:ascii="Times New Roman" w:hAnsi="Times New Roman" w:cs="Times New Roman"/>
          <w:sz w:val="24"/>
          <w:szCs w:val="24"/>
          <w:lang w:val="en-US"/>
        </w:rPr>
        <w:t xml:space="preserve">, I. </w:t>
      </w:r>
      <w:proofErr w:type="spellStart"/>
      <w:r w:rsidRPr="00E11754">
        <w:rPr>
          <w:rFonts w:ascii="Times New Roman" w:hAnsi="Times New Roman" w:cs="Times New Roman"/>
          <w:sz w:val="24"/>
          <w:szCs w:val="24"/>
          <w:lang w:val="en-US"/>
        </w:rPr>
        <w:t>Olędzka</w:t>
      </w:r>
      <w:proofErr w:type="spellEnd"/>
      <w:r w:rsidRPr="00E11754">
        <w:rPr>
          <w:rFonts w:ascii="Times New Roman" w:hAnsi="Times New Roman" w:cs="Times New Roman"/>
          <w:sz w:val="24"/>
          <w:szCs w:val="24"/>
          <w:lang w:val="en-US"/>
        </w:rPr>
        <w:t xml:space="preserve">, P. Kowalski, N. </w:t>
      </w:r>
      <w:proofErr w:type="spellStart"/>
      <w:r w:rsidRPr="00E11754">
        <w:rPr>
          <w:rFonts w:ascii="Times New Roman" w:hAnsi="Times New Roman" w:cs="Times New Roman"/>
          <w:sz w:val="24"/>
          <w:szCs w:val="24"/>
          <w:lang w:val="en-US"/>
        </w:rPr>
        <w:t>Miękus</w:t>
      </w:r>
      <w:proofErr w:type="spellEnd"/>
      <w:r w:rsidRPr="00E11754">
        <w:rPr>
          <w:rFonts w:ascii="Times New Roman" w:hAnsi="Times New Roman" w:cs="Times New Roman"/>
          <w:sz w:val="24"/>
          <w:szCs w:val="24"/>
          <w:lang w:val="en-US"/>
        </w:rPr>
        <w:t xml:space="preserve">, E. </w:t>
      </w:r>
      <w:proofErr w:type="spellStart"/>
      <w:r w:rsidRPr="00E11754">
        <w:rPr>
          <w:rFonts w:ascii="Times New Roman" w:hAnsi="Times New Roman" w:cs="Times New Roman"/>
          <w:sz w:val="24"/>
          <w:szCs w:val="24"/>
          <w:lang w:val="en-US"/>
        </w:rPr>
        <w:t>Bień</w:t>
      </w:r>
      <w:proofErr w:type="spellEnd"/>
      <w:r w:rsidRPr="00E11754">
        <w:rPr>
          <w:rFonts w:ascii="Times New Roman" w:hAnsi="Times New Roman" w:cs="Times New Roman"/>
          <w:sz w:val="24"/>
          <w:szCs w:val="24"/>
          <w:lang w:val="en-US"/>
        </w:rPr>
        <w:t xml:space="preserve">, M.A. Krawczyk, E. </w:t>
      </w:r>
      <w:proofErr w:type="spellStart"/>
      <w:r w:rsidRPr="00E11754">
        <w:rPr>
          <w:rFonts w:ascii="Times New Roman" w:hAnsi="Times New Roman" w:cs="Times New Roman"/>
          <w:sz w:val="24"/>
          <w:szCs w:val="24"/>
          <w:lang w:val="en-US"/>
        </w:rPr>
        <w:t>Adamkiewicz-Drożyńska</w:t>
      </w:r>
      <w:proofErr w:type="spellEnd"/>
      <w:r w:rsidRPr="00E11754">
        <w:rPr>
          <w:rFonts w:ascii="Times New Roman" w:hAnsi="Times New Roman" w:cs="Times New Roman"/>
          <w:sz w:val="24"/>
          <w:szCs w:val="24"/>
          <w:lang w:val="en-US"/>
        </w:rPr>
        <w:t xml:space="preserve">, T. </w:t>
      </w:r>
      <w:proofErr w:type="spellStart"/>
      <w:r w:rsidRPr="00E11754">
        <w:rPr>
          <w:rFonts w:ascii="Times New Roman" w:hAnsi="Times New Roman" w:cs="Times New Roman"/>
          <w:sz w:val="24"/>
          <w:szCs w:val="24"/>
          <w:lang w:val="en-US"/>
        </w:rPr>
        <w:t>Bączek</w:t>
      </w:r>
      <w:proofErr w:type="spellEnd"/>
      <w:r w:rsidRPr="00E11754">
        <w:rPr>
          <w:rFonts w:ascii="Times New Roman" w:hAnsi="Times New Roman" w:cs="Times New Roman"/>
          <w:sz w:val="24"/>
          <w:szCs w:val="24"/>
          <w:lang w:val="en-US"/>
        </w:rPr>
        <w:t xml:space="preserve">, Optimization of LC method for the quantification of doxorubicin in plasma and urine samples in view of pharmacokinetic, biomedical and drug monitoring therapy studies, </w:t>
      </w:r>
      <w:r w:rsidRPr="00E11754">
        <w:rPr>
          <w:rFonts w:ascii="Times New Roman" w:hAnsi="Times New Roman" w:cs="Times New Roman"/>
          <w:i/>
          <w:iCs/>
          <w:sz w:val="24"/>
          <w:szCs w:val="24"/>
          <w:lang w:val="en-US"/>
        </w:rPr>
        <w:t xml:space="preserve">J. Pharm. </w:t>
      </w:r>
      <w:proofErr w:type="spellStart"/>
      <w:r w:rsidRPr="00E11754">
        <w:rPr>
          <w:rFonts w:ascii="Times New Roman" w:hAnsi="Times New Roman" w:cs="Times New Roman"/>
          <w:i/>
          <w:iCs/>
          <w:sz w:val="24"/>
          <w:szCs w:val="24"/>
        </w:rPr>
        <w:t>Biomed</w:t>
      </w:r>
      <w:proofErr w:type="spellEnd"/>
      <w:r w:rsidRPr="00E11754">
        <w:rPr>
          <w:rFonts w:ascii="Times New Roman" w:hAnsi="Times New Roman" w:cs="Times New Roman"/>
          <w:i/>
          <w:iCs/>
          <w:sz w:val="24"/>
          <w:szCs w:val="24"/>
        </w:rPr>
        <w:t xml:space="preserve">. </w:t>
      </w:r>
      <w:proofErr w:type="spellStart"/>
      <w:r w:rsidRPr="00E11754">
        <w:rPr>
          <w:rFonts w:ascii="Times New Roman" w:hAnsi="Times New Roman" w:cs="Times New Roman"/>
          <w:i/>
          <w:iCs/>
          <w:sz w:val="24"/>
          <w:szCs w:val="24"/>
        </w:rPr>
        <w:t>Anal</w:t>
      </w:r>
      <w:proofErr w:type="spellEnd"/>
      <w:r w:rsidRPr="00E11754">
        <w:rPr>
          <w:rFonts w:ascii="Times New Roman" w:hAnsi="Times New Roman" w:cs="Times New Roman"/>
          <w:i/>
          <w:iCs/>
          <w:sz w:val="24"/>
          <w:szCs w:val="24"/>
        </w:rPr>
        <w:t>.,</w:t>
      </w:r>
      <w:r w:rsidRPr="00E11754">
        <w:rPr>
          <w:rFonts w:ascii="Times New Roman" w:hAnsi="Times New Roman" w:cs="Times New Roman"/>
          <w:sz w:val="24"/>
          <w:szCs w:val="24"/>
        </w:rPr>
        <w:t xml:space="preserve"> </w:t>
      </w:r>
      <w:r w:rsidRPr="00E11754">
        <w:rPr>
          <w:rFonts w:ascii="Times New Roman" w:hAnsi="Times New Roman" w:cs="Times New Roman"/>
          <w:b/>
          <w:bCs/>
          <w:sz w:val="24"/>
          <w:szCs w:val="24"/>
        </w:rPr>
        <w:t>2018</w:t>
      </w:r>
      <w:r w:rsidRPr="00E11754">
        <w:rPr>
          <w:rFonts w:ascii="Times New Roman" w:hAnsi="Times New Roman" w:cs="Times New Roman"/>
          <w:sz w:val="24"/>
          <w:szCs w:val="24"/>
        </w:rPr>
        <w:t xml:space="preserve">; vol. 158, s. 376-385. </w:t>
      </w:r>
    </w:p>
    <w:p w14:paraId="5093EB16" w14:textId="6F3D17BA" w:rsidR="00BC798E" w:rsidRPr="00E11754" w:rsidRDefault="13A8E3F4" w:rsidP="00BC798E">
      <w:pPr>
        <w:rPr>
          <w:rFonts w:ascii="Times New Roman" w:hAnsi="Times New Roman" w:cs="Times New Roman"/>
          <w:b/>
          <w:bCs/>
          <w:i/>
          <w:iCs/>
          <w:sz w:val="24"/>
          <w:szCs w:val="24"/>
        </w:rPr>
      </w:pPr>
      <w:r w:rsidRPr="00E11754">
        <w:rPr>
          <w:rFonts w:ascii="Times New Roman" w:hAnsi="Times New Roman" w:cs="Times New Roman"/>
          <w:b/>
          <w:bCs/>
          <w:i/>
          <w:iCs/>
          <w:sz w:val="24"/>
          <w:szCs w:val="24"/>
        </w:rPr>
        <w:t>Wprowadzenie</w:t>
      </w:r>
    </w:p>
    <w:p w14:paraId="74C4878A" w14:textId="18E8D8A0" w:rsidR="006C6CAA" w:rsidRPr="00E11754" w:rsidRDefault="13A8E3F4" w:rsidP="003F5D0D">
      <w:pPr>
        <w:spacing w:line="360" w:lineRule="auto"/>
        <w:ind w:firstLine="708"/>
        <w:jc w:val="both"/>
        <w:rPr>
          <w:rFonts w:ascii="Times New Roman" w:hAnsi="Times New Roman" w:cs="Times New Roman"/>
          <w:sz w:val="24"/>
          <w:szCs w:val="24"/>
        </w:rPr>
      </w:pPr>
      <w:r w:rsidRPr="00E11754">
        <w:rPr>
          <w:rFonts w:ascii="Times New Roman" w:eastAsia="Times New Roman" w:hAnsi="Times New Roman" w:cs="Times New Roman"/>
          <w:sz w:val="24"/>
          <w:szCs w:val="24"/>
        </w:rPr>
        <w:t xml:space="preserve">Jak wspominano we wstępie, coraz więcej ludzi choruje na choroby nowotworowe. Ten problem dotyka również dzieci, dla których dopasowanie określonej dawki leku jest szczególnie trudne z uwagi na fakt, iż w przypadku pacjentów pediatrycznych profile farmakokinetyczne oraz farmakodynamiczne leków mogą znacząco różnić się od tych u osób dorosłych. Tematem przewodnim pierwszej publikacji z cyklu doktorskiego było opracowanie nowej metody oznaczania </w:t>
      </w:r>
      <w:proofErr w:type="spellStart"/>
      <w:r w:rsidRPr="00E11754">
        <w:rPr>
          <w:rFonts w:ascii="Times New Roman" w:eastAsia="Times New Roman" w:hAnsi="Times New Roman" w:cs="Times New Roman"/>
          <w:sz w:val="24"/>
          <w:szCs w:val="24"/>
        </w:rPr>
        <w:t>doksorubicyny</w:t>
      </w:r>
      <w:proofErr w:type="spellEnd"/>
      <w:r w:rsidRPr="00E11754">
        <w:rPr>
          <w:rFonts w:ascii="Times New Roman" w:eastAsia="Times New Roman" w:hAnsi="Times New Roman" w:cs="Times New Roman"/>
          <w:sz w:val="24"/>
          <w:szCs w:val="24"/>
        </w:rPr>
        <w:t xml:space="preserve"> w próbkach osocza i moczu ludzkiego opartej na technice LC-FL do potencjalnych aplikacji w praktyce klinicznej, w tym onkologii dziecięcej. Z danych literaturowych wynikało wprawdzie, iż dotychczas opublikowane metody oznaczania tego </w:t>
      </w:r>
      <w:proofErr w:type="spellStart"/>
      <w:r w:rsidRPr="00E11754">
        <w:rPr>
          <w:rFonts w:ascii="Times New Roman" w:eastAsia="Times New Roman" w:hAnsi="Times New Roman" w:cs="Times New Roman"/>
          <w:sz w:val="24"/>
          <w:szCs w:val="24"/>
        </w:rPr>
        <w:t>cytostatyku</w:t>
      </w:r>
      <w:proofErr w:type="spellEnd"/>
      <w:r w:rsidRPr="00E11754">
        <w:rPr>
          <w:rFonts w:ascii="Times New Roman" w:eastAsia="Times New Roman" w:hAnsi="Times New Roman" w:cs="Times New Roman"/>
          <w:sz w:val="24"/>
          <w:szCs w:val="24"/>
        </w:rPr>
        <w:t xml:space="preserve"> w próbkach biologicznych były także w główniej mierze oparte na LC-FL</w:t>
      </w:r>
      <w:r w:rsidR="003D40BC" w:rsidRPr="00E11754">
        <w:rPr>
          <w:rFonts w:ascii="Times New Roman" w:eastAsia="Times New Roman" w:hAnsi="Times New Roman" w:cs="Times New Roman"/>
          <w:sz w:val="24"/>
          <w:szCs w:val="24"/>
        </w:rPr>
        <w:t xml:space="preserve"> </w:t>
      </w:r>
      <w:r w:rsidRPr="00E11754">
        <w:rPr>
          <w:rFonts w:ascii="Times New Roman" w:eastAsia="Times New Roman" w:hAnsi="Times New Roman" w:cs="Times New Roman"/>
          <w:sz w:val="24"/>
          <w:szCs w:val="24"/>
        </w:rPr>
        <w:t xml:space="preserve"> </w:t>
      </w:r>
      <w:r w:rsidR="007B4E8A">
        <w:rPr>
          <w:rFonts w:ascii="Times New Roman" w:eastAsia="Times New Roman" w:hAnsi="Times New Roman" w:cs="Times New Roman"/>
          <w:sz w:val="24"/>
          <w:szCs w:val="24"/>
        </w:rPr>
        <w:fldChar w:fldCharType="begin" w:fldLock="1"/>
      </w:r>
      <w:r w:rsidR="003F3548">
        <w:rPr>
          <w:rFonts w:ascii="Times New Roman" w:eastAsia="Times New Roman" w:hAnsi="Times New Roman" w:cs="Times New Roman"/>
          <w:sz w:val="24"/>
          <w:szCs w:val="24"/>
        </w:rPr>
        <w:instrText>ADDIN CSL_CITATION {"citationItems":[{"id":"ITEM-1","itemData":{"DOI":"10.1016/j.ejps.2010.07.015","ISSN":"09280987","PMID":"20688160","abstract":"Although being used for decades in the treatment of several types of cancer, either alone or in association, only a few data about the pharmacokinetics of doxorubicin (DOX) in humans are available. DOX is frequently used in association with other anticancer drugs in the management of breast cancer. Pharmacokinetic data available in the literature show that after i.v. administration DOX follows a two-compartment open model, with a fast distribution phase followed by a very slow elimination phase. The objective of this work is to perform a pilot study in order to verify if the usual dose adjustment based on body surface area (BSA) would be producing the same plasma concentration-time profiles in patients with normal (&lt;25) and above normal (&gt;25) body mass index (BMI). In order to assess the pharmacokinetics of DOX after a short-term i.v. infusion of 60mg/m2 of BSA, an experimental design using only five plasma samples of each patient was applied. Samples were collected at 0.00, 0.66 (right after the end of infusion), 1.66, 8.66, and 24.66h. DOX pharmacokinetic profiles were evaluated after quantification of DOX using a new HPLC method developed and validated. Pharmacokinetic parameters (AUC0-24.66 and Cmax) were analyzed by non-compartmental and compartmental approaches. Significant differences (α=0.05) between overweight and normal weight groups were found with respect to AUC and Cmax. After adjustment of dose by weight and by BMI, the compartmental model was used to simulate plasma concentrations and new values for Cmax and AUC0-24.66 were calculated. The new values obtained using both body weight (BW) and BMI were closer to the normal group than those obtained with BSA. According to the simulation, the differences of AUC and Cmax between the overweight group and the group of patients with normal weight were lower when the dose was adjusted by BW and BMI. These results suggest that more studies must be conducted, with more patients, in order to evaluate the best dose adjustment for DOX in women with breast cancer and overweight. © 2010.","author":[{"dropping-particle":"","family":"Barpe","given":"Deise Raquel","non-dropping-particle":"","parse-names":false,"suffix":""},{"dropping-particle":"","family":"Rosa","given":"Daniela Dornelles","non-dropping-particle":"","parse-names":false,"suffix":""},{"dropping-particle":"","family":"Froehlich","given":"Pedro Eduardo","non-dropping-particle":"","parse-names":false,"suffix":""}],"container-title":"European Journal of Pharmaceutical Sciences","id":"ITEM-1","issue":"3-4","issued":{"date-parts":[["2010"]]},"page":"458-463","publisher":"Elsevier B.V.","title":"Pharmacokinetic evaluation of doxorubicin plasma levels in normal and overweight patients with breast cancer and simulation of dose adjustment by different indexes of body mass","type":"article-journal","volume":"41"},"uris":["http://www.mendeley.com/documents/?uuid=557dde94-60fa-45b1-bc7a-c645fca1c1f7"]},{"id":"ITEM-2","itemData":{"DOI":"10.1002/elps.201300237","ISSN":"15222683","PMID":"24114803","abstract":"This paper proposes a novel strategy to enhance detection of doxorubicin in human plasma, using homemade CE combined with normal stacking mode (NSM). The detection system of CE named as in-column tapered optic-fiber light-emitting diode induced fluorescence detection system is economic and more sensitive that has been demonstrated in our previous work. The influence of sample matrix, BGE, applied voltage, and injection time on the efficiency of NSM were systematically investigated. The clean extracts were subjected to CE separation with optimal experimental conditions: Ethanol-water (1:1, v/v) was used as sample matrix, pH 4.12 15 mM sodium phosphate buffer solution containing 70% v/v ACN, applied voltage 23 kV and 45 s hydrodynamic injection at a height of 20 cm. The detection system displayed linear dynamic range from 6.4 to 1.13 × 103 ng/mL with a correlation coefficient of 0.9990 and LOD 2.2 ng/mL for doxorubicin (DOX). The proposed CE method has been successfully applied to determine DOX in human plasma which the recoveries of standard DOX added to human plasma were found to been the range of 93.8-104.6%. The results obtained demonstrate that our detection system combined with NSM is a good idea to enhance sensitivity in CE for routine determination of DOX in some biological specimens. © 2013 WILEY-VCH Verlag GmbH &amp; Co. KGaA, Weinheim.","author":[{"dropping-particle":"","family":"Yang","given":"Xiupei","non-dropping-particle":"","parse-names":false,"suffix":""},{"dropping-particle":"","family":"Qian","given":"Fan","non-dropping-particle":"","parse-names":false,"suffix":""},{"dropping-particle":"","family":"Xie","given":"Linxiang","non-dropping-particle":"","parse-names":false,"suffix":""},{"dropping-particle":"","family":"Yang","given":"Xiaocui","non-dropping-particle":"","parse-names":false,"suffix":""},{"dropping-particle":"","family":"Cheng","given":"Xiumei","non-dropping-particle":"","parse-names":false,"suffix":""},{"dropping-particle":"","family":"Choi","given":"Martin M.F.","non-dropping-particle":"","parse-names":false,"suffix":""}],"container-title":"Electrophoresis","id":"ITEM-2","issue":"5","issued":{"date-parts":[["2014"]]},"page":"762-769","title":"Determination of doxorubicin in plasma by using CE coupled with in-column tapered optic-fiber light-emitting diode induced fluorescence detection","type":"article-journal","volume":"35"},"uris":["http://www.mendeley.com/documents/?uuid=6c06700e-90c9-4b58-8a84-eeee6d5e4960"]},{"id":"ITEM-3","itemData":{"DOI":"10.1016/0731-7085(95)01301-Z","ISSN":"07317085","PMID":"9696578","abstract":"A high-performance liquid chromatographic assay has been developed and validated for the determination in plasma and urine of doxorubicin (DXR) and some of its metabolites released in vivo from an N-(2-hydroxypropyl)methacrylamide (HPMA) polymer containing DXR linked through its aminosugar moiety to the polymer via an oligopeptide spacer (PK1). The method also allows measurement of the DXR still bound to the polymer. Following addition of two internal standards, the free compounds were extracted twice with isopropanol-chloroform (25:75, v/v). The first extraction was performed at physiological pH and the second after buffering at pH 8.4, in order to extract the aglycones and the glycosides, respectively. Determination of total DXR (polymer-bound plus free DXR) was performed, after quantitative acid hydrolysis to release doxorubicinone from free or polymer-bound DXR, by extraction with the same solvent mixture at pH 7.4. In both cases the organic phase was evaporated to dryness; the compounds were then separated by reversed-phase high-performance liquid chromatography (HPLC) under isocratic conditions and quantitated by fluorimetric detection. In the chromatograms all the analytes appeared to be separated at the baseline and no interference from blank human plasma and urine was observed. The suitability of the method for in vivo samples was checked by the analysis of plasma and urine samples obtained from a cancer patient who had received a single intravenous dose of the test compound. © 1995.","author":[{"dropping-particle":"","family":"Fraier","given":"D.","non-dropping-particle":"","parse-names":false,"suffix":""},{"dropping-particle":"","family":"Frigerio","given":"E.","non-dropping-particle":"","parse-names":false,"suffix":""},{"dropping-particle":"","family":"Pianezzola","given":"E.","non-dropping-particle":"","parse-names":false,"suffix":""},{"dropping-particle":"","family":"Strolin Benedetti","given":"M.","non-dropping-particle":"","parse-names":false,"suffix":""},{"dropping-particle":"","family":"Cassidy","given":"J.","non-dropping-particle":"","parse-names":false,"suffix":""},{"dropping-particle":"","family":"Vasey","given":"P.","non-dropping-particle":"","parse-names":false,"suffix":""}],"container-title":"Journal of Pharmaceutical and Biomedical Analysis","id":"ITEM-3","issue":"4-5","issued":{"date-parts":[["1995"]]},"page":"625-633","title":"A sensitive procedure for the quantitation of free and N-(2-hydroxypropyl)methacrylamide polymer-bound doxorubicin (PK1) and some of its metabolites, 13-dihydrodoxorubicin, 13-dihydrodoxorubicinone and doxorubicinone, in human plasma and urine by reversed","type":"article-journal","volume":"13"},"uris":["http://www.mendeley.com/documents/?uuid=2b9c1ec6-808f-4d57-925f-0f0b68d7650c"]},{"id":"ITEM-4","itemData":{"DOI":"10.1016/j.jchromb.2014.02.034","ISSN":"1873376X","PMID":"24631816","abstract":"A rapid and simple UHPLC-fluorescence detection method for the quantification of doxorubicin and its main metabolite, doxorubicinol, in human plasma has been developed. The method was also validated for its application in therapeutic drug monitoring, a clinical approach used in the optimization of oncologic treatments. Following a single protein precipitation step, chromatographic separation was achieved using a C18 column (50mm×2.10mm, particle size 1.7μm) at 50°C with a mobile phase consisting of water (containing 0.4% triethylamine and 0.4% orthophosphoric acid)/acetonitrile (77:23, v/v). Flow rate was 0.50mL/min and fluorescence detection with an excitation wavelength of 470nm and an emission wavelength of 548nm was used. The method met the specifications of linearity, selectivity, sensitivity, accuracy, precision and stability of the FDA and EMA guidelines for the validation of bioanalytical methods. Linearity for the drug (8-3000ng/mL) and the metabolite (3-150ng/mL) was observed (R2&gt;0.992) and the maximum intra-day and inter-day precision coefficients of variation were less than 14% for both. The lower limits of quantification were 8 and 3ng/mL for doxorubicin and doxorubicinol, respectively. The method was successfully applied to the quantify plasma concentrations of doxorubicin and doxorubicinol in 33 patients diagnosed with haematological malignancies in which broad ranges for drug (8.3-2766.0ng/mL) and metabolite (4.8-104.9ng/mL) levels were measured adequately. © 2014 Elsevier B.V.","author":[{"dropping-particle":"","family":"Pérez-Blanco","given":"Jonás Samuel","non-dropping-particle":"","parse-names":false,"suffix":""},{"dropping-particle":"","family":"Fernández de Gatta","given":"María del Mar","non-dropping-particle":"","parse-names":false,"suffix":""},{"dropping-particle":"","family":"Hernández-Rivas","given":"Jesús María","non-dropping-particle":"","parse-names":false,"suffix":""},{"dropping-particle":"","family":"García Sánchez","given":"María José","non-dropping-particle":"","parse-names":false,"suffix":""},{"dropping-particle":"","family":"Sayalero Marinero","given":"María Luisa","non-dropping-particle":"","parse-names":false,"suffix":""},{"dropping-particle":"","family":"González López","given":"Francisco","non-dropping-particle":"","parse-names":false,"suffix":""}],"container-title":"Journal of Chromatography B: Analytical Technologies in the Biomedical and Life Sciences","id":"ITEM-4","issue":"1","issued":{"date-parts":[["2014"]]},"page":"93-97","publisher":"Elsevier B.V.","title":"Validation and clinical evaluation of a UHPLC method with fluorescence detector for plasma quantification of doxorubicin and doxorubicinol in haematological patients","type":"article-journal","volume":"955-956"},"uris":["http://www.mendeley.com/documents/?uuid=8356afac-f8bf-42f5-845f-e9b8e587321e"]},{"id":"ITEM-5","itemData":{"DOI":"10.1016/S0731-7085(02)00442-9","ISSN":"07317085","PMID":"12408897","abstract":"A simple, accurate and precise high-performance liquid chromatographic method was developed and validated for the simultaneous determination of doxorubicin and its three metabolites, including doxorubicinol, doxorubicinolone and doxorubicinone, in rat serum and bile. Following a single protein precipitation step, chromatographic separation was accomplished using a C-18 column with a mobile phase consisting of 50 mM sodium phosphate buffer-acetonitrile-1-propanol (65:25:2, v/v), pH 2.0. The analytes were measured by fluorescence detection with excitation wavelength of 480 nm and emission wavelength of 560 nm. The lower limits of quantitation were 10 ng/ml for doxorubicin, and 5 ng/ml for the three metabolites. The calibration curves were linear over a concentration range of 10-2500 ng/ml for doxorubicin, and 5-1250 ng/ml for its three metabolites. The average recoveries were greater than 89% for all analytes. The within-day and between-day coefficients of variation were generally less than 13%. Doxorubicin and its metabolites were stable in the precipitated serum and bile samples at room temperature in darkness for at least 48 h. This method permitted the analysis of samples without the presence of the anticoagulant sodium citrate and thus was applied to serum and bile samples collected from rats that were administered doxorubicin intravenously in a pharmacokinetic study. © 2002 Elsevier Science B.V. All rights reserved.","author":[{"dropping-particle":"","family":"Zhou","given":"Qingyu","non-dropping-particle":"","parse-names":false,"suffix":""},{"dropping-particle":"","family":"Chowbay","given":"Balram","non-dropping-particle":"","parse-names":false,"suffix":""}],"container-title":"Journal of Pharmaceutical and Biomedical Analysis","id":"ITEM-5","issue":"4","issued":{"date-parts":[["2002"]]},"page":"1063-1074","title":"Determination of doxorubicin and its metabolites in rat serum and bile by LC: Application to preclinical pharmacokinetic studies","type":"article-journal","volume":"30"},"uris":["http://www.mendeley.com/documents/?uuid=79379c44-ec4d-4505-8fdb-e14c9f8d8c7c"]}],"mendeley":{"formattedCitation":"[47]–[51]","plainTextFormattedCitation":"[47]–[51]","previouslyFormattedCitation":"[47]–[51]"},"properties":{"noteIndex":0},"schema":"https://github.com/citation-style-language/schema/raw/master/csl-citation.json"}</w:instrText>
      </w:r>
      <w:r w:rsidR="007B4E8A">
        <w:rPr>
          <w:rFonts w:ascii="Times New Roman" w:eastAsia="Times New Roman" w:hAnsi="Times New Roman" w:cs="Times New Roman"/>
          <w:sz w:val="24"/>
          <w:szCs w:val="24"/>
        </w:rPr>
        <w:fldChar w:fldCharType="separate"/>
      </w:r>
      <w:r w:rsidR="008D518D" w:rsidRPr="008D518D">
        <w:rPr>
          <w:rFonts w:ascii="Times New Roman" w:eastAsia="Times New Roman" w:hAnsi="Times New Roman" w:cs="Times New Roman"/>
          <w:noProof/>
          <w:sz w:val="24"/>
          <w:szCs w:val="24"/>
        </w:rPr>
        <w:t>[47]–[51]</w:t>
      </w:r>
      <w:r w:rsidR="007B4E8A">
        <w:rPr>
          <w:rFonts w:ascii="Times New Roman" w:eastAsia="Times New Roman" w:hAnsi="Times New Roman" w:cs="Times New Roman"/>
          <w:sz w:val="24"/>
          <w:szCs w:val="24"/>
        </w:rPr>
        <w:fldChar w:fldCharType="end"/>
      </w:r>
      <w:r w:rsidR="003621C1" w:rsidRPr="00E11754">
        <w:rPr>
          <w:rFonts w:ascii="Times New Roman" w:eastAsia="Times New Roman" w:hAnsi="Times New Roman" w:cs="Times New Roman"/>
          <w:sz w:val="24"/>
          <w:szCs w:val="24"/>
        </w:rPr>
        <w:t xml:space="preserve"> </w:t>
      </w:r>
      <w:r w:rsidRPr="005A21F1">
        <w:rPr>
          <w:rFonts w:ascii="Times New Roman" w:eastAsia="Times New Roman" w:hAnsi="Times New Roman" w:cs="Times New Roman"/>
          <w:sz w:val="24"/>
          <w:szCs w:val="24"/>
        </w:rPr>
        <w:t xml:space="preserve">bądź alternatywnie LC-MS(MS) </w:t>
      </w:r>
      <w:r w:rsidR="008C113B">
        <w:rPr>
          <w:rFonts w:ascii="Times New Roman" w:eastAsia="Times New Roman" w:hAnsi="Times New Roman" w:cs="Times New Roman"/>
          <w:sz w:val="24"/>
          <w:szCs w:val="24"/>
        </w:rPr>
        <w:fldChar w:fldCharType="begin" w:fldLock="1"/>
      </w:r>
      <w:r w:rsidR="0047007E">
        <w:rPr>
          <w:rFonts w:ascii="Times New Roman" w:eastAsia="Times New Roman" w:hAnsi="Times New Roman" w:cs="Times New Roman"/>
          <w:sz w:val="24"/>
          <w:szCs w:val="24"/>
        </w:rPr>
        <w:instrText>ADDIN CSL_CITATION {"citationItems":[{"id":"ITEM-1","itemData":{"DOI":"10.1016/j.jpba.2015.04.007","ISSN":"1873264X","PMID":"25910045","abstract":"A specific, sensitive and rapid liquid chromatography tandem mass spectrometry (LC-MS/MS) method has been developed and validated for simultaneous quantification of doxorubicin and curcumin in rat plasma after intravenous administration. The analytes of doxorubicin and curcumin were extracted with methanol precipitation using glibenclamide as internal standard (IS). The chromatographic separation was performed on a C18 column with acetonitrile and 0.1% formic acid water as mobile phase and with gradient elution at a flow rate of 0.2mL/min. Calibration curves were linear over the ranges of 2-8000ng/mL for doxorubicin and 5-2000ng/mL for curcumin (r&gt;0.99). The lower limit of quantification (LLOQ) was 2ng/mL for DOX and 5ng/mL for Cur. Finally, this developed method was successfully applied in the pharmacokinetic study of doxorubicin and curcumin in rats and evaluated the effects of curcumin on the absorption of doxorubicin after intravenous administration.","author":[{"dropping-particle":"","family":"Ma","given":"Wenzhuan","non-dropping-particle":"","parse-names":false,"suffix":""},{"dropping-particle":"","family":"Wang","given":"Jinling","non-dropping-particle":"","parse-names":false,"suffix":""},{"dropping-particle":"","family":"Guo","given":"Qiang","non-dropping-particle":"","parse-names":false,"suffix":""},{"dropping-particle":"","family":"Tu","given":"Pengfei","non-dropping-particle":"","parse-names":false,"suffix":""}],"container-title":"Journal of Pharmaceutical and Biomedical Analysis","id":"ITEM-1","issued":{"date-parts":[["2015"]]},"page":"215-221","publisher":"Elsevier B.V.","title":"Simultaneous determination of doxorubicin and curcumin in rat plasma by LC-MS/MS and its application to pharmacokinetic study","type":"article-journal","volume":"111"},"uris":["http://www.mendeley.com/documents/?uuid=21b6694a-285a-44ae-87d7-f982e9ee8b85"]},{"id":"ITEM-2","itemData":{"DOI":"10.1016/j.jchromb.2012.12.012","ISSN":"15700232","PMID":"23337906","abstract":"A sensitive, selective, accurate and precise method for simultaneous quantification of doxorubicin (DOX) and doxorubicinol (DOXol) in human plasma of patients diagnosed as having intermediate stage unresectable hepatocellular carcinoma (HCC) was developed. The method was based on electrospray tandem mass spectrometry in selected reaction monitoring mode. DOX, DOXol and trofosfamide, an internal standard, were extracted from plasma by using a simple solid phase extraction (SPE) procedure after the addition of 0.1. M hydrochloric acid.A 200-μL aliquot of the extracted sample reconstituted in mobile phase was analyzed on a Zorbax SB-C18 UHPLC column (50mm×2.1mm, 1.8μm particle size) in 8min. The mobile phase consisted of acetonitrile and 0.1% formic acid pH 4.5 (95:05 v/v). Good accuracy and precision of this method were demonstrated by determination of spiked plasma QC samples in four consecutive days. The SPE extraction recoveries ranged from 72.3 to 77.3% and 75.5 to 98.4% for doxorubicin and doxorubicinol, respectively. The intra-day and inter-day precisions were less than 11.4%. The limit of quantitation was 1.0ng/mL for both compounds. The calibration curves of DOX and DOXol were analyzed by weighted linear regression with 1/x as a weighting factor. They were linear over the concentration range of 1.0-100.0ng/mL with R2 greater than 0.99.This developed method was successfully applied to study plasma pharmacokinetics in patients affected by HCC and treated with transarterial chemoemolization practices (TACEs) using HepaSphere™ pre-loaded with DOX in a standardized procedure. © 2012 Elsevier B.V.","author":[{"dropping-particle":"","family":"Sottani","given":"Cristina","non-dropping-particle":"","parse-names":false,"suffix":""},{"dropping-particle":"","family":"Poggi","given":"Guido","non-dropping-particle":"","parse-names":false,"suffix":""},{"dropping-particle":"","family":"Melchiorre","given":"Fabio","non-dropping-particle":"","parse-names":false,"suffix":""},{"dropping-particle":"","family":"Montagna","given":"Benedetta","non-dropping-particle":"","parse-names":false,"suffix":""},{"dropping-particle":"","family":"Minoia","given":"Claudio","non-dropping-particle":"","parse-names":false,"suffix":""}],"container-title":"Journal of Chromatography B: Analytical Technologies in the Biomedical and Life Sciences","id":"ITEM-2","issued":{"date-parts":[["2013"]]},"page":"71-78","publisher":"Elsevier B.V.","title":"Simultaneous measurement of doxorubicin and reduced metabolite doxorubicinol by UHPLC-MS/MS in human plasma of HCC patients treated with TACE","type":"article-journal","volume":"915-916"},"uris":["http://www.mendeley.com/documents/?uuid=fdde2879-ac35-40b6-bff0-e5f341fbfaa1"]},{"id":"ITEM-3","itemData":{"DOI":"10.1002/rcm","abstract":"We have determined d13C, d2H and d18O isotopic abundances in Andalusian olive oils. In addition, the fatty acid composition and the distribution of isomers at positions 1,3 and 2 of glycerol were determined by 1H and 13C nuclear magnetic resonance (NMR) spectroscopy, respectively. Isotopic results obtained for four series of oil samples extracted from olives harvested in the 2004/05 and 2005/06 seasons are discussed in terms of olive variety, ripeness, geographical origin, fatty acid composition and growing altitude. A distinction was also established between olives grown in irrigated and in dry land by studying selected samples of the previous series and others from the 2005/06, 2006/07, 2007/08 and 2008/09 seasons. The results showed that olive ripeness does not influence the abundance of any of the three isotopes studied. On the other hand, the olive variety influences the abundance of the oxygen and hydrogen isotopes, and also, less markedly, that of carbon. No clear-cut effect of height or latitude on isotope values is observed, probably because the olive variety also changes with height and latitude, thus masking such influences. The oil samples from dryland-grown olives had increased d13C values relative to irrigation-grown olives. In addition, no definite relationship appears to exist between isotope distribution and fatty acid composition. Finally, oil samples from olives harvested in the 2005/06 season in Italy could be distinguished from those from Spain in terms of their isotopic values (d2H mainly). Copyright # 2010 John Wiley &amp; Sons, Ltd.","author":[{"dropping-particle":"","family":"Cristina Sottani, Paola Rinaldi, Emanuela Leoni, Guido Poggi, Cristina Teragni","given":"","non-dropping-particle":"","parse-names":false,"suffix":""},{"dropping-particle":"","family":"Minoia","given":"Angelo Delmonte and Claudio","non-dropping-particle":"","parse-names":false,"suffix":""}],"container-title":"RAPID COMMUNICATIONS IN MASS SPECTROMETRY","id":"ITEM-3","issued":{"date-parts":[["2008"]]},"page":"2645–2659","title":"Simultaneous determination of cyclophosphamide, ifosfamide, doxorubicin, epirubicin and daunorubicin in human urine using high-performance liquid chromatography/electrospray ionization tandem mass spectrometry: bioanalytical method validation","type":"article-journal","volume":"22"},"uris":["http://www.mendeley.com/documents/?uuid=3f42e645-4d3c-462e-ae10-469720fb91f8"]},{"id":"ITEM-4","itemData":{"DOI":"10.1002/rcm.1642","ISSN":"09514198","abstract":"Health-care workers handling antineoplastic agents may be exposed to extremely low doses of these drugs. Very sensitive and specific analytical methods are therefore needed for biological monitoring. The aim of this study was to develop and validate a method for trace level determination of doxorubicin, epirubicin, daunorubicin and idarubicin in human urine, using epi-daunorubicin as an internal standard. Solid-phase extraction (SPE) was used for sample preparation. Urine samples were loaded onto Bond Elut C18 cartridges. The analytes were eluted in methylene chloride/2-propanol (1:1, v/v) and then evaporated to dryness. The residue was reconstituted with the mobile phase prior to high-performance liquid chromatography/tandem mass spectrometry (HPLC/MS/ MS) analysis. Quantitation of each analyte was performed using the multiple reaction monitoring (MRM) method. The urine assay was linear over the range 0.1-2.0 μg/L, with a lower limit of quantification (LLOQ) of 0.10 μg/L for doxorubicin and epirubicin, and 0.03 μg/L for daunorubicin and idarubicin. The respective limits of detection (LODs) were 0.04 and 0.01 μg/L. The precision and accuracy of the assay were determined on three different days. The within-series precision was found to be always less than 13.9% for all the analytes. The overall precision expressed as relative standard deviation (RSD) was always less than 10.6%. The recovery of anthracyclines was assessed at two concentrations of the range tested (0.1 and 2.0 μg/L) and it ranged from 87.7% (daunorubicin) to 102.0% (doxorubicin) and from 79.1% (daunorubicin) to 90.7% (idarubicin) for the lower and the higher level, respectively, with a RSD always less than 9.1%. The uncertainty of the present assay was also evaluated and the combined uncertainty was always less than 20% over all the days of the validation study. This is the first method that makes use of LC/MS/MS for the biological monitoring of occupational exposure to anthracyclines. Copyright © 2004 John Wiley &amp; Sons, Ltd.","author":[{"dropping-particle":"","family":"Sottani","given":"Cristina","non-dropping-particle":"","parse-names":false,"suffix":""},{"dropping-particle":"","family":"Tranfo","given":"Giovanna","non-dropping-particle":"","parse-names":false,"suffix":""},{"dropping-particle":"","family":"Bettinelli","given":"Maurizio","non-dropping-particle":"","parse-names":false,"suffix":""},{"dropping-particle":"","family":"Faranda","given":"Paolo","non-dropping-particle":"","parse-names":false,"suffix":""},{"dropping-particle":"","family":"Spagnoli","given":"Mariangela","non-dropping-particle":"","parse-names":false,"suffix":""},{"dropping-particle":"","family":"Minoia","given":"Claudio","non-dropping-particle":"","parse-names":false,"suffix":""}],"container-title":"Rapid Communications in Mass Spectrometry","id":"ITEM-4","issue":"20","issued":{"date-parts":[["2004"]]},"page":"2426-2436","title":"Trace determination of anthracyclines in urine: A new high-performance liquid chromatography/tandem mass spectrometry method for assessing exposure of hospital personnel","type":"article-journal","volume":"18"},"uris":["http://www.mendeley.com/documents/?uuid=c2101765-022b-47e8-8beb-c12cf909e5b3"]}],"mendeley":{"formattedCitation":"[52]–[55]","plainTextFormattedCitation":"[52]–[55]","previouslyFormattedCitation":"[52]–[55]"},"properties":{"noteIndex":0},"schema":"https://github.com/citation-style-language/schema/raw/master/csl-citation.json"}</w:instrText>
      </w:r>
      <w:r w:rsidR="008C113B">
        <w:rPr>
          <w:rFonts w:ascii="Times New Roman" w:eastAsia="Times New Roman" w:hAnsi="Times New Roman" w:cs="Times New Roman"/>
          <w:sz w:val="24"/>
          <w:szCs w:val="24"/>
        </w:rPr>
        <w:fldChar w:fldCharType="separate"/>
      </w:r>
      <w:r w:rsidR="008D518D" w:rsidRPr="008D518D">
        <w:rPr>
          <w:rFonts w:ascii="Times New Roman" w:eastAsia="Times New Roman" w:hAnsi="Times New Roman" w:cs="Times New Roman"/>
          <w:noProof/>
          <w:sz w:val="24"/>
          <w:szCs w:val="24"/>
        </w:rPr>
        <w:t>[52]–[55]</w:t>
      </w:r>
      <w:r w:rsidR="008C113B">
        <w:rPr>
          <w:rFonts w:ascii="Times New Roman" w:eastAsia="Times New Roman" w:hAnsi="Times New Roman" w:cs="Times New Roman"/>
          <w:sz w:val="24"/>
          <w:szCs w:val="24"/>
        </w:rPr>
        <w:fldChar w:fldCharType="end"/>
      </w:r>
      <w:r w:rsidR="008C113B">
        <w:rPr>
          <w:rFonts w:ascii="Times New Roman" w:eastAsia="Times New Roman" w:hAnsi="Times New Roman" w:cs="Times New Roman"/>
          <w:sz w:val="24"/>
          <w:szCs w:val="24"/>
        </w:rPr>
        <w:t>,</w:t>
      </w:r>
      <w:r w:rsidRPr="008C113B">
        <w:rPr>
          <w:rFonts w:ascii="Times New Roman" w:eastAsia="Times New Roman" w:hAnsi="Times New Roman" w:cs="Times New Roman"/>
          <w:sz w:val="24"/>
          <w:szCs w:val="24"/>
        </w:rPr>
        <w:t xml:space="preserve"> ale</w:t>
      </w:r>
      <w:r w:rsidRPr="00E11754">
        <w:rPr>
          <w:rFonts w:ascii="Times New Roman" w:eastAsia="Times New Roman" w:hAnsi="Times New Roman" w:cs="Times New Roman"/>
          <w:sz w:val="24"/>
          <w:szCs w:val="24"/>
        </w:rPr>
        <w:t xml:space="preserve"> jak wspomniano </w:t>
      </w:r>
      <w:r w:rsidRPr="00E11754">
        <w:rPr>
          <w:rFonts w:ascii="Times New Roman" w:eastAsia="Times New Roman" w:hAnsi="Times New Roman" w:cs="Times New Roman"/>
          <w:sz w:val="24"/>
          <w:szCs w:val="24"/>
        </w:rPr>
        <w:lastRenderedPageBreak/>
        <w:t xml:space="preserve">powyżej, duże zainteresowanie techniką LC-FL wynika z naturalnych właściwości fluorescencyjnych </w:t>
      </w:r>
      <w:proofErr w:type="spellStart"/>
      <w:r w:rsidRPr="00E11754">
        <w:rPr>
          <w:rFonts w:ascii="Times New Roman" w:eastAsia="Times New Roman" w:hAnsi="Times New Roman" w:cs="Times New Roman"/>
          <w:sz w:val="24"/>
          <w:szCs w:val="24"/>
        </w:rPr>
        <w:t>doksorubicyny</w:t>
      </w:r>
      <w:proofErr w:type="spellEnd"/>
      <w:r w:rsidRPr="00E11754">
        <w:rPr>
          <w:rFonts w:ascii="Times New Roman" w:eastAsia="Times New Roman" w:hAnsi="Times New Roman" w:cs="Times New Roman"/>
          <w:sz w:val="24"/>
          <w:szCs w:val="24"/>
        </w:rPr>
        <w:t>, które umożliwiają projektowanie alternatywnych do LC-MS(MS) metod chromatograficznych opartych na pomiarze emisji promieniowania tego związku</w:t>
      </w:r>
      <w:r w:rsidR="4EF80E68" w:rsidRPr="00E11754">
        <w:rPr>
          <w:rFonts w:ascii="Times New Roman" w:eastAsia="Times New Roman" w:hAnsi="Times New Roman" w:cs="Times New Roman"/>
          <w:sz w:val="24"/>
          <w:szCs w:val="24"/>
        </w:rPr>
        <w:t xml:space="preserve">, którego to intensywność jest ściśle skorelowana ze stężeniem tego </w:t>
      </w:r>
      <w:proofErr w:type="spellStart"/>
      <w:r w:rsidR="4EF80E68" w:rsidRPr="00E11754">
        <w:rPr>
          <w:rFonts w:ascii="Times New Roman" w:eastAsia="Times New Roman" w:hAnsi="Times New Roman" w:cs="Times New Roman"/>
          <w:sz w:val="24"/>
          <w:szCs w:val="24"/>
        </w:rPr>
        <w:t>analitu</w:t>
      </w:r>
      <w:proofErr w:type="spellEnd"/>
      <w:r w:rsidR="4EF80E68" w:rsidRPr="00E11754">
        <w:rPr>
          <w:rFonts w:ascii="Times New Roman" w:eastAsia="Times New Roman" w:hAnsi="Times New Roman" w:cs="Times New Roman"/>
          <w:sz w:val="24"/>
          <w:szCs w:val="24"/>
        </w:rPr>
        <w:t xml:space="preserve"> w próbie,</w:t>
      </w:r>
      <w:r w:rsidRPr="00E11754">
        <w:rPr>
          <w:rFonts w:ascii="Times New Roman" w:eastAsia="Times New Roman" w:hAnsi="Times New Roman" w:cs="Times New Roman"/>
          <w:sz w:val="24"/>
          <w:szCs w:val="24"/>
        </w:rPr>
        <w:t xml:space="preserve"> po jego wcześniejszym wzbudzeniu odpowiednio dobraną długością fali promieniowania w zakresie UV-VIS. </w:t>
      </w:r>
    </w:p>
    <w:p w14:paraId="14229145" w14:textId="6B6A08AD" w:rsidR="006C6CAA" w:rsidRPr="00E11754" w:rsidRDefault="610AA1E2" w:rsidP="13A8E3F4">
      <w:pPr>
        <w:spacing w:line="360" w:lineRule="auto"/>
        <w:ind w:firstLine="708"/>
        <w:jc w:val="both"/>
        <w:rPr>
          <w:rFonts w:ascii="Times New Roman" w:hAnsi="Times New Roman" w:cs="Times New Roman"/>
          <w:sz w:val="24"/>
          <w:szCs w:val="24"/>
        </w:rPr>
      </w:pPr>
      <w:r w:rsidRPr="610AA1E2">
        <w:rPr>
          <w:rFonts w:ascii="Times New Roman" w:eastAsia="Times New Roman" w:hAnsi="Times New Roman" w:cs="Times New Roman"/>
          <w:sz w:val="24"/>
          <w:szCs w:val="24"/>
        </w:rPr>
        <w:t xml:space="preserve">Z danych literaturowych wynikało, że dotychczas opracowane metody chromatograficzne, niezależnie od wybranego sposobu detekcji </w:t>
      </w:r>
      <w:proofErr w:type="spellStart"/>
      <w:r w:rsidRPr="610AA1E2">
        <w:rPr>
          <w:rFonts w:ascii="Times New Roman" w:eastAsia="Times New Roman" w:hAnsi="Times New Roman" w:cs="Times New Roman"/>
          <w:sz w:val="24"/>
          <w:szCs w:val="24"/>
        </w:rPr>
        <w:t>doksorubicyny</w:t>
      </w:r>
      <w:proofErr w:type="spellEnd"/>
      <w:r w:rsidRPr="610AA1E2">
        <w:rPr>
          <w:rFonts w:ascii="Times New Roman" w:eastAsia="Times New Roman" w:hAnsi="Times New Roman" w:cs="Times New Roman"/>
          <w:sz w:val="24"/>
          <w:szCs w:val="24"/>
        </w:rPr>
        <w:t xml:space="preserve"> w próbkach biologicznych, były oparte na </w:t>
      </w:r>
      <w:proofErr w:type="spellStart"/>
      <w:r w:rsidRPr="610AA1E2">
        <w:rPr>
          <w:rFonts w:ascii="Times New Roman" w:eastAsia="Times New Roman" w:hAnsi="Times New Roman" w:cs="Times New Roman"/>
          <w:sz w:val="24"/>
          <w:szCs w:val="24"/>
        </w:rPr>
        <w:t>deproteinizacji</w:t>
      </w:r>
      <w:proofErr w:type="spellEnd"/>
      <w:r w:rsidRPr="610AA1E2">
        <w:rPr>
          <w:rFonts w:ascii="Times New Roman" w:eastAsia="Times New Roman" w:hAnsi="Times New Roman" w:cs="Times New Roman"/>
          <w:sz w:val="24"/>
          <w:szCs w:val="24"/>
        </w:rPr>
        <w:t xml:space="preserve"> </w:t>
      </w:r>
      <w:r w:rsidR="2CFE8AFF" w:rsidRPr="610AA1E2">
        <w:rPr>
          <w:rFonts w:ascii="Times New Roman" w:eastAsia="Times New Roman" w:hAnsi="Times New Roman" w:cs="Times New Roman"/>
          <w:sz w:val="24"/>
          <w:szCs w:val="24"/>
        </w:rPr>
        <w:fldChar w:fldCharType="begin" w:fldLock="1"/>
      </w:r>
      <w:r w:rsidR="003F3548">
        <w:rPr>
          <w:rFonts w:ascii="Times New Roman" w:eastAsia="Times New Roman" w:hAnsi="Times New Roman" w:cs="Times New Roman"/>
          <w:sz w:val="24"/>
          <w:szCs w:val="24"/>
        </w:rPr>
        <w:instrText>ADDIN CSL_CITATION {"citationItems":[{"id":"ITEM-1","itemData":{"DOI":"10.1016/j.ejps.2010.07.015","ISSN":"09280987","PMID":"20688160","abstract":"Although being used for decades in the treatment of several types of cancer, either alone or in association, only a few data about the pharmacokinetics of doxorubicin (DOX) in humans are available. DOX is frequently used in association with other anticancer drugs in the management of breast cancer. Pharmacokinetic data available in the literature show that after i.v. administration DOX follows a two-compartment open model, with a fast distribution phase followed by a very slow elimination phase. The objective of this work is to perform a pilot study in order to verify if the usual dose adjustment based on body surface area (BSA) would be producing the same plasma concentration-time profiles in patients with normal (&lt;25) and above normal (&gt;25) body mass index (BMI). In order to assess the pharmacokinetics of DOX after a short-term i.v. infusion of 60mg/m2 of BSA, an experimental design using only five plasma samples of each patient was applied. Samples were collected at 0.00, 0.66 (right after the end of infusion), 1.66, 8.66, and 24.66h. DOX pharmacokinetic profiles were evaluated after quantification of DOX using a new HPLC method developed and validated. Pharmacokinetic parameters (AUC0-24.66 and Cmax) were analyzed by non-compartmental and compartmental approaches. Significant differences (α=0.05) between overweight and normal weight groups were found with respect to AUC and Cmax. After adjustment of dose by weight and by BMI, the compartmental model was used to simulate plasma concentrations and new values for Cmax and AUC0-24.66 were calculated. The new values obtained using both body weight (BW) and BMI were closer to the normal group than those obtained with BSA. According to the simulation, the differences of AUC and Cmax between the overweight group and the group of patients with normal weight were lower when the dose was adjusted by BW and BMI. These results suggest that more studies must be conducted, with more patients, in order to evaluate the best dose adjustment for DOX in women with breast cancer and overweight. © 2010.","author":[{"dropping-particle":"","family":"Barpe","given":"Deise Raquel","non-dropping-particle":"","parse-names":false,"suffix":""},{"dropping-particle":"","family":"Rosa","given":"Daniela Dornelles","non-dropping-particle":"","parse-names":false,"suffix":""},{"dropping-particle":"","family":"Froehlich","given":"Pedro Eduardo","non-dropping-particle":"","parse-names":false,"suffix":""}],"container-title":"European Journal of Pharmaceutical Sciences","id":"ITEM-1","issue":"3-4","issued":{"date-parts":[["2010"]]},"page":"458-463","publisher":"Elsevier B.V.","title":"Pharmacokinetic evaluation of doxorubicin plasma levels in normal and overweight patients with breast cancer and simulation of dose adjustment by different indexes of body mass","type":"article-journal","volume":"41"},"uris":["http://www.mendeley.com/documents/?uuid=557dde94-60fa-45b1-bc7a-c645fca1c1f7"]},{"id":"ITEM-2","itemData":{"DOI":"10.1016/j.jpba.2015.04.007","ISSN":"1873264X","PMID":"25910045","abstract":"A specific, sensitive and rapid liquid chromatography tandem mass spectrometry (LC-MS/MS) method has been developed and validated for simultaneous quantification of doxorubicin and curcumin in rat plasma after intravenous administration. The analytes of doxorubicin and curcumin were extracted with methanol precipitation using glibenclamide as internal standard (IS). The chromatographic separation was performed on a C18 column with acetonitrile and 0.1% formic acid water as mobile phase and with gradient elution at a flow rate of 0.2mL/min. Calibration curves were linear over the ranges of 2-8000ng/mL for doxorubicin and 5-2000ng/mL for curcumin (r&gt;0.99). The lower limit of quantification (LLOQ) was 2ng/mL for DOX and 5ng/mL for Cur. Finally, this developed method was successfully applied in the pharmacokinetic study of doxorubicin and curcumin in rats and evaluated the effects of curcumin on the absorption of doxorubicin after intravenous administration.","author":[{"dropping-particle":"","family":"Ma","given":"Wenzhuan","non-dropping-particle":"","parse-names":false,"suffix":""},{"dropping-particle":"","family":"Wang","given":"Jinling","non-dropping-particle":"","parse-names":false,"suffix":""},{"dropping-particle":"","family":"Guo","given":"Qiang","non-dropping-particle":"","parse-names":false,"suffix":""},{"dropping-particle":"","family":"Tu","given":"Pengfei","non-dropping-particle":"","parse-names":false,"suffix":""}],"container-title":"Journal of Pharmaceutical and Biomedical Analysis","id":"ITEM-2","issued":{"date-parts":[["2015"]]},"page":"215-221","publisher":"Elsevier B.V.","title":"Simultaneous determination of doxorubicin and curcumin in rat plasma by LC-MS/MS and its application to pharmacokinetic study","type":"article-journal","volume":"111"},"uris":["http://www.mendeley.com/documents/?uuid=21b6694a-285a-44ae-87d7-f982e9ee8b85"]},{"id":"ITEM-3","itemData":{"DOI":"10.1080/10826076.2012.678456","ISSN":"10826076","abstract":"An accurate UPLC method was developed and validated for the simultaneous determination of irinotecan and doxorubicin extracted from murine plasma, along with their major metabolites SN-38 and doxorubicinol, respectively. The parent drugs and metabolites were extracted from plasma by protein precipitation method. Camptothecin was used as the internal standard. Chromatographic separation was performed using an ACQUITY UPLC BEH C18 column (150 × 2.1 mm, particle size of 1.7 μm) at 40°C by means of gradient elution. The mobile phases for gradient elution were consisted of 0.1 % v/v formic acid in either acetonitrile or water. The flow rate was 0.5 mL/min, and the total run time was 7 min. The linear quantitation ranges for parent drugs (irinotecan and doxorubicin) and for metabolites (doxorubicinol and SN-38) were 250-10000 ng/mL and 125-5000 ng/mL, respectively (r2 &gt; 0.99). The lower limit of quantification (LLOQ) for irinotecan and doxorubicin was 250 ng/mL, and the LLOQ for SN-38 and doxorubicinol was 125 ng/mL. The intra- and inter-day relative standard deviation was &lt;10 %, and accuracy was &gt;90%. © 2013 Copyright Taylor and Francis Group, LLC.","author":[{"dropping-particle":"","family":"Shaikh","given":"Ishaque M.","non-dropping-particle":"","parse-names":false,"suffix":""},{"dropping-particle":"","family":"Tan","given":"Kuan Boone","non-dropping-particle":"","parse-names":false,"suffix":""},{"dropping-particle":"","family":"Chiu","given":"Gigi N.C.","non-dropping-particle":"","parse-names":false,"suffix":""}],"container-title":"Journal of Liquid Chromatography and Related Technologies","id":"ITEM-3","issue":"7","issued":{"date-parts":[["2013"]]},"page":"914-925","title":"Simultaneous determination of doxorubicin and irinotecan in conjunction with their major metabolites by ultra high performance liquid chromatography","type":"article-journal","volume":"36"},"uris":["http://www.mendeley.com/documents/?uuid=f5453db9-372b-4f6a-aded-7bab4e03529e"]},{"id":"ITEM-4","itemData":{"DOI":"10.1002/elps.201300237","ISSN":"15222683","PMID":"24114803","abstract":"This paper proposes a novel strategy to enhance detection of doxorubicin in human plasma, using homemade CE combined with normal stacking mode (NSM). The detection system of CE named as in-column tapered optic-fiber light-emitting diode induced fluorescence detection system is economic and more sensitive that has been demonstrated in our previous work. The influence of sample matrix, BGE, applied voltage, and injection time on the efficiency of NSM were systematically investigated. The clean extracts were subjected to CE separation with optimal experimental conditions: Ethanol-water (1:1, v/v) was used as sample matrix, pH 4.12 15 mM sodium phosphate buffer solution containing 70% v/v ACN, applied voltage 23 kV and 45 s hydrodynamic injection at a height of 20 cm. The detection system displayed linear dynamic range from 6.4 to 1.13 × 103 ng/mL with a correlation coefficient of 0.9990 and LOD 2.2 ng/mL for doxorubicin (DOX). The proposed CE method has been successfully applied to determine DOX in human plasma which the recoveries of standard DOX added to human plasma were found to been the range of 93.8-104.6%. The results obtained demonstrate that our detection system combined with NSM is a good idea to enhance sensitivity in CE for routine determination of DOX in some biological specimens. © 2013 WILEY-VCH Verlag GmbH &amp; Co. KGaA, Weinheim.","author":[{"dropping-particle":"","family":"Yang","given":"Xiupei","non-dropping-particle":"","parse-names":false,"suffix":""},{"dropping-particle":"","family":"Qian","given":"Fan","non-dropping-particle":"","parse-names":false,"suffix":""},{"dropping-particle":"","family":"Xie","given":"Linxiang","non-dropping-particle":"","parse-names":false,"suffix":""},{"dropping-particle":"","family":"Yang","given":"Xiaocui","non-dropping-particle":"","parse-names":false,"suffix":""},{"dropping-particle":"","family":"Cheng","given":"Xiumei","non-dropping-particle":"","parse-names":false,"suffix":""},{"dropping-particle":"","family":"Choi","given":"Martin M.F.","non-dropping-particle":"","parse-names":false,"suffix":""}],"container-title":"Electrophoresis","id":"ITEM-4","issue":"5","issued":{"date-parts":[["2014"]]},"page":"762-769","title":"Determination of doxorubicin in plasma by using CE coupled with in-column tapered optic-fiber light-emitting diode induced fluorescence detection","type":"article-journal","volume":"35"},"uris":["http://www.mendeley.com/documents/?uuid=6c06700e-90c9-4b58-8a84-eeee6d5e4960"]},{"id":"ITEM-5","itemData":{"DOI":"10.1016/j.jchromb.2014.02.034","ISSN":"1873376X","PMID":"24631816","abstract":"A rapid and simple UHPLC-fluorescence detection method for the quantification of doxorubicin and its main metabolite, doxorubicinol, in human plasma has been developed. The method was also validated for its application in therapeutic drug monitoring, a clinical approach used in the optimization of oncologic treatments. Following a single protein precipitation step, chromatographic separation was achieved using a C18 column (50mm×2.10mm, particle size 1.7μm) at 50°C with a mobile phase consisting of water (containing 0.4% triethylamine and 0.4% orthophosphoric acid)/acetonitrile (77:23, v/v). Flow rate was 0.50mL/min and fluorescence detection with an excitation wavelength of 470nm and an emission wavelength of 548nm was used. The method met the specifications of linearity, selectivity, sensitivity, accuracy, precision and stability of the FDA and EMA guidelines for the validation of bioanalytical methods. Linearity for the drug (8-3000ng/mL) and the metabolite (3-150ng/mL) was observed (R2&gt;0.992) and the maximum intra-day and inter-day precision coefficients of variation were less than 14% for both. The lower limits of quantification were 8 and 3ng/mL for doxorubicin and doxorubicinol, respectively. The method was successfully applied to the quantify plasma concentrations of doxorubicin and doxorubicinol in 33 patients diagnosed with haematological malignancies in which broad ranges for drug (8.3-2766.0ng/mL) and metabolite (4.8-104.9ng/mL) levels were measured adequately. © 2014 Elsevier B.V.","author":[{"dropping-particle":"","family":"Pérez-Blanco","given":"Jonás Samuel","non-dropping-particle":"","parse-names":false,"suffix":""},{"dropping-particle":"","family":"Fernández de Gatta","given":"María del Mar","non-dropping-particle":"","parse-names":false,"suffix":""},{"dropping-particle":"","family":"Hernández-Rivas","given":"Jesús María","non-dropping-particle":"","parse-names":false,"suffix":""},{"dropping-particle":"","family":"García Sánchez","given":"María José","non-dropping-particle":"","parse-names":false,"suffix":""},{"dropping-particle":"","family":"Sayalero Marinero","given":"María Luisa","non-dropping-particle":"","parse-names":false,"suffix":""},{"dropping-particle":"","family":"González López","given":"Francisco","non-dropping-particle":"","parse-names":false,"suffix":""}],"container-title":"Journal of Chromatography B: Analytical Technologies in the Biomedical and Life Sciences","id":"ITEM-5","issue":"1","issued":{"date-parts":[["2014"]]},"page":"93-97","publisher":"Elsevier B.V.","title":"Validation and clinical evaluation of a UHPLC method with fluorescence detector for plasma quantification of doxorubicin and doxorubicinol in haematological patients","type":"article-journal","volume":"955-956"},"uris":["http://www.mendeley.com/documents/?uuid=8356afac-f8bf-42f5-845f-e9b8e587321e"]},{"id":"ITEM-6","itemData":{"DOI":"10.1016/S0731-7085(02)00442-9","ISSN":"07317085","PMID":"12408897","abstract":"A simple, accurate and precise high-performance liquid chromatographic method was developed and validated for the simultaneous determination of doxorubicin and its three metabolites, including doxorubicinol, doxorubicinolone and doxorubicinone, in rat serum and bile. Following a single protein precipitation step, chromatographic separation was accomplished using a C-18 column with a mobile phase consisting of 50 mM sodium phosphate buffer-acetonitrile-1-propanol (65:25:2, v/v), pH 2.0. The analytes were measured by fluorescence detection with excitation wavelength of 480 nm and emission wavelength of 560 nm. The lower limits of quantitation were 10 ng/ml for doxorubicin, and 5 ng/ml for the three metabolites. The calibration curves were linear over a concentration range of 10-2500 ng/ml for doxorubicin, and 5-1250 ng/ml for its three metabolites. The average recoveries were greater than 89% for all analytes. The within-day and between-day coefficients of variation were generally less than 13%. Doxorubicin and its metabolites were stable in the precipitated serum and bile samples at room temperature in darkness for at least 48 h. This method permitted the analysis of samples without the presence of the anticoagulant sodium citrate and thus was applied to serum and bile samples collected from rats that were administered doxorubicin intravenously in a pharmacokinetic study. © 2002 Elsevier Science B.V. All rights reserved.","author":[{"dropping-particle":"","family":"Zhou","given":"Qingyu","non-dropping-particle":"","parse-names":false,"suffix":""},{"dropping-particle":"","family":"Chowbay","given":"Balram","non-dropping-particle":"","parse-names":false,"suffix":""}],"container-title":"Journal of Pharmaceutical and Biomedical Analysis","id":"ITEM-6","issue":"4","issued":{"date-parts":[["2002"]]},"page":"1063-1074","title":"Determination of doxorubicin and its metabolites in rat serum and bile by LC: Application to preclinical pharmacokinetic studies","type":"article-journal","volume":"30"},"uris":["http://www.mendeley.com/documents/?uuid=79379c44-ec4d-4505-8fdb-e14c9f8d8c7c"]}],"mendeley":{"formattedCitation":"[47], [48], [50]–[52], [56]","plainTextFormattedCitation":"[47], [48], [50]–[52], [56]","previouslyFormattedCitation":"[47], [48], [50]–[52], [56]"},"properties":{"noteIndex":0},"schema":"https://github.com/citation-style-language/schema/raw/master/csl-citation.json"}</w:instrText>
      </w:r>
      <w:r w:rsidR="2CFE8AFF" w:rsidRPr="610AA1E2">
        <w:rPr>
          <w:rFonts w:ascii="Times New Roman" w:eastAsia="Times New Roman" w:hAnsi="Times New Roman" w:cs="Times New Roman"/>
          <w:sz w:val="24"/>
          <w:szCs w:val="24"/>
        </w:rPr>
        <w:fldChar w:fldCharType="separate"/>
      </w:r>
      <w:r w:rsidRPr="610AA1E2">
        <w:rPr>
          <w:rFonts w:ascii="Times New Roman" w:eastAsia="Times New Roman" w:hAnsi="Times New Roman" w:cs="Times New Roman"/>
          <w:noProof/>
          <w:sz w:val="24"/>
          <w:szCs w:val="24"/>
        </w:rPr>
        <w:t>[47], [48], [50]–[52], [56]</w:t>
      </w:r>
      <w:r w:rsidR="2CFE8AFF" w:rsidRPr="610AA1E2">
        <w:rPr>
          <w:rFonts w:ascii="Times New Roman" w:eastAsia="Times New Roman" w:hAnsi="Times New Roman" w:cs="Times New Roman"/>
          <w:sz w:val="24"/>
          <w:szCs w:val="24"/>
        </w:rPr>
        <w:fldChar w:fldCharType="end"/>
      </w:r>
      <w:r w:rsidRPr="610AA1E2">
        <w:rPr>
          <w:rFonts w:ascii="Times New Roman" w:eastAsia="Times New Roman" w:hAnsi="Times New Roman" w:cs="Times New Roman"/>
          <w:sz w:val="24"/>
          <w:szCs w:val="24"/>
        </w:rPr>
        <w:t xml:space="preserve">, ekstrakcji ciecz-ciecz (LLE) </w:t>
      </w:r>
      <w:r w:rsidR="2CFE8AFF" w:rsidRPr="610AA1E2">
        <w:rPr>
          <w:rFonts w:ascii="Times New Roman" w:eastAsia="Times New Roman" w:hAnsi="Times New Roman" w:cs="Times New Roman"/>
          <w:sz w:val="24"/>
          <w:szCs w:val="24"/>
        </w:rPr>
        <w:fldChar w:fldCharType="begin" w:fldLock="1"/>
      </w:r>
      <w:r w:rsidR="003F3548">
        <w:rPr>
          <w:rFonts w:ascii="Times New Roman" w:eastAsia="Times New Roman" w:hAnsi="Times New Roman" w:cs="Times New Roman"/>
          <w:sz w:val="24"/>
          <w:szCs w:val="24"/>
        </w:rPr>
        <w:instrText>ADDIN CSL_CITATION {"citationItems":[{"id":"ITEM-1","itemData":{"DOI":"10.1002/1522-2683(200108)22:13&lt;2782::AID-ELPS2782&gt;3.0.CO;2-I","ISSN":"01730835","PMID":"11545408","abstract":"Sweeping preconcentration and electrokinetic injection was used for the capillary electrophoretic analysis of trace amounts of biologically active anthracyclines with UV absorption detection. Phosphate buffer (100 mM), pH 2.5, with addition of 40% v/v methanol was used as background electrolyte (BGE). Sodium dodecyl sulfate (150 mM) was added to BGE in the inlet vial as the sweeping agent. The system enables effective separation of anthracyclines as well as cleanup from matrix impurities. Sweeping preconcentration of sample provides an excellent detection limit (1 × 10-9 mol L-1). The method was applied for the determination of therapeutic levels of doxorubicin in real plasma samples.","author":[{"dropping-particle":"","family":"Gavenda","given":"Aleš","non-dropping-particle":"","parse-names":false,"suffix":""},{"dropping-particle":"","family":"Ševčk","given":"Juraj","non-dropping-particle":"","parse-names":false,"suffix":""},{"dropping-particle":"","family":"Psotovář","given":"Jitka","non-dropping-particle":"","parse-names":false,"suffix":""},{"dropping-particle":"","family":"Bedná","given":"Petr","non-dropping-particle":"","parse-names":false,"suffix":""},{"dropping-particle":"","family":"Barták","given":"Petr","non-dropping-particle":"","parse-names":false,"suffix":""},{"dropping-particle":"","family":"Adamovský","given":"Pavel","non-dropping-particle":"","parse-names":false,"suffix":""},{"dropping-particle":"","family":"Šimánek","given":"Vilm","non-dropping-particle":"","parse-names":false,"suffix":""}],"container-title":"Electrophoresis","id":"ITEM-1","issue":"13","issued":{"date-parts":[["2001"]]},"page":"2782-2785","title":"Determination of anthracycline antibiotics doxorubicin and daunorubicin by capillary electrophoresis with UV absorption detection","type":"article-journal","volume":"22"},"uris":["http://www.mendeley.com/documents/?uuid=925f142a-9f53-4fa8-8a83-b2f1396b61f6"]},{"id":"ITEM-2","itemData":{"DOI":"10.1016/0731-7085(95)01301-Z","ISSN":"07317085","PMID":"9696578","abstract":"A high-performance liquid chromatographic assay has been developed and validated for the determination in plasma and urine of doxorubicin (DXR) and some of its metabolites released in vivo from an N-(2-hydroxypropyl)methacrylamide (HPMA) polymer containing DXR linked through its aminosugar moiety to the polymer via an oligopeptide spacer (PK1). The method also allows measurement of the DXR still bound to the polymer. Following addition of two internal standards, the free compounds were extracted twice with isopropanol-chloroform (25:75, v/v). The first extraction was performed at physiological pH and the second after buffering at pH 8.4, in order to extract the aglycones and the glycosides, respectively. Determination of total DXR (polymer-bound plus free DXR) was performed, after quantitative acid hydrolysis to release doxorubicinone from free or polymer-bound DXR, by extraction with the same solvent mixture at pH 7.4. In both cases the organic phase was evaporated to dryness; the compounds were then separated by reversed-phase high-performance liquid chromatography (HPLC) under isocratic conditions and quantitated by fluorimetric detection. In the chromatograms all the analytes appeared to be separated at the baseline and no interference from blank human plasma and urine was observed. The suitability of the method for in vivo samples was checked by the analysis of plasma and urine samples obtained from a cancer patient who had received a single intravenous dose of the test compound. © 1995.","author":[{"dropping-particle":"","family":"Fraier","given":"D.","non-dropping-particle":"","parse-names":false,"suffix":""},{"dropping-particle":"","family":"Frigerio","given":"E.","non-dropping-particle":"","parse-names":false,"suffix":""},{"dropping-particle":"","family":"Pianezzola","given":"E.","non-dropping-particle":"","parse-names":false,"suffix":""},{"dropping-particle":"","family":"Strolin Benedetti","given":"M.","non-dropping-particle":"","parse-names":false,"suffix":""},{"dropping-particle":"","family":"Cassidy","given":"J.","non-dropping-particle":"","parse-names":false,"suffix":""},{"dropping-particle":"","family":"Vasey","given":"P.","non-dropping-particle":"","parse-names":false,"suffix":""}],"container-title":"Journal of Pharmaceutical and Biomedical Analysis","id":"ITEM-2","issue":"4-5","issued":{"date-parts":[["1995"]]},"page":"625-633","title":"A sensitive procedure for the quantitation of free and N-(2-hydroxypropyl)methacrylamide polymer-bound doxorubicin (PK1) and some of its metabolites, 13-dihydrodoxorubicin, 13-dihydrodoxorubicinone and doxorubicinone, in human plasma and urine by reversed","type":"article-journal","volume":"13"},"uris":["http://www.mendeley.com/documents/?uuid=2b9c1ec6-808f-4d57-925f-0f0b68d7650c"]}],"mendeley":{"formattedCitation":"[49], [57]","plainTextFormattedCitation":"[49], [57]","previouslyFormattedCitation":"[49], [57]"},"properties":{"noteIndex":0},"schema":"https://github.com/citation-style-language/schema/raw/master/csl-citation.json"}</w:instrText>
      </w:r>
      <w:r w:rsidR="2CFE8AFF" w:rsidRPr="610AA1E2">
        <w:rPr>
          <w:rFonts w:ascii="Times New Roman" w:eastAsia="Times New Roman" w:hAnsi="Times New Roman" w:cs="Times New Roman"/>
          <w:sz w:val="24"/>
          <w:szCs w:val="24"/>
        </w:rPr>
        <w:fldChar w:fldCharType="separate"/>
      </w:r>
      <w:r w:rsidRPr="610AA1E2">
        <w:rPr>
          <w:rFonts w:ascii="Times New Roman" w:eastAsia="Times New Roman" w:hAnsi="Times New Roman" w:cs="Times New Roman"/>
          <w:noProof/>
          <w:sz w:val="24"/>
          <w:szCs w:val="24"/>
        </w:rPr>
        <w:t>[49], [57]</w:t>
      </w:r>
      <w:r w:rsidR="2CFE8AFF" w:rsidRPr="610AA1E2">
        <w:rPr>
          <w:rFonts w:ascii="Times New Roman" w:eastAsia="Times New Roman" w:hAnsi="Times New Roman" w:cs="Times New Roman"/>
          <w:sz w:val="24"/>
          <w:szCs w:val="24"/>
        </w:rPr>
        <w:fldChar w:fldCharType="end"/>
      </w:r>
      <w:r w:rsidRPr="610AA1E2">
        <w:rPr>
          <w:rFonts w:ascii="Times New Roman" w:eastAsia="Times New Roman" w:hAnsi="Times New Roman" w:cs="Times New Roman"/>
          <w:sz w:val="24"/>
          <w:szCs w:val="24"/>
        </w:rPr>
        <w:t xml:space="preserve"> oraz ekstrakcji do fazy stałej (SPE) </w:t>
      </w:r>
      <w:r w:rsidR="2CFE8AFF" w:rsidRPr="610AA1E2">
        <w:rPr>
          <w:rFonts w:ascii="Times New Roman" w:eastAsia="Times New Roman" w:hAnsi="Times New Roman" w:cs="Times New Roman"/>
          <w:sz w:val="24"/>
          <w:szCs w:val="24"/>
        </w:rPr>
        <w:fldChar w:fldCharType="begin" w:fldLock="1"/>
      </w:r>
      <w:r w:rsidR="008C0364">
        <w:rPr>
          <w:rFonts w:ascii="Times New Roman" w:eastAsia="Times New Roman" w:hAnsi="Times New Roman" w:cs="Times New Roman"/>
          <w:sz w:val="24"/>
          <w:szCs w:val="24"/>
        </w:rPr>
        <w:instrText>ADDIN CSL_CITATION {"citationItems":[{"id":"ITEM-1","itemData":{"DOI":"10.1016/S0378-4347(97)00610-5","ISSN":"15726495","PMID":"9613953","abstract":"A high-performance liquid chromatographic method with electrochemical detection has been developed for the simultaneous determination of epirubicin, 13-S-dihydroepirubicin, doxorubicin and 13-S-dihydrodoxorubicin in human plasma. An aliquot of 200 μl plasma, spiked with internal standard, was extracted by solid-phase extraction using polymeric adsorbent columns. Chromatography was performed using a C18 reversed-phase column with a mobile phase consisting of water-acetonitrile (71:29, v/v) containing 0.05 M Na2HPO4 and 0.05% v/v triethylamine adjusted to pH 4.6 with citric acid. Linearity of the method was obtained in the concentration range of 1-500 ng/ml for all the analytes. Analytical recoveries of the analytes ranged from 89 to 93%. The assay can be used for the simultaneous determination of the four analytes, or for epirubicin and its metabolite or doxorubicin and its metabolite, using the other parent drug as an internal standard. The method was applied to analyze human plasma samples from patients treated with epirubicin using doxorubicin as an internal standard.","author":[{"dropping-particle":"","family":"Ricciarello","given":"R.","non-dropping-particle":"","parse-names":false,"suffix":""},{"dropping-particle":"","family":"Pichini","given":"S.","non-dropping-particle":"","parse-names":false,"suffix":""},{"dropping-particle":"","family":"Pacifici","given":"R.","non-dropping-particle":"","parse-names":false,"suffix":""},{"dropping-particle":"","family":"Altieri","given":"I.","non-dropping-particle":"","parse-names":false,"suffix":""},{"dropping-particle":"","family":"Pellegrini","given":"M.","non-dropping-particle":"","parse-names":false,"suffix":""},{"dropping-particle":"","family":"Fattorossi","given":"A.","non-dropping-particle":"","parse-names":false,"suffix":""},{"dropping-particle":"","family":"Zuccaro","given":"P.","non-dropping-particle":"","parse-names":false,"suffix":""}],"container-title":"Journal of Chromatography B: Biomedical Applications","id":"ITEM-1","issue":"1-2","issued":{"date-parts":[["1998"]]},"page":"219-225","title":"Simultaneous determination of epirubicin, doxorubicin and their principal metabolites in human plasma by high-performance liquid chromatography and electrochemical detection","type":"article-journal","volume":"707"},"uris":["http://www.mendeley.com/documents/?uuid=25fde07d-3287-4c57-ba37-52190dbcfd70"]},{"id":"ITEM-2","itemData":{"DOI":"10.1016/j.jchromb.2012.12.012","ISSN":"15700232","PMID":"23337906","abstract":"A sensitive, selective, accurate and precise method for simultaneous quantification of doxorubicin (DOX) and doxorubicinol (DOXol) in human plasma of patients diagnosed as having intermediate stage unresectable hepatocellular carcinoma (HCC) was developed. The method was based on electrospray tandem mass spectrometry in selected reaction monitoring mode. DOX, DOXol and trofosfamide, an internal standard, were extracted from plasma by using a simple solid phase extraction (SPE) procedure after the addition of 0.1. M hydrochloric acid.A 200-μL aliquot of the extracted sample reconstituted in mobile phase was analyzed on a Zorbax SB-C18 UHPLC column (50mm×2.1mm, 1.8μm particle size) in 8min. The mobile phase consisted of acetonitrile and 0.1% formic acid pH 4.5 (95:05 v/v). Good accuracy and precision of this method were demonstrated by determination of spiked plasma QC samples in four consecutive days. The SPE extraction recoveries ranged from 72.3 to 77.3% and 75.5 to 98.4% for doxorubicin and doxorubicinol, respectively. The intra-day and inter-day precisions were less than 11.4%. The limit of quantitation was 1.0ng/mL for both compounds. The calibration curves of DOX and DOXol were analyzed by weighted linear regression with 1/x as a weighting factor. They were linear over the concentration range of 1.0-100.0ng/mL with R2 greater than 0.99.This developed method was successfully applied to study plasma pharmacokinetics in patients affected by HCC and treated with transarterial chemoemolization practices (TACEs) using HepaSphere™ pre-loaded with DOX in a standardized procedure. © 2012 Elsevier B.V.","author":[{"dropping-particle":"","family":"Sottani","given":"Cristina","non-dropping-particle":"","parse-names":false,"suffix":""},{"dropping-particle":"","family":"Poggi","given":"Guido","non-dropping-particle":"","parse-names":false,"suffix":""},{"dropping-particle":"","family":"Melchiorre","given":"Fabio","non-dropping-particle":"","parse-names":false,"suffix":""},{"dropping-particle":"","family":"Montagna","given":"Benedetta","non-dropping-particle":"","parse-names":false,"suffix":""},{"dropping-particle":"","family":"Minoia","given":"Claudio","non-dropping-particle":"","parse-names":false,"suffix":""}],"container-title":"Journal of Chromatography B: Analytical Technologies in the Biomedical and Life Sciences","id":"ITEM-2","issued":{"date-parts":[["2013"]]},"page":"71-78","publisher":"Elsevier B.V.","title":"Simultaneous measurement of doxorubicin and reduced metabolite doxorubicinol by UHPLC-MS/MS in human plasma of HCC patients treated with TACE","type":"article-journal","volume":"915-916"},"uris":["http://www.mendeley.com/documents/?uuid=fdde2879-ac35-40b6-bff0-e5f341fbfaa1"]},{"id":"ITEM-3","itemData":{"DOI":"10.1016/j.jpba.2006.06.032","ISSN":"07317085","PMID":"16884884","abstract":"A validated HPLC method was developed for the quantification of doxorubicin in rabbit ocular tissues using solid phase extraction and ultraviolet detection. Chromatographic separation of doxorubicin in various ocular tissues was performed on a C18 column. The mobile phase was composed of 0.2 M KH2PO4 buffer solution, acetonitrile and triethylamine in volumetric ratio of 70/30/0.2, adjusted to pH 4.0 with orthophosphoric acid. The calibration curve was linear over the range of 0.03-10, 0.03-10, 0.05-10 and 0.05-10 μg/ml in vitreous body, iris, retina/choroids and sclera, respectively. The intra-day and inter-day precisions in all ocular tissues were smaller than 4.95% and 5.73%, and the accuracies were about 100%. The extraction recoveries of doxorubicin in all of the ocular tissues were between 83.47% and 96.33%. After intravitreal administration of doxorubicin-loaded poly-β-hydroxybutyrate microspheres, doxorubicin level in ocular tissues was much lower than that for administration of free doxorubicin, which was helpful to reduce the associated toxicity to surrounding tissues. Doxorubicin was detectable even after tens of days in the studied ocular tissues. © 2006 Elsevier B.V. All rights reserved.","author":[{"dropping-particle":"","family":"Hu","given":"Tao","non-dropping-particle":"","parse-names":false,"suffix":""},{"dropping-particle":"","family":"Le","given":"Qihua","non-dropping-particle":"","parse-names":false,"suffix":""},{"dropping-particle":"","family":"Wu","given":"Zhiyi","non-dropping-particle":"","parse-names":false,"suffix":""},{"dropping-particle":"","family":"Wu","given":"Wei","non-dropping-particle":"","parse-names":false,"suffix":""}],"container-title":"Journal of Pharmaceutical and Biomedical Analysis","id":"ITEM-3","issue":"1","issued":{"date-parts":[["2007"]]},"page":"263-269","title":"Determination of doxorubicin in rabbit ocular tissues and pharmacokinetics after intravitreal injection of a single dose of doxorubicin-loaded poly-β-hydroxybutyrate microspheres","type":"article-journal","volume":"43"},"uris":["http://www.mendeley.com/documents/?uuid=2dded347-b193-4fdf-8e33-c48d11657724"]}],"mendeley":{"formattedCitation":"[53], [58], [59]","plainTextFormattedCitation":"[53], [58], [59]","previouslyFormattedCitation":"[53], [58], [59]"},"properties":{"noteIndex":0},"schema":"https://github.com/citation-style-language/schema/raw/master/csl-citation.json"}</w:instrText>
      </w:r>
      <w:r w:rsidR="2CFE8AFF" w:rsidRPr="610AA1E2">
        <w:rPr>
          <w:rFonts w:ascii="Times New Roman" w:eastAsia="Times New Roman" w:hAnsi="Times New Roman" w:cs="Times New Roman"/>
          <w:sz w:val="24"/>
          <w:szCs w:val="24"/>
        </w:rPr>
        <w:fldChar w:fldCharType="separate"/>
      </w:r>
      <w:r w:rsidR="008C0364" w:rsidRPr="008C0364">
        <w:rPr>
          <w:rFonts w:ascii="Times New Roman" w:eastAsia="Times New Roman" w:hAnsi="Times New Roman" w:cs="Times New Roman"/>
          <w:noProof/>
          <w:sz w:val="24"/>
          <w:szCs w:val="24"/>
        </w:rPr>
        <w:t>[53], [58], [59]</w:t>
      </w:r>
      <w:r w:rsidR="2CFE8AFF" w:rsidRPr="610AA1E2">
        <w:rPr>
          <w:rFonts w:ascii="Times New Roman" w:eastAsia="Times New Roman" w:hAnsi="Times New Roman" w:cs="Times New Roman"/>
          <w:sz w:val="24"/>
          <w:szCs w:val="24"/>
        </w:rPr>
        <w:fldChar w:fldCharType="end"/>
      </w:r>
      <w:r w:rsidR="008C0364">
        <w:rPr>
          <w:rFonts w:ascii="Times New Roman" w:eastAsia="Times New Roman" w:hAnsi="Times New Roman" w:cs="Times New Roman"/>
          <w:sz w:val="24"/>
          <w:szCs w:val="24"/>
        </w:rPr>
        <w:fldChar w:fldCharType="begin" w:fldLock="1"/>
      </w:r>
      <w:r w:rsidR="00195DAD">
        <w:rPr>
          <w:rFonts w:ascii="Times New Roman" w:eastAsia="Times New Roman" w:hAnsi="Times New Roman" w:cs="Times New Roman"/>
          <w:sz w:val="24"/>
          <w:szCs w:val="24"/>
        </w:rPr>
        <w:instrText>ADDIN CSL_CITATION {"citationItems":[{"id":"ITEM-1","itemData":{"DOI":"10.1002/rcm","abstract":"We have determined d13C, d2H and d18O isotopic abundances in Andalusian olive oils. In addition, the fatty acid composition and the distribution of isomers at positions 1,3 and 2 of glycerol were determined by 1H and 13C nuclear magnetic resonance (NMR) spectroscopy, respectively. Isotopic results obtained for four series of oil samples extracted from olives harvested in the 2004/05 and 2005/06 seasons are discussed in terms of olive variety, ripeness, geographical origin, fatty acid composition and growing altitude. A distinction was also established between olives grown in irrigated and in dry land by studying selected samples of the previous series and others from the 2005/06, 2006/07, 2007/08 and 2008/09 seasons. The results showed that olive ripeness does not influence the abundance of any of the three isotopes studied. On the other hand, the olive variety influences the abundance of the oxygen and hydrogen isotopes, and also, less markedly, that of carbon. No clear-cut effect of height or latitude on isotope values is observed, probably because the olive variety also changes with height and latitude, thus masking such influences. The oil samples from dryland-grown olives had increased d13C values relative to irrigation-grown olives. In addition, no definite relationship appears to exist between isotope distribution and fatty acid composition. Finally, oil samples from olives harvested in the 2005/06 season in Italy could be distinguished from those from Spain in terms of their isotopic values (d2H mainly). Copyright # 2010 John Wiley &amp; Sons, Ltd.","author":[{"dropping-particle":"","family":"Cristina Sottani, Paola Rinaldi, Emanuela Leoni, Guido Poggi, Cristina Teragni","given":"","non-dropping-particle":"","parse-names":false,"suffix":""},{"dropping-particle":"","family":"Minoia","given":"Angelo Delmonte and Claudio","non-dropping-particle":"","parse-names":false,"suffix":""}],"container-title":"RAPID COMMUNICATIONS IN MASS SPECTROMETRY","id":"ITEM-1","issued":{"date-parts":[["2008"]]},"page":"2645–2659","title":"Simultaneous determination of cyclophosphamide, ifosfamide, doxorubicin, epirubicin and daunorubicin in human urine using high-performance liquid chromatography/electrospray ionization tandem mass spectrometry: bioanalytical method validation","type":"article-journal","volume":"22"},"uris":["http://www.mendeley.com/documents/?uuid=3f42e645-4d3c-462e-ae10-469720fb91f8"]}],"mendeley":{"formattedCitation":"[54]","plainTextFormattedCitation":"[54]","previouslyFormattedCitation":"[54]"},"properties":{"noteIndex":0},"schema":"https://github.com/citation-style-language/schema/raw/master/csl-citation.json"}</w:instrText>
      </w:r>
      <w:r w:rsidR="008C0364">
        <w:rPr>
          <w:rFonts w:ascii="Times New Roman" w:eastAsia="Times New Roman" w:hAnsi="Times New Roman" w:cs="Times New Roman"/>
          <w:sz w:val="24"/>
          <w:szCs w:val="24"/>
        </w:rPr>
        <w:fldChar w:fldCharType="separate"/>
      </w:r>
      <w:r w:rsidR="00446FEF" w:rsidRPr="00446FEF">
        <w:rPr>
          <w:rFonts w:ascii="Times New Roman" w:eastAsia="Times New Roman" w:hAnsi="Times New Roman" w:cs="Times New Roman"/>
          <w:noProof/>
          <w:sz w:val="24"/>
          <w:szCs w:val="24"/>
        </w:rPr>
        <w:t>[54]</w:t>
      </w:r>
      <w:r w:rsidR="008C0364">
        <w:rPr>
          <w:rFonts w:ascii="Times New Roman" w:eastAsia="Times New Roman" w:hAnsi="Times New Roman" w:cs="Times New Roman"/>
          <w:sz w:val="24"/>
          <w:szCs w:val="24"/>
        </w:rPr>
        <w:fldChar w:fldCharType="end"/>
      </w:r>
      <w:r w:rsidRPr="610AA1E2">
        <w:rPr>
          <w:rFonts w:ascii="Times New Roman" w:eastAsia="Times New Roman" w:hAnsi="Times New Roman" w:cs="Times New Roman"/>
          <w:sz w:val="24"/>
          <w:szCs w:val="24"/>
        </w:rPr>
        <w:t xml:space="preserve">. W przypadku </w:t>
      </w:r>
      <w:proofErr w:type="spellStart"/>
      <w:r w:rsidRPr="610AA1E2">
        <w:rPr>
          <w:rFonts w:ascii="Times New Roman" w:eastAsia="Times New Roman" w:hAnsi="Times New Roman" w:cs="Times New Roman"/>
          <w:sz w:val="24"/>
          <w:szCs w:val="24"/>
        </w:rPr>
        <w:t>deproteinizacji</w:t>
      </w:r>
      <w:proofErr w:type="spellEnd"/>
      <w:r w:rsidRPr="610AA1E2">
        <w:rPr>
          <w:rFonts w:ascii="Times New Roman" w:eastAsia="Times New Roman" w:hAnsi="Times New Roman" w:cs="Times New Roman"/>
          <w:sz w:val="24"/>
          <w:szCs w:val="24"/>
        </w:rPr>
        <w:t xml:space="preserve"> - jako rozpuszczalnik strącający białka najczęściej wybierano </w:t>
      </w:r>
      <w:proofErr w:type="spellStart"/>
      <w:r w:rsidRPr="610AA1E2">
        <w:rPr>
          <w:rFonts w:ascii="Times New Roman" w:eastAsia="Times New Roman" w:hAnsi="Times New Roman" w:cs="Times New Roman"/>
          <w:sz w:val="24"/>
          <w:szCs w:val="24"/>
        </w:rPr>
        <w:t>MeOH</w:t>
      </w:r>
      <w:proofErr w:type="spellEnd"/>
      <w:r w:rsidRPr="610AA1E2">
        <w:rPr>
          <w:rFonts w:ascii="Times New Roman" w:eastAsia="Times New Roman" w:hAnsi="Times New Roman" w:cs="Times New Roman"/>
          <w:sz w:val="24"/>
          <w:szCs w:val="24"/>
        </w:rPr>
        <w:t xml:space="preserve"> </w:t>
      </w:r>
      <w:r w:rsidR="2CFE8AFF" w:rsidRPr="610AA1E2">
        <w:rPr>
          <w:rFonts w:ascii="Times New Roman" w:eastAsia="Times New Roman" w:hAnsi="Times New Roman" w:cs="Times New Roman"/>
          <w:sz w:val="24"/>
          <w:szCs w:val="24"/>
        </w:rPr>
        <w:fldChar w:fldCharType="begin" w:fldLock="1"/>
      </w:r>
      <w:r w:rsidR="003F3548">
        <w:rPr>
          <w:rFonts w:ascii="Times New Roman" w:eastAsia="Times New Roman" w:hAnsi="Times New Roman" w:cs="Times New Roman"/>
          <w:sz w:val="24"/>
          <w:szCs w:val="24"/>
        </w:rPr>
        <w:instrText>ADDIN CSL_CITATION {"citationItems":[{"id":"ITEM-1","itemData":{"DOI":"10.1016/j.ejps.2010.07.015","ISSN":"09280987","PMID":"20688160","abstract":"Although being used for decades in the treatment of several types of cancer, either alone or in association, only a few data about the pharmacokinetics of doxorubicin (DOX) in humans are available. DOX is frequently used in association with other anticancer drugs in the management of breast cancer. Pharmacokinetic data available in the literature show that after i.v. administration DOX follows a two-compartment open model, with a fast distribution phase followed by a very slow elimination phase. The objective of this work is to perform a pilot study in order to verify if the usual dose adjustment based on body surface area (BSA) would be producing the same plasma concentration-time profiles in patients with normal (&lt;25) and above normal (&gt;25) body mass index (BMI). In order to assess the pharmacokinetics of DOX after a short-term i.v. infusion of 60mg/m2 of BSA, an experimental design using only five plasma samples of each patient was applied. Samples were collected at 0.00, 0.66 (right after the end of infusion), 1.66, 8.66, and 24.66h. DOX pharmacokinetic profiles were evaluated after quantification of DOX using a new HPLC method developed and validated. Pharmacokinetic parameters (AUC0-24.66 and Cmax) were analyzed by non-compartmental and compartmental approaches. Significant differences (α=0.05) between overweight and normal weight groups were found with respect to AUC and Cmax. After adjustment of dose by weight and by BMI, the compartmental model was used to simulate plasma concentrations and new values for Cmax and AUC0-24.66 were calculated. The new values obtained using both body weight (BW) and BMI were closer to the normal group than those obtained with BSA. According to the simulation, the differences of AUC and Cmax between the overweight group and the group of patients with normal weight were lower when the dose was adjusted by BW and BMI. These results suggest that more studies must be conducted, with more patients, in order to evaluate the best dose adjustment for DOX in women with breast cancer and overweight. © 2010.","author":[{"dropping-particle":"","family":"Barpe","given":"Deise Raquel","non-dropping-particle":"","parse-names":false,"suffix":""},{"dropping-particle":"","family":"Rosa","given":"Daniela Dornelles","non-dropping-particle":"","parse-names":false,"suffix":""},{"dropping-particle":"","family":"Froehlich","given":"Pedro Eduardo","non-dropping-particle":"","parse-names":false,"suffix":""}],"container-title":"European Journal of Pharmaceutical Sciences","id":"ITEM-1","issue":"3-4","issued":{"date-parts":[["2010"]]},"page":"458-463","publisher":"Elsevier B.V.","title":"Pharmacokinetic evaluation of doxorubicin plasma levels in normal and overweight patients with breast cancer and simulation of dose adjustment by different indexes of body mass","type":"article-journal","volume":"41"},"uris":["http://www.mendeley.com/documents/?uuid=557dde94-60fa-45b1-bc7a-c645fca1c1f7"]},{"id":"ITEM-2","itemData":{"DOI":"10.1016/j.jpba.2015.04.007","ISSN":"1873264X","PMID":"25910045","abstract":"A specific, sensitive and rapid liquid chromatography tandem mass spectrometry (LC-MS/MS) method has been developed and validated for simultaneous quantification of doxorubicin and curcumin in rat plasma after intravenous administration. The analytes of doxorubicin and curcumin were extracted with methanol precipitation using glibenclamide as internal standard (IS). The chromatographic separation was performed on a C18 column with acetonitrile and 0.1% formic acid water as mobile phase and with gradient elution at a flow rate of 0.2mL/min. Calibration curves were linear over the ranges of 2-8000ng/mL for doxorubicin and 5-2000ng/mL for curcumin (r&gt;0.99). The lower limit of quantification (LLOQ) was 2ng/mL for DOX and 5ng/mL for Cur. Finally, this developed method was successfully applied in the pharmacokinetic study of doxorubicin and curcumin in rats and evaluated the effects of curcumin on the absorption of doxorubicin after intravenous administration.","author":[{"dropping-particle":"","family":"Ma","given":"Wenzhuan","non-dropping-particle":"","parse-names":false,"suffix":""},{"dropping-particle":"","family":"Wang","given":"Jinling","non-dropping-particle":"","parse-names":false,"suffix":""},{"dropping-particle":"","family":"Guo","given":"Qiang","non-dropping-particle":"","parse-names":false,"suffix":""},{"dropping-particle":"","family":"Tu","given":"Pengfei","non-dropping-particle":"","parse-names":false,"suffix":""}],"container-title":"Journal of Pharmaceutical and Biomedical Analysis","id":"ITEM-2","issued":{"date-parts":[["2015"]]},"page":"215-221","publisher":"Elsevier B.V.","title":"Simultaneous determination of doxorubicin and curcumin in rat plasma by LC-MS/MS and its application to pharmacokinetic study","type":"article-journal","volume":"111"},"uris":["http://www.mendeley.com/documents/?uuid=68daa630-16b6-4ad2-ad45-3f9268abb042"]},{"id":"ITEM-3","itemData":{"DOI":"10.1016/S0731-7085(02)00442-9","ISSN":"07317085","PMID":"12408897","abstract":"A simple, accurate and precise high-performance liquid chromatographic method was developed and validated for the simultaneous determination of doxorubicin and its three metabolites, including doxorubicinol, doxorubicinolone and doxorubicinone, in rat serum and bile. Following a single protein precipitation step, chromatographic separation was accomplished using a C-18 column with a mobile phase consisting of 50 mM sodium phosphate buffer-acetonitrile-1-propanol (65:25:2, v/v), pH 2.0. The analytes were measured by fluorescence detection with excitation wavelength of 480 nm and emission wavelength of 560 nm. The lower limits of quantitation were 10 ng/ml for doxorubicin, and 5 ng/ml for the three metabolites. The calibration curves were linear over a concentration range of 10-2500 ng/ml for doxorubicin, and 5-1250 ng/ml for its three metabolites. The average recoveries were greater than 89% for all analytes. The within-day and between-day coefficients of variation were generally less than 13%. Doxorubicin and its metabolites were stable in the precipitated serum and bile samples at room temperature in darkness for at least 48 h. This method permitted the analysis of samples without the presence of the anticoagulant sodium citrate and thus was applied to serum and bile samples collected from rats that were administered doxorubicin intravenously in a pharmacokinetic study. © 2002 Elsevier Science B.V. All rights reserved.","author":[{"dropping-particle":"","family":"Zhou","given":"Qingyu","non-dropping-particle":"","parse-names":false,"suffix":""},{"dropping-particle":"","family":"Chowbay","given":"Balram","non-dropping-particle":"","parse-names":false,"suffix":""}],"container-title":"Journal of Pharmaceutical and Biomedical Analysis","id":"ITEM-3","issue":"4","issued":{"date-parts":[["2002"]]},"page":"1063-1074","title":"Determination of doxorubicin and its metabolites in rat serum and bile by LC: Application to preclinical pharmacokinetic studies","type":"article-journal","volume":"30"},"uris":["http://www.mendeley.com/documents/?uuid=79379c44-ec4d-4505-8fdb-e14c9f8d8c7c"]}],"mendeley":{"formattedCitation":"[47], [51], [52]","plainTextFormattedCitation":"[47], [51], [52]","previouslyFormattedCitation":"[47], [51], [52]"},"properties":{"noteIndex":0},"schema":"https://github.com/citation-style-language/schema/raw/master/csl-citation.json"}</w:instrText>
      </w:r>
      <w:r w:rsidR="2CFE8AFF" w:rsidRPr="610AA1E2">
        <w:rPr>
          <w:rFonts w:ascii="Times New Roman" w:eastAsia="Times New Roman" w:hAnsi="Times New Roman" w:cs="Times New Roman"/>
          <w:sz w:val="24"/>
          <w:szCs w:val="24"/>
        </w:rPr>
        <w:fldChar w:fldCharType="separate"/>
      </w:r>
      <w:r w:rsidRPr="610AA1E2">
        <w:rPr>
          <w:rFonts w:ascii="Times New Roman" w:eastAsia="Times New Roman" w:hAnsi="Times New Roman" w:cs="Times New Roman"/>
          <w:noProof/>
          <w:sz w:val="24"/>
          <w:szCs w:val="24"/>
        </w:rPr>
        <w:t>[47], [51], [52]</w:t>
      </w:r>
      <w:r w:rsidR="2CFE8AFF" w:rsidRPr="610AA1E2">
        <w:rPr>
          <w:rFonts w:ascii="Times New Roman" w:eastAsia="Times New Roman" w:hAnsi="Times New Roman" w:cs="Times New Roman"/>
          <w:sz w:val="24"/>
          <w:szCs w:val="24"/>
        </w:rPr>
        <w:fldChar w:fldCharType="end"/>
      </w:r>
      <w:r w:rsidRPr="610AA1E2">
        <w:rPr>
          <w:rFonts w:ascii="Times New Roman" w:eastAsia="Times New Roman" w:hAnsi="Times New Roman" w:cs="Times New Roman"/>
          <w:sz w:val="24"/>
          <w:szCs w:val="24"/>
        </w:rPr>
        <w:t xml:space="preserve"> podczas gdy rozpuszczalnikiem ekstrahującym w LLE był chloroform (</w:t>
      </w:r>
      <w:proofErr w:type="spellStart"/>
      <w:r w:rsidRPr="610AA1E2">
        <w:rPr>
          <w:rFonts w:ascii="Times New Roman" w:eastAsia="Times New Roman" w:hAnsi="Times New Roman" w:cs="Times New Roman"/>
          <w:sz w:val="24"/>
          <w:szCs w:val="24"/>
        </w:rPr>
        <w:t>Chl</w:t>
      </w:r>
      <w:proofErr w:type="spellEnd"/>
      <w:r w:rsidRPr="610AA1E2">
        <w:rPr>
          <w:rFonts w:ascii="Times New Roman" w:eastAsia="Times New Roman" w:hAnsi="Times New Roman" w:cs="Times New Roman"/>
          <w:sz w:val="24"/>
          <w:szCs w:val="24"/>
        </w:rPr>
        <w:t xml:space="preserve">) z dodatkiem </w:t>
      </w:r>
      <w:proofErr w:type="spellStart"/>
      <w:r w:rsidRPr="610AA1E2">
        <w:rPr>
          <w:rFonts w:ascii="Times New Roman" w:eastAsia="Times New Roman" w:hAnsi="Times New Roman" w:cs="Times New Roman"/>
          <w:sz w:val="24"/>
          <w:szCs w:val="24"/>
        </w:rPr>
        <w:t>acetonitrylu</w:t>
      </w:r>
      <w:proofErr w:type="spellEnd"/>
      <w:r w:rsidRPr="610AA1E2">
        <w:rPr>
          <w:rFonts w:ascii="Times New Roman" w:eastAsia="Times New Roman" w:hAnsi="Times New Roman" w:cs="Times New Roman"/>
          <w:sz w:val="24"/>
          <w:szCs w:val="24"/>
        </w:rPr>
        <w:t xml:space="preserve"> (ACN) oraz buforu fosforanowego </w:t>
      </w:r>
      <w:r w:rsidR="2CFE8AFF" w:rsidRPr="610AA1E2">
        <w:rPr>
          <w:rFonts w:ascii="Times New Roman" w:eastAsia="Times New Roman" w:hAnsi="Times New Roman" w:cs="Times New Roman"/>
          <w:sz w:val="24"/>
          <w:szCs w:val="24"/>
        </w:rPr>
        <w:fldChar w:fldCharType="begin" w:fldLock="1"/>
      </w:r>
      <w:r w:rsidR="003F3548">
        <w:rPr>
          <w:rFonts w:ascii="Times New Roman" w:eastAsia="Times New Roman" w:hAnsi="Times New Roman" w:cs="Times New Roman"/>
          <w:sz w:val="24"/>
          <w:szCs w:val="24"/>
        </w:rPr>
        <w:instrText>ADDIN CSL_CITATION {"citationItems":[{"id":"ITEM-1","itemData":{"DOI":"10.1002/1522-2683(200108)22:13&lt;2782::AID-ELPS2782&gt;3.0.CO;2-I","ISSN":"01730835","PMID":"11545408","abstract":"Sweeping preconcentration and electrokinetic injection was used for the capillary electrophoretic analysis of trace amounts of biologically active anthracyclines with UV absorption detection. Phosphate buffer (100 mM), pH 2.5, with addition of 40% v/v methanol was used as background electrolyte (BGE). Sodium dodecyl sulfate (150 mM) was added to BGE in the inlet vial as the sweeping agent. The system enables effective separation of anthracyclines as well as cleanup from matrix impurities. Sweeping preconcentration of sample provides an excellent detection limit (1 × 10-9 mol L-1). The method was applied for the determination of therapeutic levels of doxorubicin in real plasma samples.","author":[{"dropping-particle":"","family":"Gavenda","given":"Aleš","non-dropping-particle":"","parse-names":false,"suffix":""},{"dropping-particle":"","family":"Ševčk","given":"Juraj","non-dropping-particle":"","parse-names":false,"suffix":""},{"dropping-particle":"","family":"Psotovář","given":"Jitka","non-dropping-particle":"","parse-names":false,"suffix":""},{"dropping-particle":"","family":"Bedná","given":"Petr","non-dropping-particle":"","parse-names":false,"suffix":""},{"dropping-particle":"","family":"Barták","given":"Petr","non-dropping-particle":"","parse-names":false,"suffix":""},{"dropping-particle":"","family":"Adamovský","given":"Pavel","non-dropping-particle":"","parse-names":false,"suffix":""},{"dropping-particle":"","family":"Šimánek","given":"Vilm","non-dropping-particle":"","parse-names":false,"suffix":""}],"container-title":"Electrophoresis","id":"ITEM-1","issue":"13","issued":{"date-parts":[["2001"]]},"page":"2782-2785","title":"Determination of anthracycline antibiotics doxorubicin and daunorubicin by capillary electrophoresis with UV absorption detection","type":"article-journal","volume":"22"},"uris":["http://www.mendeley.com/documents/?uuid=925f142a-9f53-4fa8-8a83-b2f1396b61f6"]}],"mendeley":{"formattedCitation":"[57]","plainTextFormattedCitation":"[57]","previouslyFormattedCitation":"[57]"},"properties":{"noteIndex":0},"schema":"https://github.com/citation-style-language/schema/raw/master/csl-citation.json"}</w:instrText>
      </w:r>
      <w:r w:rsidR="2CFE8AFF" w:rsidRPr="610AA1E2">
        <w:rPr>
          <w:rFonts w:ascii="Times New Roman" w:eastAsia="Times New Roman" w:hAnsi="Times New Roman" w:cs="Times New Roman"/>
          <w:sz w:val="24"/>
          <w:szCs w:val="24"/>
        </w:rPr>
        <w:fldChar w:fldCharType="separate"/>
      </w:r>
      <w:r w:rsidRPr="610AA1E2">
        <w:rPr>
          <w:rFonts w:ascii="Times New Roman" w:eastAsia="Times New Roman" w:hAnsi="Times New Roman" w:cs="Times New Roman"/>
          <w:noProof/>
          <w:sz w:val="24"/>
          <w:szCs w:val="24"/>
        </w:rPr>
        <w:t>[57]</w:t>
      </w:r>
      <w:r w:rsidR="2CFE8AFF" w:rsidRPr="610AA1E2">
        <w:rPr>
          <w:rFonts w:ascii="Times New Roman" w:eastAsia="Times New Roman" w:hAnsi="Times New Roman" w:cs="Times New Roman"/>
          <w:sz w:val="24"/>
          <w:szCs w:val="24"/>
        </w:rPr>
        <w:fldChar w:fldCharType="end"/>
      </w:r>
      <w:r w:rsidRPr="610AA1E2">
        <w:rPr>
          <w:rFonts w:ascii="Times New Roman" w:eastAsia="Times New Roman" w:hAnsi="Times New Roman" w:cs="Times New Roman"/>
          <w:sz w:val="24"/>
          <w:szCs w:val="24"/>
        </w:rPr>
        <w:t xml:space="preserve"> bądź mieszanina </w:t>
      </w:r>
      <w:proofErr w:type="spellStart"/>
      <w:r w:rsidRPr="610AA1E2">
        <w:rPr>
          <w:rFonts w:ascii="Times New Roman" w:eastAsia="Times New Roman" w:hAnsi="Times New Roman" w:cs="Times New Roman"/>
          <w:sz w:val="24"/>
          <w:szCs w:val="24"/>
        </w:rPr>
        <w:t>izopropanolu</w:t>
      </w:r>
      <w:proofErr w:type="spellEnd"/>
      <w:r w:rsidRPr="610AA1E2">
        <w:rPr>
          <w:rFonts w:ascii="Times New Roman" w:eastAsia="Times New Roman" w:hAnsi="Times New Roman" w:cs="Times New Roman"/>
          <w:sz w:val="24"/>
          <w:szCs w:val="24"/>
        </w:rPr>
        <w:t xml:space="preserve"> i </w:t>
      </w:r>
      <w:proofErr w:type="spellStart"/>
      <w:r w:rsidRPr="610AA1E2">
        <w:rPr>
          <w:rFonts w:ascii="Times New Roman" w:eastAsia="Times New Roman" w:hAnsi="Times New Roman" w:cs="Times New Roman"/>
          <w:sz w:val="24"/>
          <w:szCs w:val="24"/>
        </w:rPr>
        <w:t>Chl</w:t>
      </w:r>
      <w:proofErr w:type="spellEnd"/>
      <w:r w:rsidRPr="610AA1E2">
        <w:rPr>
          <w:rFonts w:ascii="Times New Roman" w:eastAsia="Times New Roman" w:hAnsi="Times New Roman" w:cs="Times New Roman"/>
          <w:sz w:val="24"/>
          <w:szCs w:val="24"/>
        </w:rPr>
        <w:t xml:space="preserve"> </w:t>
      </w:r>
      <w:r w:rsidR="2CFE8AFF" w:rsidRPr="610AA1E2">
        <w:rPr>
          <w:rFonts w:ascii="Times New Roman" w:eastAsia="Times New Roman" w:hAnsi="Times New Roman" w:cs="Times New Roman"/>
          <w:sz w:val="24"/>
          <w:szCs w:val="24"/>
        </w:rPr>
        <w:fldChar w:fldCharType="begin" w:fldLock="1"/>
      </w:r>
      <w:r w:rsidR="003F3548">
        <w:rPr>
          <w:rFonts w:ascii="Times New Roman" w:eastAsia="Times New Roman" w:hAnsi="Times New Roman" w:cs="Times New Roman"/>
          <w:sz w:val="24"/>
          <w:szCs w:val="24"/>
        </w:rPr>
        <w:instrText>ADDIN CSL_CITATION {"citationItems":[{"id":"ITEM-1","itemData":{"DOI":"10.1016/0731-7085(95)01301-Z","ISSN":"07317085","PMID":"9696578","abstract":"A high-performance liquid chromatographic assay has been developed and validated for the determination in plasma and urine of doxorubicin (DXR) and some of its metabolites released in vivo from an N-(2-hydroxypropyl)methacrylamide (HPMA) polymer containing DXR linked through its aminosugar moiety to the polymer via an oligopeptide spacer (PK1). The method also allows measurement of the DXR still bound to the polymer. Following addition of two internal standards, the free compounds were extracted twice with isopropanol-chloroform (25:75, v/v). The first extraction was performed at physiological pH and the second after buffering at pH 8.4, in order to extract the aglycones and the glycosides, respectively. Determination of total DXR (polymer-bound plus free DXR) was performed, after quantitative acid hydrolysis to release doxorubicinone from free or polymer-bound DXR, by extraction with the same solvent mixture at pH 7.4. In both cases the organic phase was evaporated to dryness; the compounds were then separated by reversed-phase high-performance liquid chromatography (HPLC) under isocratic conditions and quantitated by fluorimetric detection. In the chromatograms all the analytes appeared to be separated at the baseline and no interference from blank human plasma and urine was observed. The suitability of the method for in vivo samples was checked by the analysis of plasma and urine samples obtained from a cancer patient who had received a single intravenous dose of the test compound. © 1995.","author":[{"dropping-particle":"","family":"Fraier","given":"D.","non-dropping-particle":"","parse-names":false,"suffix":""},{"dropping-particle":"","family":"Frigerio","given":"E.","non-dropping-particle":"","parse-names":false,"suffix":""},{"dropping-particle":"","family":"Pianezzola","given":"E.","non-dropping-particle":"","parse-names":false,"suffix":""},{"dropping-particle":"","family":"Strolin Benedetti","given":"M.","non-dropping-particle":"","parse-names":false,"suffix":""},{"dropping-particle":"","family":"Cassidy","given":"J.","non-dropping-particle":"","parse-names":false,"suffix":""},{"dropping-particle":"","family":"Vasey","given":"P.","non-dropping-particle":"","parse-names":false,"suffix":""}],"container-title":"Journal of Pharmaceutical and Biomedical Analysis","id":"ITEM-1","issue":"4-5","issued":{"date-parts":[["1995"]]},"page":"625-633","title":"A sensitive procedure for the quantitation of free and N-(2-hydroxypropyl)methacrylamide polymer-bound doxorubicin (PK1) and some of its metabolites, 13-dihydrodoxorubicin, 13-dihydrodoxorubicinone and doxorubicinone, in human plasma and urine by reversed","type":"article-journal","volume":"13"},"uris":["http://www.mendeley.com/documents/?uuid=2b9c1ec6-808f-4d57-925f-0f0b68d7650c"]}],"mendeley":{"formattedCitation":"[49]","plainTextFormattedCitation":"[49]","previouslyFormattedCitation":"[49]"},"properties":{"noteIndex":0},"schema":"https://github.com/citation-style-language/schema/raw/master/csl-citation.json"}</w:instrText>
      </w:r>
      <w:r w:rsidR="2CFE8AFF" w:rsidRPr="610AA1E2">
        <w:rPr>
          <w:rFonts w:ascii="Times New Roman" w:eastAsia="Times New Roman" w:hAnsi="Times New Roman" w:cs="Times New Roman"/>
          <w:sz w:val="24"/>
          <w:szCs w:val="24"/>
        </w:rPr>
        <w:fldChar w:fldCharType="separate"/>
      </w:r>
      <w:r w:rsidRPr="610AA1E2">
        <w:rPr>
          <w:rFonts w:ascii="Times New Roman" w:eastAsia="Times New Roman" w:hAnsi="Times New Roman" w:cs="Times New Roman"/>
          <w:noProof/>
          <w:sz w:val="24"/>
          <w:szCs w:val="24"/>
        </w:rPr>
        <w:t>[49]</w:t>
      </w:r>
      <w:r w:rsidR="2CFE8AFF" w:rsidRPr="610AA1E2">
        <w:rPr>
          <w:rFonts w:ascii="Times New Roman" w:eastAsia="Times New Roman" w:hAnsi="Times New Roman" w:cs="Times New Roman"/>
          <w:sz w:val="24"/>
          <w:szCs w:val="24"/>
        </w:rPr>
        <w:fldChar w:fldCharType="end"/>
      </w:r>
      <w:r w:rsidRPr="610AA1E2">
        <w:rPr>
          <w:rFonts w:ascii="Times New Roman" w:eastAsia="Times New Roman" w:hAnsi="Times New Roman" w:cs="Times New Roman"/>
          <w:sz w:val="24"/>
          <w:szCs w:val="24"/>
        </w:rPr>
        <w:t xml:space="preserve">. W metodach SPE dominowały złoża C18 </w:t>
      </w:r>
      <w:r w:rsidR="2CFE8AFF" w:rsidRPr="610AA1E2">
        <w:rPr>
          <w:rFonts w:ascii="Times New Roman" w:eastAsia="Times New Roman" w:hAnsi="Times New Roman" w:cs="Times New Roman"/>
          <w:sz w:val="24"/>
          <w:szCs w:val="24"/>
        </w:rPr>
        <w:fldChar w:fldCharType="begin" w:fldLock="1"/>
      </w:r>
      <w:r w:rsidR="003F3548">
        <w:rPr>
          <w:rFonts w:ascii="Times New Roman" w:eastAsia="Times New Roman" w:hAnsi="Times New Roman" w:cs="Times New Roman"/>
          <w:sz w:val="24"/>
          <w:szCs w:val="24"/>
        </w:rPr>
        <w:instrText>ADDIN CSL_CITATION {"citationItems":[{"id":"ITEM-1","itemData":{"DOI":"10.1002/rcm","abstract":"We have determined d13C, d2H and d18O isotopic abundances in Andalusian olive oils. In addition, the fatty acid composition and the distribution of isomers at positions 1,3 and 2 of glycerol were determined by 1H and 13C nuclear magnetic resonance (NMR) spectroscopy, respectively. Isotopic results obtained for four series of oil samples extracted from olives harvested in the 2004/05 and 2005/06 seasons are discussed in terms of olive variety, ripeness, geographical origin, fatty acid composition and growing altitude. A distinction was also established between olives grown in irrigated and in dry land by studying selected samples of the previous series and others from the 2005/06, 2006/07, 2007/08 and 2008/09 seasons. The results showed that olive ripeness does not influence the abundance of any of the three isotopes studied. On the other hand, the olive variety influences the abundance of the oxygen and hydrogen isotopes, and also, less markedly, that of carbon. No clear-cut effect of height or latitude on isotope values is observed, probably because the olive variety also changes with height and latitude, thus masking such influences. The oil samples from dryland-grown olives had increased d13C values relative to irrigation-grown olives. In addition, no definite relationship appears to exist between isotope distribution and fatty acid composition. Finally, oil samples from olives harvested in the 2005/06 season in Italy could be distinguished from those from Spain in terms of their isotopic values (d2H mainly). Copyright # 2010 John Wiley &amp; Sons, Ltd.","author":[{"dropping-particle":"","family":"Cristina Sottani, Paola Rinaldi, Emanuela Leoni, Guido Poggi, Cristina Teragni","given":"","non-dropping-particle":"","parse-names":false,"suffix":""},{"dropping-particle":"","family":"Minoia","given":"Angelo Delmonte and Claudio","non-dropping-particle":"","parse-names":false,"suffix":""}],"container-title":"RAPID COMMUNICATIONS IN MASS SPECTROMETRY","id":"ITEM-1","issued":{"date-parts":[["2008"]]},"page":"2645–2659","title":"Simultaneous determination of cyclophosphamide, ifosfamide, doxorubicin, epirubicin and daunorubicin in human urine using high-performance liquid chromatography/electrospray ionization tandem mass spectrometry: bioanalytical method validation","type":"article-journal","volume":"22"},"uris":["http://www.mendeley.com/documents/?uuid=3f42e645-4d3c-462e-ae10-469720fb91f8"]},{"id":"ITEM-2","itemData":{"DOI":"10.1016/j.jpba.2006.06.032","ISSN":"07317085","PMID":"16884884","abstract":"A validated HPLC method was developed for the quantification of doxorubicin in rabbit ocular tissues using solid phase extraction and ultraviolet detection. Chromatographic separation of doxorubicin in various ocular tissues was performed on a C18 column. The mobile phase was composed of 0.2 M KH2PO4 buffer solution, acetonitrile and triethylamine in volumetric ratio of 70/30/0.2, adjusted to pH 4.0 with orthophosphoric acid. The calibration curve was linear over the range of 0.03-10, 0.03-10, 0.05-10 and 0.05-10 μg/ml in vitreous body, iris, retina/choroids and sclera, respectively. The intra-day and inter-day precisions in all ocular tissues were smaller than 4.95% and 5.73%, and the accuracies were about 100%. The extraction recoveries of doxorubicin in all of the ocular tissues were between 83.47% and 96.33%. After intravitreal administration of doxorubicin-loaded poly-β-hydroxybutyrate microspheres, doxorubicin level in ocular tissues was much lower than that for administration of free doxorubicin, which was helpful to reduce the associated toxicity to surrounding tissues. Doxorubicin was detectable even after tens of days in the studied ocular tissues. © 2006 Elsevier B.V. All rights reserved.","author":[{"dropping-particle":"","family":"Hu","given":"Tao","non-dropping-particle":"","parse-names":false,"suffix":""},{"dropping-particle":"","family":"Le","given":"Qihua","non-dropping-particle":"","parse-names":false,"suffix":""},{"dropping-particle":"","family":"Wu","given":"Zhiyi","non-dropping-particle":"","parse-names":false,"suffix":""},{"dropping-particle":"","family":"Wu","given":"Wei","non-dropping-particle":"","parse-names":false,"suffix":""}],"container-title":"Journal of Pharmaceutical and Biomedical Analysis","id":"ITEM-2","issue":"1","issued":{"date-parts":[["2007"]]},"page":"263-269","title":"Determination of doxorubicin in rabbit ocular tissues and pharmacokinetics after intravitreal injection of a single dose of doxorubicin-loaded poly-β-hydroxybutyrate microspheres","type":"article-journal","volume":"43"},"uris":["http://www.mendeley.com/documents/?uuid=2dded347-b193-4fdf-8e33-c48d11657724"]}],"mendeley":{"formattedCitation":"[54], [59]","plainTextFormattedCitation":"[54], [59]","previouslyFormattedCitation":"[54], [59]"},"properties":{"noteIndex":0},"schema":"https://github.com/citation-style-language/schema/raw/master/csl-citation.json"}</w:instrText>
      </w:r>
      <w:r w:rsidR="2CFE8AFF" w:rsidRPr="610AA1E2">
        <w:rPr>
          <w:rFonts w:ascii="Times New Roman" w:eastAsia="Times New Roman" w:hAnsi="Times New Roman" w:cs="Times New Roman"/>
          <w:sz w:val="24"/>
          <w:szCs w:val="24"/>
        </w:rPr>
        <w:fldChar w:fldCharType="separate"/>
      </w:r>
      <w:r w:rsidRPr="610AA1E2">
        <w:rPr>
          <w:rFonts w:ascii="Times New Roman" w:eastAsia="Times New Roman" w:hAnsi="Times New Roman" w:cs="Times New Roman"/>
          <w:noProof/>
          <w:sz w:val="24"/>
          <w:szCs w:val="24"/>
        </w:rPr>
        <w:t>[54], [59]</w:t>
      </w:r>
      <w:r w:rsidR="2CFE8AFF" w:rsidRPr="610AA1E2">
        <w:rPr>
          <w:rFonts w:ascii="Times New Roman" w:eastAsia="Times New Roman" w:hAnsi="Times New Roman" w:cs="Times New Roman"/>
          <w:sz w:val="24"/>
          <w:szCs w:val="24"/>
        </w:rPr>
        <w:fldChar w:fldCharType="end"/>
      </w:r>
      <w:r w:rsidRPr="610AA1E2">
        <w:rPr>
          <w:rFonts w:ascii="Times New Roman" w:eastAsia="Times New Roman" w:hAnsi="Times New Roman" w:cs="Times New Roman"/>
          <w:sz w:val="24"/>
          <w:szCs w:val="24"/>
        </w:rPr>
        <w:t>, chociaż doniesienia o zastosowaniu kolumienek z hydrofilowo-hydrofobową fazą stacjonarną (ang.</w:t>
      </w:r>
      <w:r w:rsidRPr="610AA1E2">
        <w:rPr>
          <w:rFonts w:ascii="Times New Roman" w:hAnsi="Times New Roman" w:cs="Times New Roman"/>
          <w:sz w:val="24"/>
          <w:szCs w:val="24"/>
        </w:rPr>
        <w:t xml:space="preserve"> </w:t>
      </w:r>
      <w:proofErr w:type="spellStart"/>
      <w:r w:rsidRPr="610AA1E2">
        <w:rPr>
          <w:rFonts w:ascii="Times New Roman" w:hAnsi="Times New Roman" w:cs="Times New Roman"/>
          <w:i/>
          <w:iCs/>
          <w:color w:val="040C28"/>
          <w:sz w:val="24"/>
          <w:szCs w:val="24"/>
        </w:rPr>
        <w:t>Hydrophilic</w:t>
      </w:r>
      <w:proofErr w:type="spellEnd"/>
      <w:r w:rsidRPr="610AA1E2">
        <w:rPr>
          <w:rFonts w:ascii="Times New Roman" w:hAnsi="Times New Roman" w:cs="Times New Roman"/>
          <w:i/>
          <w:iCs/>
          <w:color w:val="040C28"/>
          <w:sz w:val="24"/>
          <w:szCs w:val="24"/>
        </w:rPr>
        <w:t xml:space="preserve"> </w:t>
      </w:r>
      <w:proofErr w:type="spellStart"/>
      <w:r w:rsidRPr="610AA1E2">
        <w:rPr>
          <w:rFonts w:ascii="Times New Roman" w:hAnsi="Times New Roman" w:cs="Times New Roman"/>
          <w:i/>
          <w:iCs/>
          <w:color w:val="040C28"/>
          <w:sz w:val="24"/>
          <w:szCs w:val="24"/>
        </w:rPr>
        <w:t>Lipophilic</w:t>
      </w:r>
      <w:proofErr w:type="spellEnd"/>
      <w:r w:rsidRPr="610AA1E2">
        <w:rPr>
          <w:rFonts w:ascii="Times New Roman" w:hAnsi="Times New Roman" w:cs="Times New Roman"/>
          <w:i/>
          <w:iCs/>
          <w:color w:val="040C28"/>
          <w:sz w:val="24"/>
          <w:szCs w:val="24"/>
        </w:rPr>
        <w:t xml:space="preserve"> </w:t>
      </w:r>
      <w:proofErr w:type="spellStart"/>
      <w:r w:rsidRPr="610AA1E2">
        <w:rPr>
          <w:rFonts w:ascii="Times New Roman" w:hAnsi="Times New Roman" w:cs="Times New Roman"/>
          <w:i/>
          <w:iCs/>
          <w:color w:val="040C28"/>
          <w:sz w:val="24"/>
          <w:szCs w:val="24"/>
        </w:rPr>
        <w:t>Balance</w:t>
      </w:r>
      <w:proofErr w:type="spellEnd"/>
      <w:r w:rsidRPr="610AA1E2">
        <w:rPr>
          <w:rFonts w:ascii="Times New Roman" w:hAnsi="Times New Roman" w:cs="Times New Roman"/>
          <w:color w:val="040C28"/>
          <w:sz w:val="24"/>
          <w:szCs w:val="24"/>
        </w:rPr>
        <w:t>,</w:t>
      </w:r>
      <w:r w:rsidRPr="610AA1E2">
        <w:rPr>
          <w:rFonts w:ascii="Times New Roman" w:hAnsi="Times New Roman" w:cs="Times New Roman"/>
          <w:sz w:val="24"/>
          <w:szCs w:val="24"/>
        </w:rPr>
        <w:t xml:space="preserve"> HLB)</w:t>
      </w:r>
      <w:r w:rsidRPr="610AA1E2">
        <w:rPr>
          <w:rFonts w:ascii="Times New Roman" w:eastAsia="Times New Roman" w:hAnsi="Times New Roman" w:cs="Times New Roman"/>
          <w:sz w:val="24"/>
          <w:szCs w:val="24"/>
        </w:rPr>
        <w:t xml:space="preserve"> były również opublikowane </w:t>
      </w:r>
      <w:r w:rsidR="2CFE8AFF" w:rsidRPr="610AA1E2">
        <w:rPr>
          <w:rFonts w:ascii="Times New Roman" w:eastAsia="Times New Roman" w:hAnsi="Times New Roman" w:cs="Times New Roman"/>
          <w:sz w:val="24"/>
          <w:szCs w:val="24"/>
        </w:rPr>
        <w:fldChar w:fldCharType="begin" w:fldLock="1"/>
      </w:r>
      <w:r w:rsidR="003F3548">
        <w:rPr>
          <w:rFonts w:ascii="Times New Roman" w:eastAsia="Times New Roman" w:hAnsi="Times New Roman" w:cs="Times New Roman"/>
          <w:sz w:val="24"/>
          <w:szCs w:val="24"/>
        </w:rPr>
        <w:instrText>ADDIN CSL_CITATION {"citationItems":[{"id":"ITEM-1","itemData":{"DOI":"10.1016/S0378-4347(97)00610-5","ISSN":"15726495","PMID":"9613953","abstract":"A high-performance liquid chromatographic method with electrochemical detection has been developed for the simultaneous determination of epirubicin, 13-S-dihydroepirubicin, doxorubicin and 13-S-dihydrodoxorubicin in human plasma. An aliquot of 200 μl plasma, spiked with internal standard, was extracted by solid-phase extraction using polymeric adsorbent columns. Chromatography was performed using a C18 reversed-phase column with a mobile phase consisting of water-acetonitrile (71:29, v/v) containing 0.05 M Na2HPO4 and 0.05% v/v triethylamine adjusted to pH 4.6 with citric acid. Linearity of the method was obtained in the concentration range of 1-500 ng/ml for all the analytes. Analytical recoveries of the analytes ranged from 89 to 93%. The assay can be used for the simultaneous determination of the four analytes, or for epirubicin and its metabolite or doxorubicin and its metabolite, using the other parent drug as an internal standard. The method was applied to analyze human plasma samples from patients treated with epirubicin using doxorubicin as an internal standard.","author":[{"dropping-particle":"","family":"Ricciarello","given":"R.","non-dropping-particle":"","parse-names":false,"suffix":""},{"dropping-particle":"","family":"Pichini","given":"S.","non-dropping-particle":"","parse-names":false,"suffix":""},{"dropping-particle":"","family":"Pacifici","given":"R.","non-dropping-particle":"","parse-names":false,"suffix":""},{"dropping-particle":"","family":"Altieri","given":"I.","non-dropping-particle":"","parse-names":false,"suffix":""},{"dropping-particle":"","family":"Pellegrini","given":"M.","non-dropping-particle":"","parse-names":false,"suffix":""},{"dropping-particle":"","family":"Fattorossi","given":"A.","non-dropping-particle":"","parse-names":false,"suffix":""},{"dropping-particle":"","family":"Zuccaro","given":"P.","non-dropping-particle":"","parse-names":false,"suffix":""}],"container-title":"Journal of Chromatography B: Biomedical Applications","id":"ITEM-1","issue":"1-2","issued":{"date-parts":[["1998"]]},"page":"219-225","title":"Simultaneous determination of epirubicin, doxorubicin and their principal metabolites in human plasma by high-performance liquid chromatography and electrochemical detection","type":"article-journal","volume":"707"},"uris":["http://www.mendeley.com/documents/?uuid=ab0991fc-be51-4341-a25e-e1ecd9bad733"]},{"id":"ITEM-2","itemData":{"DOI":"10.1002/elps.201300237","ISSN":"15222683","PMID":"24114803","abstract":"This paper proposes a novel strategy to enhance detection of doxorubicin in human plasma, using homemade CE combined with normal stacking mode (NSM). The detection system of CE named as in-column tapered optic-fiber light-emitting diode induced fluorescence detection system is economic and more sensitive that has been demonstrated in our previous work. The influence of sample matrix, BGE, applied voltage, and injection time on the efficiency of NSM were systematically investigated. The clean extracts were subjected to CE separation with optimal experimental conditions: Ethanol-water (1:1, v/v) was used as sample matrix, pH 4.12 15 mM sodium phosphate buffer solution containing 70% v/v ACN, applied voltage 23 kV and 45 s hydrodynamic injection at a height of 20 cm. The detection system displayed linear dynamic range from 6.4 to 1.13 × 103 ng/mL with a correlation coefficient of 0.9990 and LOD 2.2 ng/mL for doxorubicin (DOX). The proposed CE method has been successfully applied to determine DOX in human plasma which the recoveries of standard DOX added to human plasma were found to been the range of 93.8-104.6%. The results obtained demonstrate that our detection system combined with NSM is a good idea to enhance sensitivity in CE for routine determination of DOX in some biological specimens. © 2013 WILEY-VCH Verlag GmbH &amp; Co. KGaA, Weinheim.","author":[{"dropping-particle":"","family":"Yang","given":"Xiupei","non-dropping-particle":"","parse-names":false,"suffix":""},{"dropping-particle":"","family":"Qian","given":"Fan","non-dropping-particle":"","parse-names":false,"suffix":""},{"dropping-particle":"","family":"Xie","given":"Linxiang","non-dropping-particle":"","parse-names":false,"suffix":""},{"dropping-particle":"","family":"Yang","given":"Xiaocui","non-dropping-particle":"","parse-names":false,"suffix":""},{"dropping-particle":"","family":"Cheng","given":"Xiumei","non-dropping-particle":"","parse-names":false,"suffix":""},{"dropping-particle":"","family":"Choi","given":"Martin M.F.","non-dropping-particle":"","parse-names":false,"suffix":""}],"container-title":"Electrophoresis","id":"ITEM-2","issue":"5","issued":{"date-parts":[["2014"]]},"page":"762-769","title":"Determination of doxorubicin in plasma by using CE coupled with in-column tapered optic-fiber light-emitting diode induced fluorescence detection","type":"article-journal","volume":"35"},"uris":["http://www.mendeley.com/documents/?uuid=6c06700e-90c9-4b58-8a84-eeee6d5e4960"]}],"mendeley":{"formattedCitation":"[48], [58]","plainTextFormattedCitation":"[48], [58]","previouslyFormattedCitation":"[48], [58]"},"properties":{"noteIndex":0},"schema":"https://github.com/citation-style-language/schema/raw/master/csl-citation.json"}</w:instrText>
      </w:r>
      <w:r w:rsidR="2CFE8AFF" w:rsidRPr="610AA1E2">
        <w:rPr>
          <w:rFonts w:ascii="Times New Roman" w:eastAsia="Times New Roman" w:hAnsi="Times New Roman" w:cs="Times New Roman"/>
          <w:sz w:val="24"/>
          <w:szCs w:val="24"/>
        </w:rPr>
        <w:fldChar w:fldCharType="separate"/>
      </w:r>
      <w:r w:rsidRPr="610AA1E2">
        <w:rPr>
          <w:rFonts w:ascii="Times New Roman" w:eastAsia="Times New Roman" w:hAnsi="Times New Roman" w:cs="Times New Roman"/>
          <w:noProof/>
          <w:sz w:val="24"/>
          <w:szCs w:val="24"/>
        </w:rPr>
        <w:t>[48], [58]</w:t>
      </w:r>
      <w:r w:rsidR="2CFE8AFF" w:rsidRPr="610AA1E2">
        <w:rPr>
          <w:rFonts w:ascii="Times New Roman" w:eastAsia="Times New Roman" w:hAnsi="Times New Roman" w:cs="Times New Roman"/>
          <w:sz w:val="24"/>
          <w:szCs w:val="24"/>
        </w:rPr>
        <w:fldChar w:fldCharType="end"/>
      </w:r>
      <w:r w:rsidRPr="610AA1E2">
        <w:rPr>
          <w:rFonts w:ascii="Times New Roman" w:eastAsia="Times New Roman" w:hAnsi="Times New Roman" w:cs="Times New Roman"/>
          <w:sz w:val="24"/>
          <w:szCs w:val="24"/>
        </w:rPr>
        <w:t xml:space="preserve">. Dane literaturowe wskazywały także, że analiza LC była prowadzona w odwróconym układzie faz, a monitorowanie </w:t>
      </w:r>
      <w:proofErr w:type="spellStart"/>
      <w:r w:rsidRPr="610AA1E2">
        <w:rPr>
          <w:rFonts w:ascii="Times New Roman" w:eastAsia="Times New Roman" w:hAnsi="Times New Roman" w:cs="Times New Roman"/>
          <w:sz w:val="24"/>
          <w:szCs w:val="24"/>
        </w:rPr>
        <w:t>doksorubicyny</w:t>
      </w:r>
      <w:proofErr w:type="spellEnd"/>
      <w:r w:rsidRPr="610AA1E2">
        <w:rPr>
          <w:rFonts w:ascii="Times New Roman" w:eastAsia="Times New Roman" w:hAnsi="Times New Roman" w:cs="Times New Roman"/>
          <w:sz w:val="24"/>
          <w:szCs w:val="24"/>
        </w:rPr>
        <w:t xml:space="preserve"> za pomocą detektora FL prowadzono przy długości fali wzbudzenia w zakresie 470-480 </w:t>
      </w:r>
      <w:proofErr w:type="spellStart"/>
      <w:r w:rsidRPr="610AA1E2">
        <w:rPr>
          <w:rFonts w:ascii="Times New Roman" w:eastAsia="Times New Roman" w:hAnsi="Times New Roman" w:cs="Times New Roman"/>
          <w:sz w:val="24"/>
          <w:szCs w:val="24"/>
        </w:rPr>
        <w:t>nm</w:t>
      </w:r>
      <w:proofErr w:type="spellEnd"/>
      <w:r w:rsidRPr="610AA1E2">
        <w:rPr>
          <w:rFonts w:ascii="Times New Roman" w:eastAsia="Times New Roman" w:hAnsi="Times New Roman" w:cs="Times New Roman"/>
          <w:sz w:val="24"/>
          <w:szCs w:val="24"/>
        </w:rPr>
        <w:t xml:space="preserve">, oraz fali emisji pomiędzy 548-560 </w:t>
      </w:r>
      <w:proofErr w:type="spellStart"/>
      <w:r w:rsidRPr="610AA1E2">
        <w:rPr>
          <w:rFonts w:ascii="Times New Roman" w:eastAsia="Times New Roman" w:hAnsi="Times New Roman" w:cs="Times New Roman"/>
          <w:sz w:val="24"/>
          <w:szCs w:val="24"/>
        </w:rPr>
        <w:t>nm</w:t>
      </w:r>
      <w:proofErr w:type="spellEnd"/>
      <w:r w:rsidRPr="610AA1E2">
        <w:rPr>
          <w:rFonts w:ascii="Times New Roman" w:eastAsia="Times New Roman" w:hAnsi="Times New Roman" w:cs="Times New Roman"/>
          <w:sz w:val="24"/>
          <w:szCs w:val="24"/>
        </w:rPr>
        <w:t xml:space="preserve"> </w:t>
      </w:r>
      <w:r w:rsidR="2CFE8AFF" w:rsidRPr="610AA1E2">
        <w:rPr>
          <w:rFonts w:ascii="Times New Roman" w:eastAsia="Times New Roman" w:hAnsi="Times New Roman" w:cs="Times New Roman"/>
          <w:sz w:val="24"/>
          <w:szCs w:val="24"/>
        </w:rPr>
        <w:fldChar w:fldCharType="begin" w:fldLock="1"/>
      </w:r>
      <w:r w:rsidR="003F3548">
        <w:rPr>
          <w:rFonts w:ascii="Times New Roman" w:eastAsia="Times New Roman" w:hAnsi="Times New Roman" w:cs="Times New Roman"/>
          <w:sz w:val="24"/>
          <w:szCs w:val="24"/>
        </w:rPr>
        <w:instrText>ADDIN CSL_CITATION {"citationItems":[{"id":"ITEM-1","itemData":{"DOI":"10.1016/j.ejps.2010.07.015","ISSN":"09280987","PMID":"20688160","abstract":"Although being used for decades in the treatment of several types of cancer, either alone or in association, only a few data about the pharmacokinetics of doxorubicin (DOX) in humans are available. DOX is frequently used in association with other anticancer drugs in the management of breast cancer. Pharmacokinetic data available in the literature show that after i.v. administration DOX follows a two-compartment open model, with a fast distribution phase followed by a very slow elimination phase. The objective of this work is to perform a pilot study in order to verify if the usual dose adjustment based on body surface area (BSA) would be producing the same plasma concentration-time profiles in patients with normal (&lt;25) and above normal (&gt;25) body mass index (BMI). In order to assess the pharmacokinetics of DOX after a short-term i.v. infusion of 60mg/m2 of BSA, an experimental design using only five plasma samples of each patient was applied. Samples were collected at 0.00, 0.66 (right after the end of infusion), 1.66, 8.66, and 24.66h. DOX pharmacokinetic profiles were evaluated after quantification of DOX using a new HPLC method developed and validated. Pharmacokinetic parameters (AUC0-24.66 and Cmax) were analyzed by non-compartmental and compartmental approaches. Significant differences (α=0.05) between overweight and normal weight groups were found with respect to AUC and Cmax. After adjustment of dose by weight and by BMI, the compartmental model was used to simulate plasma concentrations and new values for Cmax and AUC0-24.66 were calculated. The new values obtained using both body weight (BW) and BMI were closer to the normal group than those obtained with BSA. According to the simulation, the differences of AUC and Cmax between the overweight group and the group of patients with normal weight were lower when the dose was adjusted by BW and BMI. These results suggest that more studies must be conducted, with more patients, in order to evaluate the best dose adjustment for DOX in women with breast cancer and overweight. © 2010.","author":[{"dropping-particle":"","family":"Barpe","given":"Deise Raquel","non-dropping-particle":"","parse-names":false,"suffix":""},{"dropping-particle":"","family":"Rosa","given":"Daniela Dornelles","non-dropping-particle":"","parse-names":false,"suffix":""},{"dropping-particle":"","family":"Froehlich","given":"Pedro Eduardo","non-dropping-particle":"","parse-names":false,"suffix":""}],"container-title":"European Journal of Pharmaceutical Sciences","id":"ITEM-1","issue":"3-4","issued":{"date-parts":[["2010"]]},"page":"458-463","publisher":"Elsevier B.V.","title":"Pharmacokinetic evaluation of doxorubicin plasma levels in normal and overweight patients with breast cancer and simulation of dose adjustment by different indexes of body mass","type":"article-journal","volume":"41"},"uris":["http://www.mendeley.com/documents/?uuid=557dde94-60fa-45b1-bc7a-c645fca1c1f7"]},{"id":"ITEM-2","itemData":{"DOI":"10.1016/j.jpba.2006.06.032","ISSN":"07317085","PMID":"16884884","abstract":"A validated HPLC method was developed for the quantification of doxorubicin in rabbit ocular tissues using solid phase extraction and ultraviolet detection. Chromatographic separation of doxorubicin in various ocular tissues was performed on a C18 column. The mobile phase was composed of 0.2 M KH2PO4 buffer solution, acetonitrile and triethylamine in volumetric ratio of 70/30/0.2, adjusted to pH 4.0 with orthophosphoric acid. The calibration curve was linear over the range of 0.03-10, 0.03-10, 0.05-10 and 0.05-10 μg/ml in vitreous body, iris, retina/choroids and sclera, respectively. The intra-day and inter-day precisions in all ocular tissues were smaller than 4.95% and 5.73%, and the accuracies were about 100%. The extraction recoveries of doxorubicin in all of the ocular tissues were between 83.47% and 96.33%. After intravitreal administration of doxorubicin-loaded poly-β-hydroxybutyrate microspheres, doxorubicin level in ocular tissues was much lower than that for administration of free doxorubicin, which was helpful to reduce the associated toxicity to surrounding tissues. Doxorubicin was detectable even after tens of days in the studied ocular tissues. © 2006 Elsevier B.V. All rights reserved.","author":[{"dropping-particle":"","family":"Hu","given":"Tao","non-dropping-particle":"","parse-names":false,"suffix":""},{"dropping-particle":"","family":"Le","given":"Qihua","non-dropping-particle":"","parse-names":false,"suffix":""},{"dropping-particle":"","family":"Wu","given":"Zhiyi","non-dropping-particle":"","parse-names":false,"suffix":""},{"dropping-particle":"","family":"Wu","given":"Wei","non-dropping-particle":"","parse-names":false,"suffix":""}],"container-title":"Journal of Pharmaceutical and Biomedical Analysis","id":"ITEM-2","issue":"1","issued":{"date-parts":[["2007"]]},"page":"263-269","title":"Determination of doxorubicin in rabbit ocular tissues and pharmacokinetics after intravitreal injection of a single dose of doxorubicin-loaded poly-β-hydroxybutyrate microspheres","type":"article-journal","volume":"43"},"uris":["http://www.mendeley.com/documents/?uuid=2dded347-b193-4fdf-8e33-c48d11657724"]},{"id":"ITEM-3","itemData":{"DOI":"10.1016/0731-7085(95)01301-Z","ISSN":"07317085","PMID":"9696578","abstract":"A high-performance liquid chromatographic assay has been developed and validated for the determination in plasma and urine of doxorubicin (DXR) and some of its metabolites released in vivo from an N-(2-hydroxypropyl)methacrylamide (HPMA) polymer containing DXR linked through its aminosugar moiety to the polymer via an oligopeptide spacer (PK1). The method also allows measurement of the DXR still bound to the polymer. Following addition of two internal standards, the free compounds were extracted twice with isopropanol-chloroform (25:75, v/v). The first extraction was performed at physiological pH and the second after buffering at pH 8.4, in order to extract the aglycones and the glycosides, respectively. Determination of total DXR (polymer-bound plus free DXR) was performed, after quantitative acid hydrolysis to release doxorubicinone from free or polymer-bound DXR, by extraction with the same solvent mixture at pH 7.4. In both cases the organic phase was evaporated to dryness; the compounds were then separated by reversed-phase high-performance liquid chromatography (HPLC) under isocratic conditions and quantitated by fluorimetric detection. In the chromatograms all the analytes appeared to be separated at the baseline and no interference from blank human plasma and urine was observed. The suitability of the method for in vivo samples was checked by the analysis of plasma and urine samples obtained from a cancer patient who had received a single intravenous dose of the test compound. © 1995.","author":[{"dropping-particle":"","family":"Fraier","given":"D.","non-dropping-particle":"","parse-names":false,"suffix":""},{"dropping-particle":"","family":"Frigerio","given":"E.","non-dropping-particle":"","parse-names":false,"suffix":""},{"dropping-particle":"","family":"Pianezzola","given":"E.","non-dropping-particle":"","parse-names":false,"suffix":""},{"dropping-particle":"","family":"Strolin Benedetti","given":"M.","non-dropping-particle":"","parse-names":false,"suffix":""},{"dropping-particle":"","family":"Cassidy","given":"J.","non-dropping-particle":"","parse-names":false,"suffix":""},{"dropping-particle":"","family":"Vasey","given":"P.","non-dropping-particle":"","parse-names":false,"suffix":""}],"container-title":"Journal of Pharmaceutical and Biomedical Analysis","id":"ITEM-3","issue":"4-5","issued":{"date-parts":[["1995"]]},"page":"625-633","title":"A sensitive procedure for the quantitation of free and N-(2-hydroxypropyl)methacrylamide polymer-bound doxorubicin (PK1) and some of its metabolites, 13-dihydrodoxorubicin, 13-dihydrodoxorubicinone and doxorubicinone, in human plasma and urine by reversed","type":"article-journal","volume":"13"},"uris":["http://www.mendeley.com/documents/?uuid=2b9c1ec6-808f-4d57-925f-0f0b68d7650c"]},{"id":"ITEM-4","itemData":{"DOI":"10.1016/j.jchromb.2014.02.034","ISSN":"1873376X","PMID":"24631816","abstract":"A rapid and simple UHPLC-fluorescence detection method for the quantification of doxorubicin and its main metabolite, doxorubicinol, in human plasma has been developed. The method was also validated for its application in therapeutic drug monitoring, a clinical approach used in the optimization of oncologic treatments. Following a single protein precipitation step, chromatographic separation was achieved using a C18 column (50mm×2.10mm, particle size 1.7μm) at 50°C with a mobile phase consisting of water (containing 0.4% triethylamine and 0.4% orthophosphoric acid)/acetonitrile (77:23, v/v). Flow rate was 0.50mL/min and fluorescence detection with an excitation wavelength of 470nm and an emission wavelength of 548nm was used. The method met the specifications of linearity, selectivity, sensitivity, accuracy, precision and stability of the FDA and EMA guidelines for the validation of bioanalytical methods. Linearity for the drug (8-3000ng/mL) and the metabolite (3-150ng/mL) was observed (R2&gt;0.992) and the maximum intra-day and inter-day precision coefficients of variation were less than 14% for both. The lower limits of quantification were 8 and 3ng/mL for doxorubicin and doxorubicinol, respectively. The method was successfully applied to the quantify plasma concentrations of doxorubicin and doxorubicinol in 33 patients diagnosed with haematological malignancies in which broad ranges for drug (8.3-2766.0ng/mL) and metabolite (4.8-104.9ng/mL) levels were measured adequately. © 2014 Elsevier B.V.","author":[{"dropping-particle":"","family":"Pérez-Blanco","given":"Jonás Samuel","non-dropping-particle":"","parse-names":false,"suffix":""},{"dropping-particle":"","family":"Fernández de Gatta","given":"María del Mar","non-dropping-particle":"","parse-names":false,"suffix":""},{"dropping-particle":"","family":"Hernández-Rivas","given":"Jesús María","non-dropping-particle":"","parse-names":false,"suffix":""},{"dropping-particle":"","family":"García Sánchez","given":"María José","non-dropping-particle":"","parse-names":false,"suffix":""},{"dropping-particle":"","family":"Sayalero Marinero","given":"María Luisa","non-dropping-particle":"","parse-names":false,"suffix":""},{"dropping-particle":"","family":"González López","given":"Francisco","non-dropping-particle":"","parse-names":false,"suffix":""}],"container-title":"Journal of Chromatography B: Analytical Technologies in the Biomedical and Life Sciences","id":"ITEM-4","issue":"1","issued":{"date-parts":[["2014"]]},"page":"93-97","publisher":"Elsevier B.V.","title":"Validation and clinical evaluation of a UHPLC method with fluorescence detector for plasma quantification of doxorubicin and doxorubicinol in haematological patients","type":"article-journal","volume":"955-956"},"uris":["http://www.mendeley.com/documents/?uuid=8356afac-f8bf-42f5-845f-e9b8e587321e"]},{"id":"ITEM-5","itemData":{"DOI":"10.1016/S0731-7085(02)00442-9","ISSN":"07317085","PMID":"12408897","abstract":"A simple, accurate and precise high-performance liquid chromatographic method was developed and validated for the simultaneous determination of doxorubicin and its three metabolites, including doxorubicinol, doxorubicinolone and doxorubicinone, in rat serum and bile. Following a single protein precipitation step, chromatographic separation was accomplished using a C-18 column with a mobile phase consisting of 50 mM sodium phosphate buffer-acetonitrile-1-propanol (65:25:2, v/v), pH 2.0. The analytes were measured by fluorescence detection with excitation wavelength of 480 nm and emission wavelength of 560 nm. The lower limits of quantitation were 10 ng/ml for doxorubicin, and 5 ng/ml for the three metabolites. The calibration curves were linear over a concentration range of 10-2500 ng/ml for doxorubicin, and 5-1250 ng/ml for its three metabolites. The average recoveries were greater than 89% for all analytes. The within-day and between-day coefficients of variation were generally less than 13%. Doxorubicin and its metabolites were stable in the precipitated serum and bile samples at room temperature in darkness for at least 48 h. This method permitted the analysis of samples without the presence of the anticoagulant sodium citrate and thus was applied to serum and bile samples collected from rats that were administered doxorubicin intravenously in a pharmacokinetic study. © 2002 Elsevier Science B.V. All rights reserved.","author":[{"dropping-particle":"","family":"Zhou","given":"Qingyu","non-dropping-particle":"","parse-names":false,"suffix":""},{"dropping-particle":"","family":"Chowbay","given":"Balram","non-dropping-particle":"","parse-names":false,"suffix":""}],"container-title":"Journal of Pharmaceutical and Biomedical Analysis","id":"ITEM-5","issue":"4","issued":{"date-parts":[["2002"]]},"page":"1063-1074","title":"Determination of doxorubicin and its metabolites in rat serum and bile by LC: Application to preclinical pharmacokinetic studies","type":"article-journal","volume":"30"},"uris":["http://www.mendeley.com/documents/?uuid=79379c44-ec4d-4505-8fdb-e14c9f8d8c7c"]}],"mendeley":{"formattedCitation":"[47], [49]–[51], [59]","plainTextFormattedCitation":"[47], [49]–[51], [59]","previouslyFormattedCitation":"[47], [49]–[51], [59]"},"properties":{"noteIndex":0},"schema":"https://github.com/citation-style-language/schema/raw/master/csl-citation.json"}</w:instrText>
      </w:r>
      <w:r w:rsidR="2CFE8AFF" w:rsidRPr="610AA1E2">
        <w:rPr>
          <w:rFonts w:ascii="Times New Roman" w:eastAsia="Times New Roman" w:hAnsi="Times New Roman" w:cs="Times New Roman"/>
          <w:sz w:val="24"/>
          <w:szCs w:val="24"/>
        </w:rPr>
        <w:fldChar w:fldCharType="separate"/>
      </w:r>
      <w:r w:rsidRPr="610AA1E2">
        <w:rPr>
          <w:rFonts w:ascii="Times New Roman" w:eastAsia="Times New Roman" w:hAnsi="Times New Roman" w:cs="Times New Roman"/>
          <w:noProof/>
          <w:sz w:val="24"/>
          <w:szCs w:val="24"/>
        </w:rPr>
        <w:t>[47], [49]–[51], [59]</w:t>
      </w:r>
      <w:r w:rsidR="2CFE8AFF" w:rsidRPr="610AA1E2">
        <w:rPr>
          <w:rFonts w:ascii="Times New Roman" w:eastAsia="Times New Roman" w:hAnsi="Times New Roman" w:cs="Times New Roman"/>
          <w:sz w:val="24"/>
          <w:szCs w:val="24"/>
        </w:rPr>
        <w:fldChar w:fldCharType="end"/>
      </w:r>
      <w:r w:rsidRPr="610AA1E2">
        <w:rPr>
          <w:rFonts w:ascii="Times New Roman" w:eastAsia="Times New Roman" w:hAnsi="Times New Roman" w:cs="Times New Roman"/>
          <w:sz w:val="24"/>
          <w:szCs w:val="24"/>
        </w:rPr>
        <w:t xml:space="preserve">. </w:t>
      </w:r>
      <w:r w:rsidRPr="610AA1E2">
        <w:rPr>
          <w:rFonts w:ascii="Times New Roman" w:hAnsi="Times New Roman" w:cs="Times New Roman"/>
          <w:sz w:val="24"/>
          <w:szCs w:val="24"/>
        </w:rPr>
        <w:t xml:space="preserve">Ponadto, odnotowane, że niektóre z dotychczasowych metod oznaczania </w:t>
      </w:r>
      <w:proofErr w:type="spellStart"/>
      <w:r w:rsidRPr="610AA1E2">
        <w:rPr>
          <w:rFonts w:ascii="Times New Roman" w:hAnsi="Times New Roman" w:cs="Times New Roman"/>
          <w:sz w:val="24"/>
          <w:szCs w:val="24"/>
        </w:rPr>
        <w:t>doksorubicyny</w:t>
      </w:r>
      <w:proofErr w:type="spellEnd"/>
      <w:r w:rsidRPr="610AA1E2">
        <w:rPr>
          <w:rFonts w:ascii="Times New Roman" w:hAnsi="Times New Roman" w:cs="Times New Roman"/>
          <w:sz w:val="24"/>
          <w:szCs w:val="24"/>
        </w:rPr>
        <w:t xml:space="preserve"> charakteryzują się długim czasem przygotowania prób do analizy LC </w:t>
      </w:r>
      <w:r w:rsidR="2CFE8AFF" w:rsidRPr="610AA1E2">
        <w:rPr>
          <w:rFonts w:ascii="Times New Roman" w:hAnsi="Times New Roman" w:cs="Times New Roman"/>
          <w:sz w:val="24"/>
          <w:szCs w:val="24"/>
        </w:rPr>
        <w:fldChar w:fldCharType="begin" w:fldLock="1"/>
      </w:r>
      <w:r w:rsidR="003F3548">
        <w:rPr>
          <w:rFonts w:ascii="Times New Roman" w:hAnsi="Times New Roman" w:cs="Times New Roman"/>
          <w:sz w:val="24"/>
          <w:szCs w:val="24"/>
        </w:rPr>
        <w:instrText>ADDIN CSL_CITATION {"citationItems":[{"id":"ITEM-1","itemData":{"DOI":"10.1016/0731-7085(95)01301-Z","ISSN":"07317085","PMID":"9696578","abstract":"A high-performance liquid chromatographic assay has been developed and validated for the determination in plasma and urine of doxorubicin (DXR) and some of its metabolites released in vivo from an N-(2-hydroxypropyl)methacrylamide (HPMA) polymer containing DXR linked through its aminosugar moiety to the polymer via an oligopeptide spacer (PK1). The method also allows measurement of the DXR still bound to the polymer. Following addition of two internal standards, the free compounds were extracted twice with isopropanol-chloroform (25:75, v/v). The first extraction was performed at physiological pH and the second after buffering at pH 8.4, in order to extract the aglycones and the glycosides, respectively. Determination of total DXR (polymer-bound plus free DXR) was performed, after quantitative acid hydrolysis to release doxorubicinone from free or polymer-bound DXR, by extraction with the same solvent mixture at pH 7.4. In both cases the organic phase was evaporated to dryness; the compounds were then separated by reversed-phase high-performance liquid chromatography (HPLC) under isocratic conditions and quantitated by fluorimetric detection. In the chromatograms all the analytes appeared to be separated at the baseline and no interference from blank human plasma and urine was observed. The suitability of the method for in vivo samples was checked by the analysis of plasma and urine samples obtained from a cancer patient who had received a single intravenous dose of the test compound. © 1995.","author":[{"dropping-particle":"","family":"Fraier","given":"D.","non-dropping-particle":"","parse-names":false,"suffix":""},{"dropping-particle":"","family":"Frigerio","given":"E.","non-dropping-particle":"","parse-names":false,"suffix":""},{"dropping-particle":"","family":"Pianezzola","given":"E.","non-dropping-particle":"","parse-names":false,"suffix":""},{"dropping-particle":"","family":"Strolin Benedetti","given":"M.","non-dropping-particle":"","parse-names":false,"suffix":""},{"dropping-particle":"","family":"Cassidy","given":"J.","non-dropping-particle":"","parse-names":false,"suffix":""},{"dropping-particle":"","family":"Vasey","given":"P.","non-dropping-particle":"","parse-names":false,"suffix":""}],"container-title":"Journal of Pharmaceutical and Biomedical Analysis","id":"ITEM-1","issue":"4-5","issued":{"date-parts":[["1995"]]},"page":"625-633","title":"A sensitive procedure for the quantitation of free and N-(2-hydroxypropyl)methacrylamide polymer-bound doxorubicin (PK1) and some of its metabolites, 13-dihydrodoxorubicin, 13-dihydrodoxorubicinone and doxorubicinone, in human plasma and urine by reversed","type":"article-journal","volume":"13"},"uris":["http://www.mendeley.com/documents/?uuid=2b9c1ec6-808f-4d57-925f-0f0b68d7650c"]}],"mendeley":{"formattedCitation":"[49]","plainTextFormattedCitation":"[49]","previouslyFormattedCitation":"[49]"},"properties":{"noteIndex":0},"schema":"https://github.com/citation-style-language/schema/raw/master/csl-citation.json"}</w:instrText>
      </w:r>
      <w:r w:rsidR="2CFE8AFF" w:rsidRPr="610AA1E2">
        <w:rPr>
          <w:rFonts w:ascii="Times New Roman" w:hAnsi="Times New Roman" w:cs="Times New Roman"/>
          <w:sz w:val="24"/>
          <w:szCs w:val="24"/>
        </w:rPr>
        <w:fldChar w:fldCharType="separate"/>
      </w:r>
      <w:r w:rsidRPr="610AA1E2">
        <w:rPr>
          <w:rFonts w:ascii="Times New Roman" w:hAnsi="Times New Roman" w:cs="Times New Roman"/>
          <w:noProof/>
          <w:sz w:val="24"/>
          <w:szCs w:val="24"/>
        </w:rPr>
        <w:t>[49]</w:t>
      </w:r>
      <w:r w:rsidR="2CFE8AFF" w:rsidRPr="610AA1E2">
        <w:rPr>
          <w:rFonts w:ascii="Times New Roman" w:hAnsi="Times New Roman" w:cs="Times New Roman"/>
          <w:sz w:val="24"/>
          <w:szCs w:val="24"/>
        </w:rPr>
        <w:fldChar w:fldCharType="end"/>
      </w:r>
      <w:r w:rsidRPr="610AA1E2">
        <w:rPr>
          <w:rFonts w:ascii="Times New Roman" w:eastAsia="Times New Roman" w:hAnsi="Times New Roman" w:cs="Times New Roman"/>
          <w:sz w:val="24"/>
          <w:szCs w:val="24"/>
        </w:rPr>
        <w:t>,</w:t>
      </w:r>
      <w:r w:rsidRPr="610AA1E2">
        <w:rPr>
          <w:rFonts w:ascii="Times New Roman" w:hAnsi="Times New Roman" w:cs="Times New Roman"/>
          <w:sz w:val="24"/>
          <w:szCs w:val="24"/>
        </w:rPr>
        <w:t xml:space="preserve"> relatywnie wysokimi objętościami próbki wymaganymi do analizy (≥ 1 ml) </w:t>
      </w:r>
      <w:r w:rsidR="2CFE8AFF" w:rsidRPr="610AA1E2">
        <w:rPr>
          <w:rFonts w:ascii="Times New Roman" w:hAnsi="Times New Roman" w:cs="Times New Roman"/>
          <w:sz w:val="24"/>
          <w:szCs w:val="24"/>
        </w:rPr>
        <w:fldChar w:fldCharType="begin" w:fldLock="1"/>
      </w:r>
      <w:r w:rsidR="003F3548">
        <w:rPr>
          <w:rFonts w:ascii="Times New Roman" w:hAnsi="Times New Roman" w:cs="Times New Roman"/>
          <w:sz w:val="24"/>
          <w:szCs w:val="24"/>
        </w:rPr>
        <w:instrText>ADDIN CSL_CITATION {"citationItems":[{"id":"ITEM-1","itemData":{"DOI":"10.1016/j.ejps.2010.07.015","ISSN":"09280987","PMID":"20688160","abstract":"Although being used for decades in the treatment of several types of cancer, either alone or in association, only a few data about the pharmacokinetics of doxorubicin (DOX) in humans are available. DOX is frequently used in association with other anticancer drugs in the management of breast cancer. Pharmacokinetic data available in the literature show that after i.v. administration DOX follows a two-compartment open model, with a fast distribution phase followed by a very slow elimination phase. The objective of this work is to perform a pilot study in order to verify if the usual dose adjustment based on body surface area (BSA) would be producing the same plasma concentration-time profiles in patients with normal (&lt;25) and above normal (&gt;25) body mass index (BMI). In order to assess the pharmacokinetics of DOX after a short-term i.v. infusion of 60mg/m2 of BSA, an experimental design using only five plasma samples of each patient was applied. Samples were collected at 0.00, 0.66 (right after the end of infusion), 1.66, 8.66, and 24.66h. DOX pharmacokinetic profiles were evaluated after quantification of DOX using a new HPLC method developed and validated. Pharmacokinetic parameters (AUC0-24.66 and Cmax) were analyzed by non-compartmental and compartmental approaches. Significant differences (α=0.05) between overweight and normal weight groups were found with respect to AUC and Cmax. After adjustment of dose by weight and by BMI, the compartmental model was used to simulate plasma concentrations and new values for Cmax and AUC0-24.66 were calculated. The new values obtained using both body weight (BW) and BMI were closer to the normal group than those obtained with BSA. According to the simulation, the differences of AUC and Cmax between the overweight group and the group of patients with normal weight were lower when the dose was adjusted by BW and BMI. These results suggest that more studies must be conducted, with more patients, in order to evaluate the best dose adjustment for DOX in women with breast cancer and overweight. © 2010.","author":[{"dropping-particle":"","family":"Barpe","given":"Deise Raquel","non-dropping-particle":"","parse-names":false,"suffix":""},{"dropping-particle":"","family":"Rosa","given":"Daniela Dornelles","non-dropping-particle":"","parse-names":false,"suffix":""},{"dropping-particle":"","family":"Froehlich","given":"Pedro Eduardo","non-dropping-particle":"","parse-names":false,"suffix":""}],"container-title":"European Journal of Pharmaceutical Sciences","id":"ITEM-1","issue":"3-4","issued":{"date-parts":[["2010"]]},"page":"458-463","publisher":"Elsevier B.V.","title":"Pharmacokinetic evaluation of doxorubicin plasma levels in normal and overweight patients with breast cancer and simulation of dose adjustment by different indexes of body mass","type":"article-journal","volume":"41"},"uris":["http://www.mendeley.com/documents/?uuid=faeeb6e1-c78e-49ed-b3a8-965b0aa042b8"]},{"id":"ITEM-2","itemData":{"DOI":"10.1016/j.jpba.2015.04.007","ISSN":"1873264X","PMID":"25910045","abstract":"A specific, sensitive and rapid liquid chromatography tandem mass spectrometry (LC-MS/MS) method has been developed and validated for simultaneous quantification of doxorubicin and curcumin in rat plasma after intravenous administration. The analytes of doxorubicin and curcumin were extracted with methanol precipitation using glibenclamide as internal standard (IS). The chromatographic separation was performed on a C18 column with acetonitrile and 0.1% formic acid water as mobile phase and with gradient elution at a flow rate of 0.2mL/min. Calibration curves were linear over the ranges of 2-8000ng/mL for doxorubicin and 5-2000ng/mL for curcumin (r&gt;0.99). The lower limit of quantification (LLOQ) was 2ng/mL for DOX and 5ng/mL for Cur. Finally, this developed method was successfully applied in the pharmacokinetic study of doxorubicin and curcumin in rats and evaluated the effects of curcumin on the absorption of doxorubicin after intravenous administration.","author":[{"dropping-particle":"","family":"Ma","given":"Wenzhuan","non-dropping-particle":"","parse-names":false,"suffix":""},{"dropping-particle":"","family":"Wang","given":"Jinling","non-dropping-particle":"","parse-names":false,"suffix":""},{"dropping-particle":"","family":"Guo","given":"Qiang","non-dropping-particle":"","parse-names":false,"suffix":""},{"dropping-particle":"","family":"Tu","given":"Pengfei","non-dropping-particle":"","parse-names":false,"suffix":""}],"container-title":"Journal of Pharmaceutical and Biomedical Analysis","id":"ITEM-2","issued":{"date-parts":[["2015"]]},"page":"215-221","publisher":"Elsevier B.V.","title":"Simultaneous determination of doxorubicin and curcumin in rat plasma by LC-MS/MS and its application to pharmacokinetic study","type":"article-journal","volume":"111"},"uris":["http://www.mendeley.com/documents/?uuid=21b6694a-285a-44ae-87d7-f982e9ee8b85"]},{"id":"ITEM-3","itemData":{"DOI":"10.1080/10826076.2012.678456","ISSN":"10826076","abstract":"An accurate UPLC method was developed and validated for the simultaneous determination of irinotecan and doxorubicin extracted from murine plasma, along with their major metabolites SN-38 and doxorubicinol, respectively. The parent drugs and metabolites were extracted from plasma by protein precipitation method. Camptothecin was used as the internal standard. Chromatographic separation was performed using an ACQUITY UPLC BEH C18 column (150 × 2.1 mm, particle size of 1.7 μm) at 40°C by means of gradient elution. The mobile phases for gradient elution were consisted of 0.1 % v/v formic acid in either acetonitrile or water. The flow rate was 0.5 mL/min, and the total run time was 7 min. The linear quantitation ranges for parent drugs (irinotecan and doxorubicin) and for metabolites (doxorubicinol and SN-38) were 250-10000 ng/mL and 125-5000 ng/mL, respectively (r2 &gt; 0.99). The lower limit of quantification (LLOQ) for irinotecan and doxorubicin was 250 ng/mL, and the LLOQ for SN-38 and doxorubicinol was 125 ng/mL. The intra- and inter-day relative standard deviation was &lt;10 %, and accuracy was &gt;90%. © 2013 Copyright Taylor and Francis Group, LLC.","author":[{"dropping-particle":"","family":"Shaikh","given":"Ishaque M.","non-dropping-particle":"","parse-names":false,"suffix":""},{"dropping-particle":"","family":"Tan","given":"Kuan Boone","non-dropping-particle":"","parse-names":false,"suffix":""},{"dropping-particle":"","family":"Chiu","given":"Gigi N.C.","non-dropping-particle":"","parse-names":false,"suffix":""}],"container-title":"Journal of Liquid Chromatography and Related Technologies","id":"ITEM-3","issue":"7","issued":{"date-parts":[["2013"]]},"page":"914-925","title":"Simultaneous determination of doxorubicin and irinotecan in conjunction with their major metabolites by ultra high performance liquid chromatography","type":"article-journal","volume":"36"},"uris":["http://www.mendeley.com/documents/?uuid=f5453db9-372b-4f6a-aded-7bab4e03529e"]},{"id":"ITEM-4","itemData":{"DOI":"10.1016/S0731-7085(02)00442-9","ISSN":"07317085","PMID":"12408897","abstract":"A simple, accurate and precise high-performance liquid chromatographic method was developed and validated for the simultaneous determination of doxorubicin and its three metabolites, including doxorubicinol, doxorubicinolone and doxorubicinone, in rat serum and bile. Following a single protein precipitation step, chromatographic separation was accomplished using a C-18 column with a mobile phase consisting of 50 mM sodium phosphate buffer-acetonitrile-1-propanol (65:25:2, v/v), pH 2.0. The analytes were measured by fluorescence detection with excitation wavelength of 480 nm and emission wavelength of 560 nm. The lower limits of quantitation were 10 ng/ml for doxorubicin, and 5 ng/ml for the three metabolites. The calibration curves were linear over a concentration range of 10-2500 ng/ml for doxorubicin, and 5-1250 ng/ml for its three metabolites. The average recoveries were greater than 89% for all analytes. The within-day and between-day coefficients of variation were generally less than 13%. Doxorubicin and its metabolites were stable in the precipitated serum and bile samples at room temperature in darkness for at least 48 h. This method permitted the analysis of samples without the presence of the anticoagulant sodium citrate and thus was applied to serum and bile samples collected from rats that were administered doxorubicin intravenously in a pharmacokinetic study. © 2002 Elsevier Science B.V. All rights reserved.","author":[{"dropping-particle":"","family":"Zhou","given":"Qingyu","non-dropping-particle":"","parse-names":false,"suffix":""},{"dropping-particle":"","family":"Chowbay","given":"Balram","non-dropping-particle":"","parse-names":false,"suffix":""}],"container-title":"Journal of Pharmaceutical and Biomedical Analysis","id":"ITEM-4","issue":"4","issued":{"date-parts":[["2002"]]},"page":"1063-1074","title":"Determination of doxorubicin and its metabolites in rat serum and bile by LC: Application to preclinical pharmacokinetic studies","type":"article-journal","volume":"30"},"uris":["http://www.mendeley.com/documents/?uuid=79379c44-ec4d-4505-8fdb-e14c9f8d8c7c"]},{"id":"ITEM-5","itemData":{"DOI":"10.1016/j.jchromb.2014.02.034","ISSN":"1873376X","PMID":"24631816","abstract":"A rapid and simple UHPLC-fluorescence detection method for the quantification of doxorubicin and its main metabolite, doxorubicinol, in human plasma has been developed. The method was also validated for its application in therapeutic drug monitoring, a clinical approach used in the optimization of oncologic treatments. Following a single protein precipitation step, chromatographic separation was achieved using a C18 column (50mm×2.10mm, particle size 1.7μm) at 50°C with a mobile phase consisting of water (containing 0.4% triethylamine and 0.4% orthophosphoric acid)/acetonitrile (77:23, v/v). Flow rate was 0.50mL/min and fluorescence detection with an excitation wavelength of 470nm and an emission wavelength of 548nm was used. The method met the specifications of linearity, selectivity, sensitivity, accuracy, precision and stability of the FDA and EMA guidelines for the validation of bioanalytical methods. Linearity for the drug (8-3000ng/mL) and the metabolite (3-150ng/mL) was observed (R2&gt;0.992) and the maximum intra-day and inter-day precision coefficients of variation were less than 14% for both. The lower limits of quantification were 8 and 3ng/mL for doxorubicin and doxorubicinol, respectively. The method was successfully applied to the quantify plasma concentrations of doxorubicin and doxorubicinol in 33 patients diagnosed with haematological malignancies in which broad ranges for drug (8.3-2766.0ng/mL) and metabolite (4.8-104.9ng/mL) levels were measured adequately. © 2014 Elsevier B.V.","author":[{"dropping-particle":"","family":"Pérez-Blanco","given":"Jonás Samuel","non-dropping-particle":"","parse-names":false,"suffix":""},{"dropping-particle":"","family":"Fernández de Gatta","given":"María del Mar","non-dropping-particle":"","parse-names":false,"suffix":""},{"dropping-particle":"","family":"Hernández-Rivas","given":"Jesús María","non-dropping-particle":"","parse-names":false,"suffix":""},{"dropping-particle":"","family":"García Sánchez","given":"María José","non-dropping-particle":"","parse-names":false,"suffix":""},{"dropping-particle":"","family":"Sayalero Marinero","given":"María Luisa","non-dropping-particle":"","parse-names":false,"suffix":""},{"dropping-particle":"","family":"González López","given":"Francisco","non-dropping-particle":"","parse-names":false,"suffix":""}],"container-title":"Journal of Chromatography B: Analytical Technologies in the Biomedical and Life Sciences","id":"ITEM-5","issue":"1","issued":{"date-parts":[["2014"]]},"page":"93-97","publisher":"Elsevier B.V.","title":"Validation and clinical evaluation of a UHPLC method with fluorescence detector for plasma quantification of doxorubicin and doxorubicinol in haematological patients","type":"article-journal","volume":"955-956"},"uris":["http://www.mendeley.com/documents/?uuid=8356afac-f8bf-42f5-845f-e9b8e587321e"]},{"id":"ITEM-6","itemData":{"DOI":"10.1002/elps.201300237","ISSN":"15222683","PMID":"24114803","abstract":"This paper proposes a novel strategy to enhance detection of doxorubicin in human plasma, using homemade CE combined with normal stacking mode (NSM). The detection system of CE named as in-column tapered optic-fiber light-emitting diode induced fluorescence detection system is economic and more sensitive that has been demonstrated in our previous work. The influence of sample matrix, BGE, applied voltage, and injection time on the efficiency of NSM were systematically investigated. The clean extracts were subjected to CE separation with optimal experimental conditions: Ethanol-water (1:1, v/v) was used as sample matrix, pH 4.12 15 mM sodium phosphate buffer solution containing 70% v/v ACN, applied voltage 23 kV and 45 s hydrodynamic injection at a height of 20 cm. The detection system displayed linear dynamic range from 6.4 to 1.13 × 103 ng/mL with a correlation coefficient of 0.9990 and LOD 2.2 ng/mL for doxorubicin (DOX). The proposed CE method has been successfully applied to determine DOX in human plasma which the recoveries of standard DOX added to human plasma were found to been the range of 93.8-104.6%. The results obtained demonstrate that our detection system combined with NSM is a good idea to enhance sensitivity in CE for routine determination of DOX in some biological specimens. © 2013 WILEY-VCH Verlag GmbH &amp; Co. KGaA, Weinheim.","author":[{"dropping-particle":"","family":"Yang","given":"Xiupei","non-dropping-particle":"","parse-names":false,"suffix":""},{"dropping-particle":"","family":"Qian","given":"Fan","non-dropping-particle":"","parse-names":false,"suffix":""},{"dropping-particle":"","family":"Xie","given":"Linxiang","non-dropping-particle":"","parse-names":false,"suffix":""},{"dropping-particle":"","family":"Yang","given":"Xiaocui","non-dropping-particle":"","parse-names":false,"suffix":""},{"dropping-particle":"","family":"Cheng","given":"Xiumei","non-dropping-particle":"","parse-names":false,"suffix":""},{"dropping-particle":"","family":"Choi","given":"Martin M.F.","non-dropping-particle":"","parse-names":false,"suffix":""}],"container-title":"Electrophoresis","id":"ITEM-6","issue":"5","issued":{"date-parts":[["2014"]]},"page":"762-769","title":"Determination of doxorubicin in plasma by using CE coupled with in-column tapered optic-fiber light-emitting diode induced fluorescence detection","type":"article-journal","volume":"35"},"uris":["http://www.mendeley.com/documents/?uuid=6c06700e-90c9-4b58-8a84-eeee6d5e4960"]}],"mendeley":{"formattedCitation":"[47], [48], [50]–[52], [56]","plainTextFormattedCitation":"[47], [48], [50]–[52], [56]","previouslyFormattedCitation":"[47], [48], [50]–[52], [56]"},"properties":{"noteIndex":0},"schema":"https://github.com/citation-style-language/schema/raw/master/csl-citation.json"}</w:instrText>
      </w:r>
      <w:r w:rsidR="2CFE8AFF" w:rsidRPr="610AA1E2">
        <w:rPr>
          <w:rFonts w:ascii="Times New Roman" w:hAnsi="Times New Roman" w:cs="Times New Roman"/>
          <w:sz w:val="24"/>
          <w:szCs w:val="24"/>
        </w:rPr>
        <w:fldChar w:fldCharType="separate"/>
      </w:r>
      <w:r w:rsidRPr="610AA1E2">
        <w:rPr>
          <w:rFonts w:ascii="Times New Roman" w:hAnsi="Times New Roman" w:cs="Times New Roman"/>
          <w:noProof/>
          <w:sz w:val="24"/>
          <w:szCs w:val="24"/>
        </w:rPr>
        <w:t>[47], [48], [50]–[52], [56]</w:t>
      </w:r>
      <w:r w:rsidR="2CFE8AFF" w:rsidRPr="610AA1E2">
        <w:rPr>
          <w:rFonts w:ascii="Times New Roman" w:hAnsi="Times New Roman" w:cs="Times New Roman"/>
          <w:sz w:val="24"/>
          <w:szCs w:val="24"/>
        </w:rPr>
        <w:fldChar w:fldCharType="end"/>
      </w:r>
      <w:r w:rsidRPr="610AA1E2">
        <w:rPr>
          <w:rFonts w:ascii="Times New Roman" w:hAnsi="Times New Roman" w:cs="Times New Roman"/>
          <w:sz w:val="24"/>
          <w:szCs w:val="24"/>
        </w:rPr>
        <w:t xml:space="preserve">, niską wydajnością ekstrakcji </w:t>
      </w:r>
      <w:r w:rsidR="2CFE8AFF" w:rsidRPr="610AA1E2">
        <w:rPr>
          <w:rFonts w:ascii="Times New Roman" w:hAnsi="Times New Roman" w:cs="Times New Roman"/>
          <w:sz w:val="24"/>
          <w:szCs w:val="24"/>
        </w:rPr>
        <w:fldChar w:fldCharType="begin" w:fldLock="1"/>
      </w:r>
      <w:r w:rsidR="00195DAD">
        <w:rPr>
          <w:rFonts w:ascii="Times New Roman" w:hAnsi="Times New Roman" w:cs="Times New Roman"/>
          <w:sz w:val="24"/>
          <w:szCs w:val="24"/>
        </w:rPr>
        <w:instrText>ADDIN CSL_CITATION {"citationItems":[{"id":"ITEM-1","itemData":{"DOI":"10.1016/j.jchromb.2012.12.012","ISSN":"15700232","PMID":"23337906","abstract":"A sensitive, selective, accurate and precise method for simultaneous quantification of doxorubicin (DOX) and doxorubicinol (DOXol) in human plasma of patients diagnosed as having intermediate stage unresectable hepatocellular carcinoma (HCC) was developed. The method was based on electrospray tandem mass spectrometry in selected reaction monitoring mode. DOX, DOXol and trofosfamide, an internal standard, were extracted from plasma by using a simple solid phase extraction (SPE) procedure after the addition of 0.1. M hydrochloric acid.A 200-μL aliquot of the extracted sample reconstituted in mobile phase was analyzed on a Zorbax SB-C18 UHPLC column (50mm×2.1mm, 1.8μm particle size) in 8min. The mobile phase consisted of acetonitrile and 0.1% formic acid pH 4.5 (95:05 v/v). Good accuracy and precision of this method were demonstrated by determination of spiked plasma QC samples in four consecutive days. The SPE extraction recoveries ranged from 72.3 to 77.3% and 75.5 to 98.4% for doxorubicin and doxorubicinol, respectively. The intra-day and inter-day precisions were less than 11.4%. The limit of quantitation was 1.0ng/mL for both compounds. The calibration curves of DOX and DOXol were analyzed by weighted linear regression with 1/x as a weighting factor. They were linear over the concentration range of 1.0-100.0ng/mL with R2 greater than 0.99.This developed method was successfully applied to study plasma pharmacokinetics in patients affected by HCC and treated with transarterial chemoemolization practices (TACEs) using HepaSphere™ pre-loaded with DOX in a standardized procedure. © 2012 Elsevier B.V.","author":[{"dropping-particle":"","family":"Sottani","given":"Cristina","non-dropping-particle":"","parse-names":false,"suffix":""},{"dropping-particle":"","family":"Poggi","given":"Guido","non-dropping-particle":"","parse-names":false,"suffix":""},{"dropping-particle":"","family":"Melchiorre","given":"Fabio","non-dropping-particle":"","parse-names":false,"suffix":""},{"dropping-particle":"","family":"Montagna","given":"Benedetta","non-dropping-particle":"","parse-names":false,"suffix":""},{"dropping-particle":"","family":"Minoia","given":"Claudio","non-dropping-particle":"","parse-names":false,"suffix":""}],"container-title":"Journal of Chromatography B: Analytical Technologies in the Biomedical and Life Sciences","id":"ITEM-1","issued":{"date-parts":[["2013"]]},"page":"71-78","publisher":"Elsevier B.V.","title":"Simultaneous measurement of doxorubicin and reduced metabolite doxorubicinol by UHPLC-MS/MS in human plasma of HCC patients treated with TACE","type":"article-journal","volume":"915-916"},"uris":["http://www.mendeley.com/documents/?uuid=fdde2879-ac35-40b6-bff0-e5f341fbfaa1"]},{"id":"ITEM-2","itemData":{"DOI":"10.1002/rcm","abstract":"We have determined d13C, d2H and d18O isotopic abundances in Andalusian olive oils. In addition, the fatty acid composition and the distribution of isomers at positions 1,3 and 2 of glycerol were determined by 1H and 13C nuclear magnetic resonance (NMR) spectroscopy, respectively. Isotopic results obtained for four series of oil samples extracted from olives harvested in the 2004/05 and 2005/06 seasons are discussed in terms of olive variety, ripeness, geographical origin, fatty acid composition and growing altitude. A distinction was also established between olives grown in irrigated and in dry land by studying selected samples of the previous series and others from the 2005/06, 2006/07, 2007/08 and 2008/09 seasons. The results showed that olive ripeness does not influence the abundance of any of the three isotopes studied. On the other hand, the olive variety influences the abundance of the oxygen and hydrogen isotopes, and also, less markedly, that of carbon. No clear-cut effect of height or latitude on isotope values is observed, probably because the olive variety also changes with height and latitude, thus masking such influences. The oil samples from dryland-grown olives had increased d13C values relative to irrigation-grown olives. In addition, no definite relationship appears to exist between isotope distribution and fatty acid composition. Finally, oil samples from olives harvested in the 2005/06 season in Italy could be distinguished from those from Spain in terms of their isotopic values (d2H mainly). Copyright # 2010 John Wiley &amp; Sons, Ltd.","author":[{"dropping-particle":"","family":"Cristina Sottani, Paola Rinaldi, Emanuela Leoni, Guido Poggi, Cristina Teragni","given":"","non-dropping-particle":"","parse-names":false,"suffix":""},{"dropping-particle":"","family":"Minoia","given":"Angelo Delmonte and Claudio","non-dropping-particle":"","parse-names":false,"suffix":""}],"container-title":"RAPID COMMUNICATIONS IN MASS SPECTROMETRY","id":"ITEM-2","issued":{"date-parts":[["2008"]]},"page":"2645–2659","title":"Simultaneous determination of cyclophosphamide, ifosfamide, doxorubicin, epirubicin and daunorubicin in human urine using high-performance liquid chromatography/electrospray ionization tandem mass spectrometry: bioanalytical method validation","type":"article-journal","volume":"22"},"uris":["http://www.mendeley.com/documents/?uuid=3f42e645-4d3c-462e-ae10-469720fb91f8"]},{"id":"ITEM-3","itemData":{"DOI":"10.1002/rcm.1642","ISSN":"09514198","abstract":"Health-care workers handling antineoplastic agents may be exposed to extremely low doses of these drugs. Very sensitive and specific analytical methods are therefore needed for biological monitoring. The aim of this study was to develop and validate a method for trace level determination of doxorubicin, epirubicin, daunorubicin and idarubicin in human urine, using epi-daunorubicin as an internal standard. Solid-phase extraction (SPE) was used for sample preparation. Urine samples were loaded onto Bond Elut C18 cartridges. The analytes were eluted in methylene chloride/2-propanol (1:1, v/v) and then evaporated to dryness. The residue was reconstituted with the mobile phase prior to high-performance liquid chromatography/tandem mass spectrometry (HPLC/MS/ MS) analysis. Quantitation of each analyte was performed using the multiple reaction monitoring (MRM) method. The urine assay was linear over the range 0.1-2.0 μg/L, with a lower limit of quantification (LLOQ) of 0.10 μg/L for doxorubicin and epirubicin, and 0.03 μg/L for daunorubicin and idarubicin. The respective limits of detection (LODs) were 0.04 and 0.01 μg/L. The precision and accuracy of the assay were determined on three different days. The within-series precision was found to be always less than 13.9% for all the analytes. The overall precision expressed as relative standard deviation (RSD) was always less than 10.6%. The recovery of anthracyclines was assessed at two concentrations of the range tested (0.1 and 2.0 μg/L) and it ranged from 87.7% (daunorubicin) to 102.0% (doxorubicin) and from 79.1% (daunorubicin) to 90.7% (idarubicin) for the lower and the higher level, respectively, with a RSD always less than 9.1%. The uncertainty of the present assay was also evaluated and the combined uncertainty was always less than 20% over all the days of the validation study. This is the first method that makes use of LC/MS/MS for the biological monitoring of occupational exposure to anthracyclines. Copyright © 2004 John Wiley &amp; Sons, Ltd.","author":[{"dropping-particle":"","family":"Sottani","given":"Cristina","non-dropping-particle":"","parse-names":false,"suffix":""},{"dropping-particle":"","family":"Tranfo","given":"Giovanna","non-dropping-particle":"","parse-names":false,"suffix":""},{"dropping-particle":"","family":"Bettinelli","given":"Maurizio","non-dropping-particle":"","parse-names":false,"suffix":""},{"dropping-particle":"","family":"Faranda","given":"Paolo","non-dropping-particle":"","parse-names":false,"suffix":""},{"dropping-particle":"","family":"Spagnoli","given":"Mariangela","non-dropping-particle":"","parse-names":false,"suffix":""},{"dropping-particle":"","family":"Minoia","given":"Claudio","non-dropping-particle":"","parse-names":false,"suffix":""}],"container-title":"Rapid Communications in Mass Spectrometry","id":"ITEM-3","issue":"20","issued":{"date-parts":[["2004"]]},"page":"2426-2436","title":"Trace determination of anthracyclines in urine: A new high-performance liquid chromatography/tandem mass spectrometry method for assessing exposure of hospital personnel","type":"article-journal","volume":"18"},"uris":["http://www.mendeley.com/documents/?uuid=c2101765-022b-47e8-8beb-c12cf909e5b3"]},{"id":"ITEM-4","itemData":{"ISSN":"02507005","PMID":"15868924","abstract":"Doxorubicin (adriamycin), an anthracycline antibiotic, showed higher cytotoxic activity against human tumor cell lines (oral squamous cell carcinoma HSC-2, HSC-3, submandibular gland carcinoma HSG, promyelocytic leukemia HL-60) than against normal human cells (gingival fibroblast HGF, pulp cell HPC, periodontal ligament fibroblast HPLF). Doxorubicin activated caspases 3, 8 and 9 in both HSC-2 and HL-60 cells, but induced internucleosomal DNA fragmentation only in HL-60 cells. Western blot analysis showed that doxorubicin did not significantly change the intracellular concentration of Bcl-2, Bax and Bad in HL-60 cells. Real-time PCR analysis showed that HPC cells expressed the highest amount of mdr1 mRNA, followed by HSC-2 &gt; HGF &gt; HSC-3 &gt; HPLF &gt; HSG &gt; HL-60. ESR spectroscopy showed that doxorubicin produced no discernible radical under alkaline conditions (pH 7.4 to 10.5) except at pH 12.5, and it did not scavenge O2-, NO and DPPH radicals. The present study demonstrates that doxorubicin induces the tumor-specific cytotoxicity and some, but not all, apoptosis markers possibly by a radical-independent mechanism, and that mdr1 expression in the tumor cells is not related to the tumor specificity of doxorubicin.","author":[{"dropping-particle":"","family":"Suzuki","given":"Fumika","non-dropping-particle":"","parse-names":false,"suffix":""},{"dropping-particle":"","family":"Hashimoto","given":"Ken","non-dropping-particle":"","parse-names":false,"suffix":""},{"dropping-particle":"","family":"Kikuchi","given":"Hirotaka","non-dropping-particle":"","parse-names":false,"suffix":""},{"dropping-particle":"","family":"Nishikawa","given":"Hirofumi","non-dropping-particle":"","parse-names":false,"suffix":""},{"dropping-particle":"","family":"Matsumoto","given":"Hisatoshi","non-dropping-particle":"","parse-names":false,"suffix":""},{"dropping-particle":"","family":"Shimada","given":"Jun","non-dropping-particle":"","parse-names":false,"suffix":""},{"dropping-particle":"","family":"Kawase","given":"Masami","non-dropping-particle":"","parse-names":false,"suffix":""},{"dropping-particle":"","family":"Sunaga","given":"Katsuyoshi","non-dropping-particle":"","parse-names":false,"suffix":""},{"dropping-particle":"","family":"Tsuda","given":"Tadashi","non-dropping-particle":"","parse-names":false,"suffix":""},{"dropping-particle":"","family":"Satoh","given":"Kazue","non-dropping-particle":"","parse-names":false,"suffix":""},{"dropping-particle":"","family":"Sakagami","given":"Hiroshi","non-dropping-particle":"","parse-names":false,"suffix":""}],"container-title":"Anticancer Research","id":"ITEM-4","issue":"2 A","issued":{"date-parts":[["2005"]]},"page":"887-893","title":"Induction of tumor-specific cytotoxicity and apoptosis by doxorubicin","type":"article-journal","volume":"25"},"uris":["http://www.mendeley.com/documents/?uuid=c84702cf-cc10-45cb-8f5b-ba6e5833f104"]}],"mendeley":{"formattedCitation":"[53]–[55], [60]","plainTextFormattedCitation":"[53]–[55], [60]","previouslyFormattedCitation":"[53]–[55], [60]"},"properties":{"noteIndex":0},"schema":"https://github.com/citation-style-language/schema/raw/master/csl-citation.json"}</w:instrText>
      </w:r>
      <w:r w:rsidR="2CFE8AFF" w:rsidRPr="610AA1E2">
        <w:rPr>
          <w:rFonts w:ascii="Times New Roman" w:hAnsi="Times New Roman" w:cs="Times New Roman"/>
          <w:sz w:val="24"/>
          <w:szCs w:val="24"/>
        </w:rPr>
        <w:fldChar w:fldCharType="separate"/>
      </w:r>
      <w:r w:rsidR="00446FEF" w:rsidRPr="00446FEF">
        <w:rPr>
          <w:rFonts w:ascii="Times New Roman" w:hAnsi="Times New Roman" w:cs="Times New Roman"/>
          <w:noProof/>
          <w:sz w:val="24"/>
          <w:szCs w:val="24"/>
        </w:rPr>
        <w:t>[53]–[55], [60]</w:t>
      </w:r>
      <w:r w:rsidR="2CFE8AFF" w:rsidRPr="610AA1E2">
        <w:rPr>
          <w:rFonts w:ascii="Times New Roman" w:hAnsi="Times New Roman" w:cs="Times New Roman"/>
          <w:sz w:val="24"/>
          <w:szCs w:val="24"/>
        </w:rPr>
        <w:fldChar w:fldCharType="end"/>
      </w:r>
      <w:r w:rsidRPr="610AA1E2">
        <w:rPr>
          <w:rFonts w:ascii="Times New Roman" w:hAnsi="Times New Roman" w:cs="Times New Roman"/>
          <w:sz w:val="24"/>
          <w:szCs w:val="24"/>
        </w:rPr>
        <w:t xml:space="preserve">, długim czasem analizy chromatograficznej (≥ powyżej 15 min) </w:t>
      </w:r>
      <w:r w:rsidR="2CFE8AFF" w:rsidRPr="610AA1E2">
        <w:rPr>
          <w:rFonts w:ascii="Times New Roman" w:hAnsi="Times New Roman" w:cs="Times New Roman"/>
          <w:sz w:val="24"/>
          <w:szCs w:val="24"/>
        </w:rPr>
        <w:fldChar w:fldCharType="begin" w:fldLock="1"/>
      </w:r>
      <w:r w:rsidR="00195DAD">
        <w:rPr>
          <w:rFonts w:ascii="Times New Roman" w:hAnsi="Times New Roman" w:cs="Times New Roman"/>
          <w:sz w:val="24"/>
          <w:szCs w:val="24"/>
        </w:rPr>
        <w:instrText>ADDIN CSL_CITATION {"citationItems":[{"id":"ITEM-1","itemData":{"ISSN":"02507005","PMID":"15868924","abstract":"Doxorubicin (adriamycin), an anthracycline antibiotic, showed higher cytotoxic activity against human tumor cell lines (oral squamous cell carcinoma HSC-2, HSC-3, submandibular gland carcinoma HSG, promyelocytic leukemia HL-60) than against normal human cells (gingival fibroblast HGF, pulp cell HPC, periodontal ligament fibroblast HPLF). Doxorubicin activated caspases 3, 8 and 9 in both HSC-2 and HL-60 cells, but induced internucleosomal DNA fragmentation only in HL-60 cells. Western blot analysis showed that doxorubicin did not significantly change the intracellular concentration of Bcl-2, Bax and Bad in HL-60 cells. Real-time PCR analysis showed that HPC cells expressed the highest amount of mdr1 mRNA, followed by HSC-2 &gt; HGF &gt; HSC-3 &gt; HPLF &gt; HSG &gt; HL-60. ESR spectroscopy showed that doxorubicin produced no discernible radical under alkaline conditions (pH 7.4 to 10.5) except at pH 12.5, and it did not scavenge O2-, NO and DPPH radicals. The present study demonstrates that doxorubicin induces the tumor-specific cytotoxicity and some, but not all, apoptosis markers possibly by a radical-independent mechanism, and that mdr1 expression in the tumor cells is not related to the tumor specificity of doxorubicin.","author":[{"dropping-particle":"","family":"Suzuki","given":"Fumika","non-dropping-particle":"","parse-names":false,"suffix":""},{"dropping-particle":"","family":"Hashimoto","given":"Ken","non-dropping-particle":"","parse-names":false,"suffix":""},{"dropping-particle":"","family":"Kikuchi","given":"Hirotaka","non-dropping-particle":"","parse-names":false,"suffix":""},{"dropping-particle":"","family":"Nishikawa","given":"Hirofumi","non-dropping-particle":"","parse-names":false,"suffix":""},{"dropping-particle":"","family":"Matsumoto","given":"Hisatoshi","non-dropping-particle":"","parse-names":false,"suffix":""},{"dropping-particle":"","family":"Shimada","given":"Jun","non-dropping-particle":"","parse-names":false,"suffix":""},{"dropping-particle":"","family":"Kawase","given":"Masami","non-dropping-particle":"","parse-names":false,"suffix":""},{"dropping-particle":"","family":"Sunaga","given":"Katsuyoshi","non-dropping-particle":"","parse-names":false,"suffix":""},{"dropping-particle":"","family":"Tsuda","given":"Tadashi","non-dropping-particle":"","parse-names":false,"suffix":""},{"dropping-particle":"","family":"Satoh","given":"Kazue","non-dropping-particle":"","parse-names":false,"suffix":""},{"dropping-particle":"","family":"Sakagami","given":"Hiroshi","non-dropping-particle":"","parse-names":false,"suffix":""}],"container-title":"Anticancer Research","id":"ITEM-1","issue":"2 A","issued":{"date-parts":[["2005"]]},"page":"887-893","title":"Induction of tumor-specific cytotoxicity and apoptosis by doxorubicin","type":"article-journal","volume":"25"},"uris":["http://www.mendeley.com/documents/?uuid=c84702cf-cc10-45cb-8f5b-ba6e5833f104"]},{"id":"ITEM-2","itemData":{"DOI":"10.1016/j.ejps.2010.07.015","ISSN":"09280987","PMID":"20688160","abstract":"Although being used for decades in the treatment of several types of cancer, either alone or in association, only a few data about the pharmacokinetics of doxorubicin (DOX) in humans are available. DOX is frequently used in association with other anticancer drugs in the management of breast cancer. Pharmacokinetic data available in the literature show that after i.v. administration DOX follows a two-compartment open model, with a fast distribution phase followed by a very slow elimination phase. The objective of this work is to perform a pilot study in order to verify if the usual dose adjustment based on body surface area (BSA) would be producing the same plasma concentration-time profiles in patients with normal (&lt;25) and above normal (&gt;25) body mass index (BMI). In order to assess the pharmacokinetics of DOX after a short-term i.v. infusion of 60mg/m2 of BSA, an experimental design using only five plasma samples of each patient was applied. Samples were collected at 0.00, 0.66 (right after the end of infusion), 1.66, 8.66, and 24.66h. DOX pharmacokinetic profiles were evaluated after quantification of DOX using a new HPLC method developed and validated. Pharmacokinetic parameters (AUC0-24.66 and Cmax) were analyzed by non-compartmental and compartmental approaches. Significant differences (α=0.05) between overweight and normal weight groups were found with respect to AUC and Cmax. After adjustment of dose by weight and by BMI, the compartmental model was used to simulate plasma concentrations and new values for Cmax and AUC0-24.66 were calculated. The new values obtained using both body weight (BW) and BMI were closer to the normal group than those obtained with BSA. According to the simulation, the differences of AUC and Cmax between the overweight group and the group of patients with normal weight were lower when the dose was adjusted by BW and BMI. These results suggest that more studies must be conducted, with more patients, in order to evaluate the best dose adjustment for DOX in women with breast cancer and overweight. © 2010.","author":[{"dropping-particle":"","family":"Barpe","given":"Deise Raquel","non-dropping-particle":"","parse-names":false,"suffix":""},{"dropping-particle":"","family":"Rosa","given":"Daniela Dornelles","non-dropping-particle":"","parse-names":false,"suffix":""},{"dropping-particle":"","family":"Froehlich","given":"Pedro Eduardo","non-dropping-particle":"","parse-names":false,"suffix":""}],"container-title":"European Journal of Pharmaceutical Sciences","id":"ITEM-2","issue":"3-4","issued":{"date-parts":[["2010"]]},"page":"458-463","publisher":"Elsevier B.V.","title":"Pharmacokinetic evaluation of doxorubicin plasma levels in normal and overweight patients with breast cancer and simulation of dose adjustment by different indexes of body mass","type":"article-journal","volume":"41"},"uris":["http://www.mendeley.com/documents/?uuid=557dde94-60fa-45b1-bc7a-c645fca1c1f7"]},{"id":"ITEM-3","itemData":{"DOI":"10.1016/S0378-4347(97)00610-5","ISSN":"15726495","PMID":"9613953","abstract":"A high-performance liquid chromatographic method with electrochemical detection has been developed for the simultaneous determination of epirubicin, 13-S-dihydroepirubicin, doxorubicin and 13-S-dihydrodoxorubicin in human plasma. An aliquot of 200 μl plasma, spiked with internal standard, was extracted by solid-phase extraction using polymeric adsorbent columns. Chromatography was performed using a C18 reversed-phase column with a mobile phase consisting of water-acetonitrile (71:29, v/v) containing 0.05 M Na2HPO4 and 0.05% v/v triethylamine adjusted to pH 4.6 with citric acid. Linearity of the method was obtained in the concentration range of 1-500 ng/ml for all the analytes. Analytical recoveries of the analytes ranged from 89 to 93%. The assay can be used for the simultaneous determination of the four analytes, or for epirubicin and its metabolite or doxorubicin and its metabolite, using the other parent drug as an internal standard. The method was applied to analyze human plasma samples from patients treated with epirubicin using doxorubicin as an internal standard.","author":[{"dropping-particle":"","family":"Ricciarello","given":"R.","non-dropping-particle":"","parse-names":false,"suffix":""},{"dropping-particle":"","family":"Pichini","given":"S.","non-dropping-particle":"","parse-names":false,"suffix":""},{"dropping-particle":"","family":"Pacifici","given":"R.","non-dropping-particle":"","parse-names":false,"suffix":""},{"dropping-particle":"","family":"Altieri","given":"I.","non-dropping-particle":"","parse-names":false,"suffix":""},{"dropping-particle":"","family":"Pellegrini","given":"M.","non-dropping-particle":"","parse-names":false,"suffix":""},{"dropping-particle":"","family":"Fattorossi","given":"A.","non-dropping-particle":"","parse-names":false,"suffix":""},{"dropping-particle":"","family":"Zuccaro","given":"P.","non-dropping-particle":"","parse-names":false,"suffix":""}],"container-title":"Journal of Chromatography B: Biomedical Applications","id":"ITEM-3","issue":"1-2","issued":{"date-parts":[["1998"]]},"page":"219-225","title":"Simultaneous determination of epirubicin, doxorubicin and their principal metabolites in human plasma by high-performance liquid chromatography and electrochemical detection","type":"article-journal","volume":"707"},"uris":["http://www.mendeley.com/documents/?uuid=ab0991fc-be51-4341-a25e-e1ecd9bad733"]},{"id":"ITEM-4","itemData":{"DOI":"10.1002/1522-2683(200108)22:13&lt;2782::AID-ELPS2782&gt;3.0.CO;2-I","ISSN":"01730835","PMID":"11545408","abstract":"Sweeping preconcentration and electrokinetic injection was used for the capillary electrophoretic analysis of trace amounts of biologically active anthracyclines with UV absorption detection. Phosphate buffer (100 mM), pH 2.5, with addition of 40% v/v methanol was used as background electrolyte (BGE). Sodium dodecyl sulfate (150 mM) was added to BGE in the inlet vial as the sweeping agent. The system enables effective separation of anthracyclines as well as cleanup from matrix impurities. Sweeping preconcentration of sample provides an excellent detection limit (1 × 10-9 mol L-1). The method was applied for the determination of therapeutic levels of doxorubicin in real plasma samples.","author":[{"dropping-particle":"","family":"Gavenda","given":"Aleš","non-dropping-particle":"","parse-names":false,"suffix":""},{"dropping-particle":"","family":"Ševčk","given":"Juraj","non-dropping-particle":"","parse-names":false,"suffix":""},{"dropping-particle":"","family":"Psotovář","given":"Jitka","non-dropping-particle":"","parse-names":false,"suffix":""},{"dropping-particle":"","family":"Bedná","given":"Petr","non-dropping-particle":"","parse-names":false,"suffix":""},{"dropping-particle":"","family":"Barták","given":"Petr","non-dropping-particle":"","parse-names":false,"suffix":""},{"dropping-particle":"","family":"Adamovský","given":"Pavel","non-dropping-particle":"","parse-names":false,"suffix":""},{"dropping-particle":"","family":"Šimánek","given":"Vilm","non-dropping-particle":"","parse-names":false,"suffix":""}],"container-title":"Electrophoresis","id":"ITEM-4","issue":"13","issued":{"date-parts":[["2001"]]},"page":"2782-2785","title":"Determination of anthracycline antibiotics doxorubicin and daunorubicin by capillary electrophoresis with UV absorption detection","type":"article-journal","volume":"22"},"uris":["http://www.mendeley.com/documents/?uuid=925f142a-9f53-4fa8-8a83-b2f1396b61f6"]},{"id":"ITEM-5","itemData":{"DOI":"10.1002/rcm.1642","ISSN":"09514198","abstract":"Health-care workers handling antineoplastic agents may be exposed to extremely low doses of these drugs. Very sensitive and specific analytical methods are therefore needed for biological monitoring. The aim of this study was to develop and validate a method for trace level determination of doxorubicin, epirubicin, daunorubicin and idarubicin in human urine, using epi-daunorubicin as an internal standard. Solid-phase extraction (SPE) was used for sample preparation. Urine samples were loaded onto Bond Elut C18 cartridges. The analytes were eluted in methylene chloride/2-propanol (1:1, v/v) and then evaporated to dryness. The residue was reconstituted with the mobile phase prior to high-performance liquid chromatography/tandem mass spectrometry (HPLC/MS/ MS) analysis. Quantitation of each analyte was performed using the multiple reaction monitoring (MRM) method. The urine assay was linear over the range 0.1-2.0 μg/L, with a lower limit of quantification (LLOQ) of 0.10 μg/L for doxorubicin and epirubicin, and 0.03 μg/L for daunorubicin and idarubicin. The respective limits of detection (LODs) were 0.04 and 0.01 μg/L. The precision and accuracy of the assay were determined on three different days. The within-series precision was found to be always less than 13.9% for all the analytes. The overall precision expressed as relative standard deviation (RSD) was always less than 10.6%. The recovery of anthracyclines was assessed at two concentrations of the range tested (0.1 and 2.0 μg/L) and it ranged from 87.7% (daunorubicin) to 102.0% (doxorubicin) and from 79.1% (daunorubicin) to 90.7% (idarubicin) for the lower and the higher level, respectively, with a RSD always less than 9.1%. The uncertainty of the present assay was also evaluated and the combined uncertainty was always less than 20% over all the days of the validation study. This is the first method that makes use of LC/MS/MS for the biological monitoring of occupational exposure to anthracyclines. Copyright © 2004 John Wiley &amp; Sons, Ltd.","author":[{"dropping-particle":"","family":"Sottani","given":"Cristina","non-dropping-particle":"","parse-names":false,"suffix":""},{"dropping-particle":"","family":"Tranfo","given":"Giovanna","non-dropping-particle":"","parse-names":false,"suffix":""},{"dropping-particle":"","family":"Bettinelli","given":"Maurizio","non-dropping-particle":"","parse-names":false,"suffix":""},{"dropping-particle":"","family":"Faranda","given":"Paolo","non-dropping-particle":"","parse-names":false,"suffix":""},{"dropping-particle":"","family":"Spagnoli","given":"Mariangela","non-dropping-particle":"","parse-names":false,"suffix":""},{"dropping-particle":"","family":"Minoia","given":"Claudio","non-dropping-particle":"","parse-names":false,"suffix":""}],"container-title":"Rapid Communications in Mass Spectrometry","id":"ITEM-5","issue":"20","issued":{"date-parts":[["2004"]]},"page":"2426-2436","title":"Trace determination of anthracyclines in urine: A new high-performance liquid chromatography/tandem mass spectrometry method for assessing exposure of hospital personnel","type":"article-journal","volume":"18"},"uris":["http://www.mendeley.com/documents/?uuid=c2101765-022b-47e8-8beb-c12cf909e5b3"]},{"id":"ITEM-6","itemData":{"DOI":"10.1016/j.jpba.2006.06.032","ISSN":"07317085","PMID":"16884884","abstract":"A validated HPLC method was developed for the quantification of doxorubicin in rabbit ocular tissues using solid phase extraction and ultraviolet detection. Chromatographic separation of doxorubicin in various ocular tissues was performed on a C18 column. The mobile phase was composed of 0.2 M KH2PO4 buffer solution, acetonitrile and triethylamine in volumetric ratio of 70/30/0.2, adjusted to pH 4.0 with orthophosphoric acid. The calibration curve was linear over the range of 0.03-10, 0.03-10, 0.05-10 and 0.05-10 μg/ml in vitreous body, iris, retina/choroids and sclera, respectively. The intra-day and inter-day precisions in all ocular tissues were smaller than 4.95% and 5.73%, and the accuracies were about 100%. The extraction recoveries of doxorubicin in all of the ocular tissues were between 83.47% and 96.33%. After intravitreal administration of doxorubicin-loaded poly-β-hydroxybutyrate microspheres, doxorubicin level in ocular tissues was much lower than that for administration of free doxorubicin, which was helpful to reduce the associated toxicity to surrounding tissues. Doxorubicin was detectable even after tens of days in the studied ocular tissues. © 2006 Elsevier B.V. All rights reserved.","author":[{"dropping-particle":"","family":"Hu","given":"Tao","non-dropping-particle":"","parse-names":false,"suffix":""},{"dropping-particle":"","family":"Le","given":"Qihua","non-dropping-particle":"","parse-names":false,"suffix":""},{"dropping-particle":"","family":"Wu","given":"Zhiyi","non-dropping-particle":"","parse-names":false,"suffix":""},{"dropping-particle":"","family":"Wu","given":"Wei","non-dropping-particle":"","parse-names":false,"suffix":""}],"container-title":"Journal of Pharmaceutical and Biomedical Analysis","id":"ITEM-6","issue":"1","issued":{"date-parts":[["2007"]]},"page":"263-269","title":"Determination of doxorubicin in rabbit ocular tissues and pharmacokinetics after intravitreal injection of a single dose of doxorubicin-loaded poly-β-hydroxybutyrate microspheres","type":"article-journal","volume":"43"},"uris":["http://www.mendeley.com/documents/?uuid=2dded347-b193-4fdf-8e33-c48d11657724"]},{"id":"ITEM-7","itemData":{"DOI":"10.1002/rcm","abstract":"We have determined d13C, d2H and d18O isotopic abundances in Andalusian olive oils. In addition, the fatty acid composition and the distribution of isomers at positions 1,3 and 2 of glycerol were determined by 1H and 13C nuclear magnetic resonance (NMR) spectroscopy, respectively. Isotopic results obtained for four series of oil samples extracted from olives harvested in the 2004/05 and 2005/06 seasons are discussed in terms of olive variety, ripeness, geographical origin, fatty acid composition and growing altitude. A distinction was also established between olives grown in irrigated and in dry land by studying selected samples of the previous series and others from the 2005/06, 2006/07, 2007/08 and 2008/09 seasons. The results showed that olive ripeness does not influence the abundance of any of the three isotopes studied. On the other hand, the olive variety influences the abundance of the oxygen and hydrogen isotopes, and also, less markedly, that of carbon. No clear-cut effect of height or latitude on isotope values is observed, probably because the olive variety also changes with height and latitude, thus masking such influences. The oil samples from dryland-grown olives had increased d13C values relative to irrigation-grown olives. In addition, no definite relationship appears to exist between isotope distribution and fatty acid composition. Finally, oil samples from olives harvested in the 2005/06 season in Italy could be distinguished from those from Spain in terms of their isotopic values (d2H mainly). Copyright # 2010 John Wiley &amp; Sons, Ltd.","author":[{"dropping-particle":"","family":"Cristina Sottani, Paola Rinaldi, Emanuela Leoni, Guido Poggi, Cristina Teragni","given":"","non-dropping-particle":"","parse-names":false,"suffix":""},{"dropping-particle":"","family":"Minoia","given":"Angelo Delmonte and Claudio","non-dropping-particle":"","parse-names":false,"suffix":""}],"container-title":"RAPID COMMUNICATIONS IN MASS SPECTROMETRY","id":"ITEM-7","issued":{"date-parts":[["2008"]]},"page":"2645–2659","title":"Simultaneous determination of cyclophosphamide, ifosfamide, doxorubicin, epirubicin and daunorubicin in human urine using high-performance liquid chromatography/electrospray ionization tandem mass spectrometry: bioanalytical method validation","type":"article-journal","volume":"22"},"uris":["http://www.mendeley.com/documents/?uuid=3f42e645-4d3c-462e-ae10-469720fb91f8"]},{"id":"ITEM-8","itemData":{"DOI":"10.1016/S0731-7085(02)00442-9","ISSN":"07317085","PMID":"12408897","abstract":"A simple, accurate and precise high-performance liquid chromatographic method was developed and validated for the simultaneous determination of doxorubicin and its three metabolites, including doxorubicinol, doxorubicinolone and doxorubicinone, in rat serum and bile. Following a single protein precipitation step, chromatographic separation was accomplished using a C-18 column with a mobile phase consisting of 50 mM sodium phosphate buffer-acetonitrile-1-propanol (65:25:2, v/v), pH 2.0. The analytes were measured by fluorescence detection with excitation wavelength of 480 nm and emission wavelength of 560 nm. The lower limits of quantitation were 10 ng/ml for doxorubicin, and 5 ng/ml for the three metabolites. The calibration curves were linear over a concentration range of 10-2500 ng/ml for doxorubicin, and 5-1250 ng/ml for its three metabolites. The average recoveries were greater than 89% for all analytes. The within-day and between-day coefficients of variation were generally less than 13%. Doxorubicin and its metabolites were stable in the precipitated serum and bile samples at room temperature in darkness for at least 48 h. This method permitted the analysis of samples without the presence of the anticoagulant sodium citrate and thus was applied to serum and bile samples collected from rats that were administered doxorubicin intravenously in a pharmacokinetic study. © 2002 Elsevier Science B.V. All rights reserved.","author":[{"dropping-particle":"","family":"Zhou","given":"Qingyu","non-dropping-particle":"","parse-names":false,"suffix":""},{"dropping-particle":"","family":"Chowbay","given":"Balram","non-dropping-particle":"","parse-names":false,"suffix":""}],"container-title":"Journal of Pharmaceutical and Biomedical Analysis","id":"ITEM-8","issue":"4","issued":{"date-parts":[["2002"]]},"page":"1063-1074","title":"Determination of doxorubicin and its metabolites in rat serum and bile by LC: Application to preclinical pharmacokinetic studies","type":"article-journal","volume":"30"},"uris":["http://www.mendeley.com/documents/?uuid=79379c44-ec4d-4505-8fdb-e14c9f8d8c7c"]}],"mendeley":{"formattedCitation":"[47], [51], [54], [55], [57]–[60]","plainTextFormattedCitation":"[47], [51], [54], [55], [57]–[60]","previouslyFormattedCitation":"[47], [51], [54], [55], [57]–[60]"},"properties":{"noteIndex":0},"schema":"https://github.com/citation-style-language/schema/raw/master/csl-citation.json"}</w:instrText>
      </w:r>
      <w:r w:rsidR="2CFE8AFF" w:rsidRPr="610AA1E2">
        <w:rPr>
          <w:rFonts w:ascii="Times New Roman" w:hAnsi="Times New Roman" w:cs="Times New Roman"/>
          <w:sz w:val="24"/>
          <w:szCs w:val="24"/>
        </w:rPr>
        <w:fldChar w:fldCharType="separate"/>
      </w:r>
      <w:r w:rsidR="00446FEF" w:rsidRPr="00446FEF">
        <w:rPr>
          <w:rFonts w:ascii="Times New Roman" w:hAnsi="Times New Roman" w:cs="Times New Roman"/>
          <w:noProof/>
          <w:sz w:val="24"/>
          <w:szCs w:val="24"/>
        </w:rPr>
        <w:t>[47], [51], [54], [55], [57]–[60]</w:t>
      </w:r>
      <w:r w:rsidR="2CFE8AFF" w:rsidRPr="610AA1E2">
        <w:rPr>
          <w:rFonts w:ascii="Times New Roman" w:hAnsi="Times New Roman" w:cs="Times New Roman"/>
          <w:sz w:val="24"/>
          <w:szCs w:val="24"/>
        </w:rPr>
        <w:fldChar w:fldCharType="end"/>
      </w:r>
      <w:r w:rsidRPr="610AA1E2">
        <w:rPr>
          <w:rFonts w:ascii="Times New Roman" w:hAnsi="Times New Roman" w:cs="Times New Roman"/>
          <w:sz w:val="24"/>
          <w:szCs w:val="24"/>
        </w:rPr>
        <w:t xml:space="preserve">, wysokimi poziomami LOD </w:t>
      </w:r>
      <w:r w:rsidR="2CFE8AFF" w:rsidRPr="610AA1E2">
        <w:rPr>
          <w:rFonts w:ascii="Times New Roman" w:hAnsi="Times New Roman" w:cs="Times New Roman"/>
          <w:sz w:val="24"/>
          <w:szCs w:val="24"/>
        </w:rPr>
        <w:fldChar w:fldCharType="begin" w:fldLock="1"/>
      </w:r>
      <w:r w:rsidR="003F3548">
        <w:rPr>
          <w:rFonts w:ascii="Times New Roman" w:hAnsi="Times New Roman" w:cs="Times New Roman"/>
          <w:sz w:val="24"/>
          <w:szCs w:val="24"/>
        </w:rPr>
        <w:instrText>ADDIN CSL_CITATION {"citationItems":[{"id":"ITEM-1","itemData":{"DOI":"10.1016/j.ejps.2010.07.015","ISSN":"09280987","PMID":"20688160","abstract":"Although being used for decades in the treatment of several types of cancer, either alone or in association, only a few data about the pharmacokinetics of doxorubicin (DOX) in humans are available. DOX is frequently used in association with other anticancer drugs in the management of breast cancer. Pharmacokinetic data available in the literature show that after i.v. administration DOX follows a two-compartment open model, with a fast distribution phase followed by a very slow elimination phase. The objective of this work is to perform a pilot study in order to verify if the usual dose adjustment based on body surface area (BSA) would be producing the same plasma concentration-time profiles in patients with normal (&lt;25) and above normal (&gt;25) body mass index (BMI). In order to assess the pharmacokinetics of DOX after a short-term i.v. infusion of 60mg/m2 of BSA, an experimental design using only five plasma samples of each patient was applied. Samples were collected at 0.00, 0.66 (right after the end of infusion), 1.66, 8.66, and 24.66h. DOX pharmacokinetic profiles were evaluated after quantification of DOX using a new HPLC method developed and validated. Pharmacokinetic parameters (AUC0-24.66 and Cmax) were analyzed by non-compartmental and compartmental approaches. Significant differences (α=0.05) between overweight and normal weight groups were found with respect to AUC and Cmax. After adjustment of dose by weight and by BMI, the compartmental model was used to simulate plasma concentrations and new values for Cmax and AUC0-24.66 were calculated. The new values obtained using both body weight (BW) and BMI were closer to the normal group than those obtained with BSA. According to the simulation, the differences of AUC and Cmax between the overweight group and the group of patients with normal weight were lower when the dose was adjusted by BW and BMI. These results suggest that more studies must be conducted, with more patients, in order to evaluate the best dose adjustment for DOX in women with breast cancer and overweight. © 2010.","author":[{"dropping-particle":"","family":"Barpe","given":"Deise Raquel","non-dropping-particle":"","parse-names":false,"suffix":""},{"dropping-particle":"","family":"Rosa","given":"Daniela Dornelles","non-dropping-particle":"","parse-names":false,"suffix":""},{"dropping-particle":"","family":"Froehlich","given":"Pedro Eduardo","non-dropping-particle":"","parse-names":false,"suffix":""}],"container-title":"European Journal of Pharmaceutical Sciences","id":"ITEM-1","issue":"3-4","issued":{"date-parts":[["2010"]]},"page":"458-463","publisher":"Elsevier B.V.","title":"Pharmacokinetic evaluation of doxorubicin plasma levels in normal and overweight patients with breast cancer and simulation of dose adjustment by different indexes of body mass","type":"article-journal","volume":"41"},"uris":["http://www.mendeley.com/documents/?uuid=faeeb6e1-c78e-49ed-b3a8-965b0aa042b8"]},{"id":"ITEM-2","itemData":{"DOI":"10.1080/10826076.2012.678456","ISSN":"10826076","abstract":"An accurate UPLC method was developed and validated for the simultaneous determination of irinotecan and doxorubicin extracted from murine plasma, along with their major metabolites SN-38 and doxorubicinol, respectively. The parent drugs and metabolites were extracted from plasma by protein precipitation method. Camptothecin was used as the internal standard. Chromatographic separation was performed using an ACQUITY UPLC BEH C18 column (150 × 2.1 mm, particle size of 1.7 μm) at 40°C by means of gradient elution. The mobile phases for gradient elution were consisted of 0.1 % v/v formic acid in either acetonitrile or water. The flow rate was 0.5 mL/min, and the total run time was 7 min. The linear quantitation ranges for parent drugs (irinotecan and doxorubicin) and for metabolites (doxorubicinol and SN-38) were 250-10000 ng/mL and 125-5000 ng/mL, respectively (r2 &gt; 0.99). The lower limit of quantification (LLOQ) for irinotecan and doxorubicin was 250 ng/mL, and the LLOQ for SN-38 and doxorubicinol was 125 ng/mL. The intra- and inter-day relative standard deviation was &lt;10 %, and accuracy was &gt;90%. © 2013 Copyright Taylor and Francis Group, LLC.","author":[{"dropping-particle":"","family":"Shaikh","given":"Ishaque M.","non-dropping-particle":"","parse-names":false,"suffix":""},{"dropping-particle":"","family":"Tan","given":"Kuan Boone","non-dropping-particle":"","parse-names":false,"suffix":""},{"dropping-particle":"","family":"Chiu","given":"Gigi N.C.","non-dropping-particle":"","parse-names":false,"suffix":""}],"container-title":"Journal of Liquid Chromatography and Related Technologies","id":"ITEM-2","issue":"7","issued":{"date-parts":[["2013"]]},"page":"914-925","title":"Simultaneous determination of doxorubicin and irinotecan in conjunction with their major metabolites by ultra high performance liquid chromatography","type":"article-journal","volume":"36"},"uris":["http://www.mendeley.com/documents/?uuid=f5453db9-372b-4f6a-aded-7bab4e03529e"]},{"id":"ITEM-3","itemData":{"DOI":"10.1002/elps.201300237","ISSN":"15222683","PMID":"24114803","abstract":"This paper proposes a novel strategy to enhance detection of doxorubicin in human plasma, using homemade CE combined with normal stacking mode (NSM). The detection system of CE named as in-column tapered optic-fiber light-emitting diode induced fluorescence detection system is economic and more sensitive that has been demonstrated in our previous work. The influence of sample matrix, BGE, applied voltage, and injection time on the efficiency of NSM were systematically investigated. The clean extracts were subjected to CE separation with optimal experimental conditions: Ethanol-water (1:1, v/v) was used as sample matrix, pH 4.12 15 mM sodium phosphate buffer solution containing 70% v/v ACN, applied voltage 23 kV and 45 s hydrodynamic injection at a height of 20 cm. The detection system displayed linear dynamic range from 6.4 to 1.13 × 103 ng/mL with a correlation coefficient of 0.9990 and LOD 2.2 ng/mL for doxorubicin (DOX). The proposed CE method has been successfully applied to determine DOX in human plasma which the recoveries of standard DOX added to human plasma were found to been the range of 93.8-104.6%. The results obtained demonstrate that our detection system combined with NSM is a good idea to enhance sensitivity in CE for routine determination of DOX in some biological specimens. © 2013 WILEY-VCH Verlag GmbH &amp; Co. KGaA, Weinheim.","author":[{"dropping-particle":"","family":"Yang","given":"Xiupei","non-dropping-particle":"","parse-names":false,"suffix":""},{"dropping-particle":"","family":"Qian","given":"Fan","non-dropping-particle":"","parse-names":false,"suffix":""},{"dropping-particle":"","family":"Xie","given":"Linxiang","non-dropping-particle":"","parse-names":false,"suffix":""},{"dropping-particle":"","family":"Yang","given":"Xiaocui","non-dropping-particle":"","parse-names":false,"suffix":""},{"dropping-particle":"","family":"Cheng","given":"Xiumei","non-dropping-particle":"","parse-names":false,"suffix":""},{"dropping-particle":"","family":"Choi","given":"Martin M.F.","non-dropping-particle":"","parse-names":false,"suffix":""}],"container-title":"Electrophoresis","id":"ITEM-3","issue":"5","issued":{"date-parts":[["2014"]]},"page":"762-769","title":"Determination of doxorubicin in plasma by using CE coupled with in-column tapered optic-fiber light-emitting diode induced fluorescence detection","type":"article-journal","volume":"35"},"uris":["http://www.mendeley.com/documents/?uuid=6c06700e-90c9-4b58-8a84-eeee6d5e4960"]},{"id":"ITEM-4","itemData":{"DOI":"10.1016/j.jchromb.2014.02.034","ISSN":"1873376X","PMID":"24631816","abstract":"A rapid and simple UHPLC-fluorescence detection method for the quantification of doxorubicin and its main metabolite, doxorubicinol, in human plasma has been developed. The method was also validated for its application in therapeutic drug monitoring, a clinical approach used in the optimization of oncologic treatments. Following a single protein precipitation step, chromatographic separation was achieved using a C18 column (50mm×2.10mm, particle size 1.7μm) at 50°C with a mobile phase consisting of water (containing 0.4% triethylamine and 0.4% orthophosphoric acid)/acetonitrile (77:23, v/v). Flow rate was 0.50mL/min and fluorescence detection with an excitation wavelength of 470nm and an emission wavelength of 548nm was used. The method met the specifications of linearity, selectivity, sensitivity, accuracy, precision and stability of the FDA and EMA guidelines for the validation of bioanalytical methods. Linearity for the drug (8-3000ng/mL) and the metabolite (3-150ng/mL) was observed (R2&gt;0.992) and the maximum intra-day and inter-day precision coefficients of variation were less than 14% for both. The lower limits of quantification were 8 and 3ng/mL for doxorubicin and doxorubicinol, respectively. The method was successfully applied to the quantify plasma concentrations of doxorubicin and doxorubicinol in 33 patients diagnosed with haematological malignancies in which broad ranges for drug (8.3-2766.0ng/mL) and metabolite (4.8-104.9ng/mL) levels were measured adequately. © 2014 Elsevier B.V.","author":[{"dropping-particle":"","family":"Pérez-Blanco","given":"Jonás Samuel","non-dropping-particle":"","parse-names":false,"suffix":""},{"dropping-particle":"","family":"Fernández de Gatta","given":"María del Mar","non-dropping-particle":"","parse-names":false,"suffix":""},{"dropping-particle":"","family":"Hernández-Rivas","given":"Jesús María","non-dropping-particle":"","parse-names":false,"suffix":""},{"dropping-particle":"","family":"García Sánchez","given":"María José","non-dropping-particle":"","parse-names":false,"suffix":""},{"dropping-particle":"","family":"Sayalero Marinero","given":"María Luisa","non-dropping-particle":"","parse-names":false,"suffix":""},{"dropping-particle":"","family":"González López","given":"Francisco","non-dropping-particle":"","parse-names":false,"suffix":""}],"container-title":"Journal of Chromatography B: Analytical Technologies in the Biomedical and Life Sciences","id":"ITEM-4","issue":"1","issued":{"date-parts":[["2014"]]},"page":"93-97","publisher":"Elsevier B.V.","title":"Validation and clinical evaluation of a UHPLC method with fluorescence detector for plasma quantification of doxorubicin and doxorubicinol in haematological patients","type":"article-journal","volume":"955-956"},"uris":["http://www.mendeley.com/documents/?uuid=8356afac-f8bf-42f5-845f-e9b8e587321e"]},{"id":"ITEM-5","itemData":{"DOI":"10.1016/S0731-7085(02)00442-9","ISSN":"07317085","PMID":"12408897","abstract":"A simple, accurate and precise high-performance liquid chromatographic method was developed and validated for the simultaneous determination of doxorubicin and its three metabolites, including doxorubicinol, doxorubicinolone and doxorubicinone, in rat serum and bile. Following a single protein precipitation step, chromatographic separation was accomplished using a C-18 column with a mobile phase consisting of 50 mM sodium phosphate buffer-acetonitrile-1-propanol (65:25:2, v/v), pH 2.0. The analytes were measured by fluorescence detection with excitation wavelength of 480 nm and emission wavelength of 560 nm. The lower limits of quantitation were 10 ng/ml for doxorubicin, and 5 ng/ml for the three metabolites. The calibration curves were linear over a concentration range of 10-2500 ng/ml for doxorubicin, and 5-1250 ng/ml for its three metabolites. The average recoveries were greater than 89% for all analytes. The within-day and between-day coefficients of variation were generally less than 13%. Doxorubicin and its metabolites were stable in the precipitated serum and bile samples at room temperature in darkness for at least 48 h. This method permitted the analysis of samples without the presence of the anticoagulant sodium citrate and thus was applied to serum and bile samples collected from rats that were administered doxorubicin intravenously in a pharmacokinetic study. © 2002 Elsevier Science B.V. All rights reserved.","author":[{"dropping-particle":"","family":"Zhou","given":"Qingyu","non-dropping-particle":"","parse-names":false,"suffix":""},{"dropping-particle":"","family":"Chowbay","given":"Balram","non-dropping-particle":"","parse-names":false,"suffix":""}],"container-title":"Journal of Pharmaceutical and Biomedical Analysis","id":"ITEM-5","issue":"4","issued":{"date-parts":[["2002"]]},"page":"1063-1074","title":"Determination of doxorubicin and its metabolites in rat serum and bile by LC: Application to preclinical pharmacokinetic studies","type":"article-journal","volume":"30"},"uris":["http://www.mendeley.com/documents/?uuid=79379c44-ec4d-4505-8fdb-e14c9f8d8c7c"]},{"id":"ITEM-6","itemData":{"DOI":"10.1016/j.jpba.2006.06.032","ISSN":"07317085","PMID":"16884884","abstract":"A validated HPLC method was developed for the quantification of doxorubicin in rabbit ocular tissues using solid phase extraction and ultraviolet detection. Chromatographic separation of doxorubicin in various ocular tissues was performed on a C18 column. The mobile phase was composed of 0.2 M KH2PO4 buffer solution, acetonitrile and triethylamine in volumetric ratio of 70/30/0.2, adjusted to pH 4.0 with orthophosphoric acid. The calibration curve was linear over the range of 0.03-10, 0.03-10, 0.05-10 and 0.05-10 μg/ml in vitreous body, iris, retina/choroids and sclera, respectively. The intra-day and inter-day precisions in all ocular tissues were smaller than 4.95% and 5.73%, and the accuracies were about 100%. The extraction recoveries of doxorubicin in all of the ocular tissues were between 83.47% and 96.33%. After intravitreal administration of doxorubicin-loaded poly-β-hydroxybutyrate microspheres, doxorubicin level in ocular tissues was much lower than that for administration of free doxorubicin, which was helpful to reduce the associated toxicity to surrounding tissues. Doxorubicin was detectable even after tens of days in the studied ocular tissues. © 2006 Elsevier B.V. All rights reserved.","author":[{"dropping-particle":"","family":"Hu","given":"Tao","non-dropping-particle":"","parse-names":false,"suffix":""},{"dropping-particle":"","family":"Le","given":"Qihua","non-dropping-particle":"","parse-names":false,"suffix":""},{"dropping-particle":"","family":"Wu","given":"Zhiyi","non-dropping-particle":"","parse-names":false,"suffix":""},{"dropping-particle":"","family":"Wu","given":"Wei","non-dropping-particle":"","parse-names":false,"suffix":""}],"container-title":"Journal of Pharmaceutical and Biomedical Analysis","id":"ITEM-6","issue":"1","issued":{"date-parts":[["2007"]]},"page":"263-269","title":"Determination of doxorubicin in rabbit ocular tissues and pharmacokinetics after intravitreal injection of a single dose of doxorubicin-loaded poly-β-hydroxybutyrate microspheres","type":"article-journal","volume":"43"},"uris":["http://www.mendeley.com/documents/?uuid=2dded347-b193-4fdf-8e33-c48d11657724"]}],"mendeley":{"formattedCitation":"[47], [48], [50], [51], [56], [59]","plainTextFormattedCitation":"[47], [48], [50], [51], [56], [59]","previouslyFormattedCitation":"[47], [48], [50], [51], [56], [59]"},"properties":{"noteIndex":0},"schema":"https://github.com/citation-style-language/schema/raw/master/csl-citation.json"}</w:instrText>
      </w:r>
      <w:r w:rsidR="2CFE8AFF" w:rsidRPr="610AA1E2">
        <w:rPr>
          <w:rFonts w:ascii="Times New Roman" w:hAnsi="Times New Roman" w:cs="Times New Roman"/>
          <w:sz w:val="24"/>
          <w:szCs w:val="24"/>
        </w:rPr>
        <w:fldChar w:fldCharType="separate"/>
      </w:r>
      <w:r w:rsidRPr="610AA1E2">
        <w:rPr>
          <w:rFonts w:ascii="Times New Roman" w:hAnsi="Times New Roman" w:cs="Times New Roman"/>
          <w:noProof/>
          <w:sz w:val="24"/>
          <w:szCs w:val="24"/>
        </w:rPr>
        <w:t>[47], [48], [50], [51], [56], [59]</w:t>
      </w:r>
      <w:r w:rsidR="2CFE8AFF" w:rsidRPr="610AA1E2">
        <w:rPr>
          <w:rFonts w:ascii="Times New Roman" w:hAnsi="Times New Roman" w:cs="Times New Roman"/>
          <w:sz w:val="24"/>
          <w:szCs w:val="24"/>
        </w:rPr>
        <w:fldChar w:fldCharType="end"/>
      </w:r>
      <w:r w:rsidRPr="610AA1E2">
        <w:rPr>
          <w:rFonts w:ascii="Times New Roman" w:hAnsi="Times New Roman" w:cs="Times New Roman"/>
          <w:sz w:val="24"/>
          <w:szCs w:val="24"/>
        </w:rPr>
        <w:t xml:space="preserve">, jak również brakiem potwierdzenia użyteczności danej metody chromatograficznej w praktyce klinicznej </w:t>
      </w:r>
      <w:r w:rsidR="2CFE8AFF" w:rsidRPr="610AA1E2">
        <w:rPr>
          <w:rFonts w:ascii="Times New Roman" w:hAnsi="Times New Roman" w:cs="Times New Roman"/>
          <w:sz w:val="24"/>
          <w:szCs w:val="24"/>
        </w:rPr>
        <w:fldChar w:fldCharType="begin" w:fldLock="1"/>
      </w:r>
      <w:r w:rsidR="003F3548">
        <w:rPr>
          <w:rFonts w:ascii="Times New Roman" w:hAnsi="Times New Roman" w:cs="Times New Roman"/>
          <w:sz w:val="24"/>
          <w:szCs w:val="24"/>
        </w:rPr>
        <w:instrText>ADDIN CSL_CITATION {"citationItems":[{"id":"ITEM-1","itemData":{"DOI":"10.1080/10826076.2012.678456","ISSN":"10826076","abstract":"An accurate UPLC method was developed and validated for the simultaneous determination of irinotecan and doxorubicin extracted from murine plasma, along with their major metabolites SN-38 and doxorubicinol, respectively. The parent drugs and metabolites were extracted from plasma by protein precipitation method. Camptothecin was used as the internal standard. Chromatographic separation was performed using an ACQUITY UPLC BEH C18 column (150 × 2.1 mm, particle size of 1.7 μm) at 40°C by means of gradient elution. The mobile phases for gradient elution were consisted of 0.1 % v/v formic acid in either acetonitrile or water. The flow rate was 0.5 mL/min, and the total run time was 7 min. The linear quantitation ranges for parent drugs (irinotecan and doxorubicin) and for metabolites (doxorubicinol and SN-38) were 250-10000 ng/mL and 125-5000 ng/mL, respectively (r2 &gt; 0.99). The lower limit of quantification (LLOQ) for irinotecan and doxorubicin was 250 ng/mL, and the LLOQ for SN-38 and doxorubicinol was 125 ng/mL. The intra- and inter-day relative standard deviation was &lt;10 %, and accuracy was &gt;90%. © 2013 Copyright Taylor and Francis Group, LLC.","author":[{"dropping-particle":"","family":"Shaikh","given":"Ishaque M.","non-dropping-particle":"","parse-names":false,"suffix":""},{"dropping-particle":"","family":"Tan","given":"Kuan Boone","non-dropping-particle":"","parse-names":false,"suffix":""},{"dropping-particle":"","family":"Chiu","given":"Gigi N.C.","non-dropping-particle":"","parse-names":false,"suffix":""}],"container-title":"Journal of Liquid Chromatography and Related Technologies","id":"ITEM-1","issue":"7","issued":{"date-parts":[["2013"]]},"page":"914-925","title":"Simultaneous determination of doxorubicin and irinotecan in conjunction with their major metabolites by ultra high performance liquid chromatography","type":"article-journal","volume":"36"},"uris":["http://www.mendeley.com/documents/?uuid=f5453db9-372b-4f6a-aded-7bab4e03529e"]},{"id":"ITEM-2","itemData":{"DOI":"10.1016/S0378-4347(97)00610-5","ISSN":"15726495","PMID":"9613953","abstract":"A high-performance liquid chromatographic method with electrochemical detection has been developed for the simultaneous determination of epirubicin, 13-S-dihydroepirubicin, doxorubicin and 13-S-dihydrodoxorubicin in human plasma. An aliquot of 200 μl plasma, spiked with internal standard, was extracted by solid-phase extraction using polymeric adsorbent columns. Chromatography was performed using a C18 reversed-phase column with a mobile phase consisting of water-acetonitrile (71:29, v/v) containing 0.05 M Na2HPO4 and 0.05% v/v triethylamine adjusted to pH 4.6 with citric acid. Linearity of the method was obtained in the concentration range of 1-500 ng/ml for all the analytes. Analytical recoveries of the analytes ranged from 89 to 93%. The assay can be used for the simultaneous determination of the four analytes, or for epirubicin and its metabolite or doxorubicin and its metabolite, using the other parent drug as an internal standard. The method was applied to analyze human plasma samples from patients treated with epirubicin using doxorubicin as an internal standard.","author":[{"dropping-particle":"","family":"Ricciarello","given":"R.","non-dropping-particle":"","parse-names":false,"suffix":""},{"dropping-particle":"","family":"Pichini","given":"S.","non-dropping-particle":"","parse-names":false,"suffix":""},{"dropping-particle":"","family":"Pacifici","given":"R.","non-dropping-particle":"","parse-names":false,"suffix":""},{"dropping-particle":"","family":"Altieri","given":"I.","non-dropping-particle":"","parse-names":false,"suffix":""},{"dropping-particle":"","family":"Pellegrini","given":"M.","non-dropping-particle":"","parse-names":false,"suffix":""},{"dropping-particle":"","family":"Fattorossi","given":"A.","non-dropping-particle":"","parse-names":false,"suffix":""},{"dropping-particle":"","family":"Zuccaro","given":"P.","non-dropping-particle":"","parse-names":false,"suffix":""}],"container-title":"Journal of Chromatography B: Biomedical Applications","id":"ITEM-2","issue":"1-2","issued":{"date-parts":[["1998"]]},"page":"219-225","title":"Simultaneous determination of epirubicin, doxorubicin and their principal metabolites in human plasma by high-performance liquid chromatography and electrochemical detection","type":"article-journal","volume":"707"},"uris":["http://www.mendeley.com/documents/?uuid=25fde07d-3287-4c57-ba37-52190dbcfd70"]},{"id":"ITEM-3","itemData":{"DOI":"10.1002/elps.201300237","ISSN":"15222683","PMID":"24114803","abstract":"This paper proposes a novel strategy to enhance detection of doxorubicin in human plasma, using homemade CE combined with normal stacking mode (NSM). The detection system of CE named as in-column tapered optic-fiber light-emitting diode induced fluorescence detection system is economic and more sensitive that has been demonstrated in our previous work. The influence of sample matrix, BGE, applied voltage, and injection time on the efficiency of NSM were systematically investigated. The clean extracts were subjected to CE separation with optimal experimental conditions: Ethanol-water (1:1, v/v) was used as sample matrix, pH 4.12 15 mM sodium phosphate buffer solution containing 70% v/v ACN, applied voltage 23 kV and 45 s hydrodynamic injection at a height of 20 cm. The detection system displayed linear dynamic range from 6.4 to 1.13 × 103 ng/mL with a correlation coefficient of 0.9990 and LOD 2.2 ng/mL for doxorubicin (DOX). The proposed CE method has been successfully applied to determine DOX in human plasma which the recoveries of standard DOX added to human plasma were found to been the range of 93.8-104.6%. The results obtained demonstrate that our detection system combined with NSM is a good idea to enhance sensitivity in CE for routine determination of DOX in some biological specimens. © 2013 WILEY-VCH Verlag GmbH &amp; Co. KGaA, Weinheim.","author":[{"dropping-particle":"","family":"Yang","given":"Xiupei","non-dropping-particle":"","parse-names":false,"suffix":""},{"dropping-particle":"","family":"Qian","given":"Fan","non-dropping-particle":"","parse-names":false,"suffix":""},{"dropping-particle":"","family":"Xie","given":"Linxiang","non-dropping-particle":"","parse-names":false,"suffix":""},{"dropping-particle":"","family":"Yang","given":"Xiaocui","non-dropping-particle":"","parse-names":false,"suffix":""},{"dropping-particle":"","family":"Cheng","given":"Xiumei","non-dropping-particle":"","parse-names":false,"suffix":""},{"dropping-particle":"","family":"Choi","given":"Martin M.F.","non-dropping-particle":"","parse-names":false,"suffix":""}],"container-title":"Electrophoresis","id":"ITEM-3","issue":"5","issued":{"date-parts":[["2014"]]},"page":"762-769","title":"Determination of doxorubicin in plasma by using CE coupled with in-column tapered optic-fiber light-emitting diode induced fluorescence detection","type":"article-journal","volume":"35"},"uris":["http://www.mendeley.com/documents/?uuid=6c06700e-90c9-4b58-8a84-eeee6d5e4960"]},{"id":"ITEM-4","itemData":{"DOI":"10.1002/rcm.1642","ISSN":"09514198","abstract":"Health-care workers handling antineoplastic agents may be exposed to extremely low doses of these drugs. Very sensitive and specific analytical methods are therefore needed for biological monitoring. The aim of this study was to develop and validate a method for trace level determination of doxorubicin, epirubicin, daunorubicin and idarubicin in human urine, using epi-daunorubicin as an internal standard. Solid-phase extraction (SPE) was used for sample preparation. Urine samples were loaded onto Bond Elut C18 cartridges. The analytes were eluted in methylene chloride/2-propanol (1:1, v/v) and then evaporated to dryness. The residue was reconstituted with the mobile phase prior to high-performance liquid chromatography/tandem mass spectrometry (HPLC/MS/ MS) analysis. Quantitation of each analyte was performed using the multiple reaction monitoring (MRM) method. The urine assay was linear over the range 0.1-2.0 μg/L, with a lower limit of quantification (LLOQ) of 0.10 μg/L for doxorubicin and epirubicin, and 0.03 μg/L for daunorubicin and idarubicin. The respective limits of detection (LODs) were 0.04 and 0.01 μg/L. The precision and accuracy of the assay were determined on three different days. The within-series precision was found to be always less than 13.9% for all the analytes. The overall precision expressed as relative standard deviation (RSD) was always less than 10.6%. The recovery of anthracyclines was assessed at two concentrations of the range tested (0.1 and 2.0 μg/L) and it ranged from 87.7% (daunorubicin) to 102.0% (doxorubicin) and from 79.1% (daunorubicin) to 90.7% (idarubicin) for the lower and the higher level, respectively, with a RSD always less than 9.1%. The uncertainty of the present assay was also evaluated and the combined uncertainty was always less than 20% over all the days of the validation study. This is the first method that makes use of LC/MS/MS for the biological monitoring of occupational exposure to anthracyclines. Copyright © 2004 John Wiley &amp; Sons, Ltd.","author":[{"dropping-particle":"","family":"Sottani","given":"Cristina","non-dropping-particle":"","parse-names":false,"suffix":""},{"dropping-particle":"","family":"Tranfo","given":"Giovanna","non-dropping-particle":"","parse-names":false,"suffix":""},{"dropping-particle":"","family":"Bettinelli","given":"Maurizio","non-dropping-particle":"","parse-names":false,"suffix":""},{"dropping-particle":"","family":"Faranda","given":"Paolo","non-dropping-particle":"","parse-names":false,"suffix":""},{"dropping-particle":"","family":"Spagnoli","given":"Mariangela","non-dropping-particle":"","parse-names":false,"suffix":""},{"dropping-particle":"","family":"Minoia","given":"Claudio","non-dropping-particle":"","parse-names":false,"suffix":""}],"container-title":"Rapid Communications in Mass Spectrometry","id":"ITEM-4","issue":"20","issued":{"date-parts":[["2004"]]},"page":"2426-2436","title":"Trace determination of anthracyclines in urine: A new high-performance liquid chromatography/tandem mass spectrometry method for assessing exposure of hospital personnel","type":"article-journal","volume":"18"},"uris":["http://www.mendeley.com/documents/?uuid=c2101765-022b-47e8-8beb-c12cf909e5b3"]}],"mendeley":{"formattedCitation":"[48], [55], [56], [58]","plainTextFormattedCitation":"[48], [55], [56], [58]","previouslyFormattedCitation":"[48], [55], [56], [58]"},"properties":{"noteIndex":0},"schema":"https://github.com/citation-style-language/schema/raw/master/csl-citation.json"}</w:instrText>
      </w:r>
      <w:r w:rsidR="2CFE8AFF" w:rsidRPr="610AA1E2">
        <w:rPr>
          <w:rFonts w:ascii="Times New Roman" w:hAnsi="Times New Roman" w:cs="Times New Roman"/>
          <w:sz w:val="24"/>
          <w:szCs w:val="24"/>
        </w:rPr>
        <w:fldChar w:fldCharType="separate"/>
      </w:r>
      <w:r w:rsidRPr="610AA1E2">
        <w:rPr>
          <w:rFonts w:ascii="Times New Roman" w:hAnsi="Times New Roman" w:cs="Times New Roman"/>
          <w:noProof/>
          <w:sz w:val="24"/>
          <w:szCs w:val="24"/>
        </w:rPr>
        <w:t>[48], [55], [56], [58]</w:t>
      </w:r>
      <w:r w:rsidR="2CFE8AFF" w:rsidRPr="610AA1E2">
        <w:rPr>
          <w:rFonts w:ascii="Times New Roman" w:hAnsi="Times New Roman" w:cs="Times New Roman"/>
          <w:sz w:val="24"/>
          <w:szCs w:val="24"/>
        </w:rPr>
        <w:fldChar w:fldCharType="end"/>
      </w:r>
      <w:r w:rsidRPr="610AA1E2">
        <w:rPr>
          <w:rFonts w:ascii="Times New Roman" w:hAnsi="Times New Roman" w:cs="Times New Roman"/>
          <w:sz w:val="24"/>
          <w:szCs w:val="24"/>
        </w:rPr>
        <w:t xml:space="preserve">. </w:t>
      </w:r>
    </w:p>
    <w:p w14:paraId="595849E6" w14:textId="6488844C" w:rsidR="006C6CAA" w:rsidRPr="00E11754" w:rsidRDefault="13A8E3F4" w:rsidP="13A8E3F4">
      <w:pPr>
        <w:spacing w:line="360" w:lineRule="auto"/>
        <w:ind w:firstLine="708"/>
        <w:jc w:val="both"/>
        <w:rPr>
          <w:rFonts w:ascii="Times New Roman" w:hAnsi="Times New Roman" w:cs="Times New Roman"/>
          <w:sz w:val="24"/>
          <w:szCs w:val="24"/>
        </w:rPr>
      </w:pPr>
      <w:r w:rsidRPr="00E11754">
        <w:rPr>
          <w:rFonts w:ascii="Times New Roman" w:hAnsi="Times New Roman" w:cs="Times New Roman"/>
          <w:sz w:val="24"/>
          <w:szCs w:val="24"/>
        </w:rPr>
        <w:t xml:space="preserve"> Ze względu na coraz częstsze podkreślanie znaczenia TDM w praktyce onkologicznej, zwłaszcza dziecięcej, zdecydowano się zatem na opracowanie metody pozwalającej kontrolować stężenie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w płynach ustrojowych dzieci poddanych chemioterapii, która nie będzie wymagała dużej objętości próbki do analiz i będzie oparta na technice powszechnie dostępnej w laboratoriach przyszpitalnych i klinicznych.</w:t>
      </w:r>
      <w:r w:rsidRPr="00E11754">
        <w:rPr>
          <w:rFonts w:ascii="Times New Roman" w:eastAsia="Times New Roman" w:hAnsi="Times New Roman" w:cs="Times New Roman"/>
          <w:sz w:val="24"/>
          <w:szCs w:val="24"/>
        </w:rPr>
        <w:t xml:space="preserve"> </w:t>
      </w:r>
    </w:p>
    <w:p w14:paraId="2246D8FC" w14:textId="79712C1E" w:rsidR="13A8E3F4" w:rsidRPr="00E11754" w:rsidRDefault="13A8E3F4" w:rsidP="004265B2">
      <w:pPr>
        <w:spacing w:line="360" w:lineRule="auto"/>
        <w:jc w:val="both"/>
        <w:rPr>
          <w:rFonts w:ascii="Times New Roman" w:hAnsi="Times New Roman" w:cs="Times New Roman"/>
          <w:b/>
          <w:bCs/>
          <w:i/>
          <w:iCs/>
          <w:sz w:val="24"/>
          <w:szCs w:val="24"/>
        </w:rPr>
      </w:pPr>
      <w:r w:rsidRPr="00E11754">
        <w:rPr>
          <w:rFonts w:ascii="Times New Roman" w:hAnsi="Times New Roman" w:cs="Times New Roman"/>
          <w:b/>
          <w:bCs/>
          <w:i/>
          <w:iCs/>
          <w:sz w:val="24"/>
          <w:szCs w:val="24"/>
        </w:rPr>
        <w:t>Część doświadczalna i wyniki badań</w:t>
      </w:r>
    </w:p>
    <w:p w14:paraId="044FDE4B" w14:textId="2D4B8F46" w:rsidR="006C6CAA" w:rsidRPr="00E11754" w:rsidRDefault="00060650" w:rsidP="13A8E3F4">
      <w:p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lastRenderedPageBreak/>
        <w:tab/>
      </w:r>
      <w:r w:rsidR="006C6CAA" w:rsidRPr="00E11754">
        <w:rPr>
          <w:rFonts w:ascii="Times New Roman" w:hAnsi="Times New Roman" w:cs="Times New Roman"/>
          <w:sz w:val="24"/>
          <w:szCs w:val="24"/>
        </w:rPr>
        <w:t xml:space="preserve">Pierwszym etapem optymalizacji metody oznaczania </w:t>
      </w:r>
      <w:proofErr w:type="spellStart"/>
      <w:r w:rsidR="006C6CAA" w:rsidRPr="00E11754">
        <w:rPr>
          <w:rFonts w:ascii="Times New Roman" w:hAnsi="Times New Roman" w:cs="Times New Roman"/>
          <w:sz w:val="24"/>
          <w:szCs w:val="24"/>
        </w:rPr>
        <w:t>doksorubicyny</w:t>
      </w:r>
      <w:proofErr w:type="spellEnd"/>
      <w:r w:rsidR="006C6CAA" w:rsidRPr="00E11754">
        <w:rPr>
          <w:rFonts w:ascii="Times New Roman" w:hAnsi="Times New Roman" w:cs="Times New Roman"/>
          <w:sz w:val="24"/>
          <w:szCs w:val="24"/>
        </w:rPr>
        <w:t xml:space="preserve"> w materiale biologicznym było opracowanie warunków analizy chromatograficznej oraz parametrów pracy detektora FL. W tym celu włączono do badań cztery kolumny chromatograficzne: </w:t>
      </w:r>
      <w:r w:rsidR="002666D6" w:rsidRPr="00E11754">
        <w:rPr>
          <w:rFonts w:ascii="Times New Roman" w:hAnsi="Times New Roman" w:cs="Times New Roman"/>
          <w:sz w:val="24"/>
          <w:szCs w:val="24"/>
        </w:rPr>
        <w:t>Disco</w:t>
      </w:r>
      <w:r w:rsidR="00F63B88" w:rsidRPr="00E11754">
        <w:rPr>
          <w:rFonts w:ascii="Times New Roman" w:hAnsi="Times New Roman" w:cs="Times New Roman"/>
          <w:sz w:val="24"/>
          <w:szCs w:val="24"/>
        </w:rPr>
        <w:t xml:space="preserve">very ® HS C18, </w:t>
      </w:r>
      <w:proofErr w:type="spellStart"/>
      <w:r w:rsidR="00F63B88" w:rsidRPr="00E11754">
        <w:rPr>
          <w:rFonts w:ascii="Times New Roman" w:hAnsi="Times New Roman" w:cs="Times New Roman"/>
          <w:sz w:val="24"/>
          <w:szCs w:val="24"/>
        </w:rPr>
        <w:t>Synergy</w:t>
      </w:r>
      <w:proofErr w:type="spellEnd"/>
      <w:r w:rsidR="00F63B88" w:rsidRPr="00E11754">
        <w:rPr>
          <w:rFonts w:ascii="Times New Roman" w:hAnsi="Times New Roman" w:cs="Times New Roman"/>
          <w:sz w:val="24"/>
          <w:szCs w:val="24"/>
        </w:rPr>
        <w:t xml:space="preserve"> 4µ</w:t>
      </w:r>
      <w:r w:rsidR="00B055AA" w:rsidRPr="00E11754">
        <w:rPr>
          <w:rFonts w:ascii="Times New Roman" w:hAnsi="Times New Roman" w:cs="Times New Roman"/>
          <w:sz w:val="24"/>
          <w:szCs w:val="24"/>
        </w:rPr>
        <w:t xml:space="preserve"> Hydro-RP 80</w:t>
      </w:r>
      <w:r w:rsidR="00F4454B" w:rsidRPr="00E11754">
        <w:rPr>
          <w:rFonts w:ascii="Times New Roman" w:hAnsi="Times New Roman" w:cs="Times New Roman"/>
          <w:sz w:val="24"/>
          <w:szCs w:val="24"/>
        </w:rPr>
        <w:t xml:space="preserve">A, </w:t>
      </w:r>
      <w:proofErr w:type="spellStart"/>
      <w:r w:rsidR="00F4454B" w:rsidRPr="00E11754">
        <w:rPr>
          <w:rFonts w:ascii="Times New Roman" w:hAnsi="Times New Roman" w:cs="Times New Roman"/>
          <w:sz w:val="24"/>
          <w:szCs w:val="24"/>
        </w:rPr>
        <w:t>InertSustianTM</w:t>
      </w:r>
      <w:proofErr w:type="spellEnd"/>
      <w:r w:rsidR="00F4454B" w:rsidRPr="00E11754">
        <w:rPr>
          <w:rFonts w:ascii="Times New Roman" w:hAnsi="Times New Roman" w:cs="Times New Roman"/>
          <w:sz w:val="24"/>
          <w:szCs w:val="24"/>
        </w:rPr>
        <w:t xml:space="preserve"> C18</w:t>
      </w:r>
      <w:r w:rsidR="00117571" w:rsidRPr="00E11754">
        <w:rPr>
          <w:rFonts w:ascii="Times New Roman" w:hAnsi="Times New Roman" w:cs="Times New Roman"/>
          <w:sz w:val="24"/>
          <w:szCs w:val="24"/>
        </w:rPr>
        <w:t xml:space="preserve"> oraz </w:t>
      </w:r>
      <w:proofErr w:type="spellStart"/>
      <w:r w:rsidR="0006455C" w:rsidRPr="00E11754">
        <w:rPr>
          <w:rFonts w:ascii="Times New Roman" w:hAnsi="Times New Roman" w:cs="Times New Roman"/>
          <w:sz w:val="24"/>
          <w:szCs w:val="24"/>
        </w:rPr>
        <w:t>Synergy</w:t>
      </w:r>
      <w:proofErr w:type="spellEnd"/>
      <w:r w:rsidR="0006455C" w:rsidRPr="00E11754">
        <w:rPr>
          <w:rFonts w:ascii="Times New Roman" w:hAnsi="Times New Roman" w:cs="Times New Roman"/>
          <w:sz w:val="24"/>
          <w:szCs w:val="24"/>
        </w:rPr>
        <w:t xml:space="preserve"> 4µ </w:t>
      </w:r>
      <w:r w:rsidR="00B1179E" w:rsidRPr="00E11754">
        <w:rPr>
          <w:rFonts w:ascii="Times New Roman" w:hAnsi="Times New Roman" w:cs="Times New Roman"/>
          <w:sz w:val="24"/>
          <w:szCs w:val="24"/>
        </w:rPr>
        <w:t>Max-RP</w:t>
      </w:r>
      <w:r w:rsidR="0006455C" w:rsidRPr="00E11754" w:rsidDel="002B745A">
        <w:rPr>
          <w:rFonts w:ascii="Times New Roman" w:hAnsi="Times New Roman" w:cs="Times New Roman"/>
          <w:sz w:val="24"/>
          <w:szCs w:val="24"/>
        </w:rPr>
        <w:t xml:space="preserve"> </w:t>
      </w:r>
      <w:r w:rsidR="006C6CAA" w:rsidRPr="00E11754">
        <w:rPr>
          <w:rFonts w:ascii="Times New Roman" w:hAnsi="Times New Roman" w:cs="Times New Roman"/>
          <w:sz w:val="24"/>
          <w:szCs w:val="24"/>
        </w:rPr>
        <w:t>o zróżnicowanych parametrach dotyczących rodzaju złoża</w:t>
      </w:r>
      <w:r w:rsidR="002B745A" w:rsidRPr="00E11754">
        <w:rPr>
          <w:rFonts w:ascii="Times New Roman" w:hAnsi="Times New Roman" w:cs="Times New Roman"/>
          <w:sz w:val="24"/>
          <w:szCs w:val="24"/>
        </w:rPr>
        <w:t xml:space="preserve"> (C12 i C18)</w:t>
      </w:r>
      <w:r w:rsidR="006C6CAA" w:rsidRPr="00E11754">
        <w:rPr>
          <w:rFonts w:ascii="Times New Roman" w:hAnsi="Times New Roman" w:cs="Times New Roman"/>
          <w:sz w:val="24"/>
          <w:szCs w:val="24"/>
        </w:rPr>
        <w:t>, długości kolumny, wielkości ziarna czy średnicy kolumny. Wśród nich, najlepsze rezultaty otrzymano po zastosowaniu Discovery HS C18 250 x 4,6 mm, 5 µm, która użyto w temperaturze 30</w:t>
      </w:r>
      <w:r w:rsidR="006C6CAA" w:rsidRPr="00E11754">
        <w:rPr>
          <w:rFonts w:ascii="Times New Roman" w:hAnsi="Times New Roman" w:cs="Times New Roman"/>
          <w:sz w:val="24"/>
          <w:szCs w:val="24"/>
          <w:vertAlign w:val="superscript"/>
        </w:rPr>
        <w:t>o</w:t>
      </w:r>
      <w:r w:rsidR="006C6CAA" w:rsidRPr="00E11754">
        <w:rPr>
          <w:rFonts w:ascii="Times New Roman" w:hAnsi="Times New Roman" w:cs="Times New Roman"/>
          <w:sz w:val="24"/>
          <w:szCs w:val="24"/>
        </w:rPr>
        <w:t>C. W tych analizach, faza ruchoma składała się z ACN i 0,1 % kwasu mrówkowego w wodzie w proporcji 33:67, (</w:t>
      </w:r>
      <w:r w:rsidR="006C6CAA" w:rsidRPr="610AA1E2">
        <w:rPr>
          <w:rFonts w:ascii="Times New Roman" w:hAnsi="Times New Roman" w:cs="Times New Roman"/>
          <w:i/>
          <w:iCs/>
          <w:sz w:val="24"/>
          <w:szCs w:val="24"/>
        </w:rPr>
        <w:t>v</w:t>
      </w:r>
      <w:r w:rsidR="006C6CAA" w:rsidRPr="00E11754">
        <w:rPr>
          <w:rFonts w:ascii="Times New Roman" w:hAnsi="Times New Roman" w:cs="Times New Roman"/>
          <w:sz w:val="24"/>
          <w:szCs w:val="24"/>
        </w:rPr>
        <w:t>/</w:t>
      </w:r>
      <w:r w:rsidR="006C6CAA" w:rsidRPr="610AA1E2">
        <w:rPr>
          <w:rFonts w:ascii="Times New Roman" w:hAnsi="Times New Roman" w:cs="Times New Roman"/>
          <w:i/>
          <w:iCs/>
          <w:sz w:val="24"/>
          <w:szCs w:val="24"/>
        </w:rPr>
        <w:t>v</w:t>
      </w:r>
      <w:r w:rsidR="006C6CAA" w:rsidRPr="610AA1E2">
        <w:rPr>
          <w:rFonts w:ascii="Times New Roman" w:hAnsi="Times New Roman" w:cs="Times New Roman"/>
          <w:sz w:val="24"/>
          <w:szCs w:val="24"/>
        </w:rPr>
        <w:t>)</w:t>
      </w:r>
      <w:r w:rsidR="006C6CAA" w:rsidRPr="00E11754">
        <w:rPr>
          <w:rFonts w:ascii="Times New Roman" w:hAnsi="Times New Roman" w:cs="Times New Roman"/>
          <w:sz w:val="24"/>
          <w:szCs w:val="24"/>
        </w:rPr>
        <w:t xml:space="preserve"> dla próbek osocza oraz w proporcji 32:68, (</w:t>
      </w:r>
      <w:r w:rsidR="006C6CAA" w:rsidRPr="610AA1E2">
        <w:rPr>
          <w:rFonts w:ascii="Times New Roman" w:hAnsi="Times New Roman" w:cs="Times New Roman"/>
          <w:i/>
          <w:iCs/>
          <w:sz w:val="24"/>
          <w:szCs w:val="24"/>
        </w:rPr>
        <w:t>v</w:t>
      </w:r>
      <w:r w:rsidR="006C6CAA" w:rsidRPr="00E11754">
        <w:rPr>
          <w:rFonts w:ascii="Times New Roman" w:hAnsi="Times New Roman" w:cs="Times New Roman"/>
          <w:sz w:val="24"/>
          <w:szCs w:val="24"/>
        </w:rPr>
        <w:t>/</w:t>
      </w:r>
      <w:r w:rsidR="006C6CAA" w:rsidRPr="610AA1E2">
        <w:rPr>
          <w:rFonts w:ascii="Times New Roman" w:hAnsi="Times New Roman" w:cs="Times New Roman"/>
          <w:i/>
          <w:iCs/>
          <w:sz w:val="24"/>
          <w:szCs w:val="24"/>
        </w:rPr>
        <w:t>v)</w:t>
      </w:r>
      <w:r w:rsidR="006C6CAA" w:rsidRPr="00E11754">
        <w:rPr>
          <w:rFonts w:ascii="Times New Roman" w:hAnsi="Times New Roman" w:cs="Times New Roman"/>
          <w:sz w:val="24"/>
          <w:szCs w:val="24"/>
        </w:rPr>
        <w:t xml:space="preserve"> dla próbek moczu. Przepływ fazy ruchomej wynosił 1 ml/min. Objętość próbek do analizy wynosiła odpowiednio: 30 µl dla stężeń </w:t>
      </w:r>
      <w:proofErr w:type="spellStart"/>
      <w:r w:rsidR="006C6CAA" w:rsidRPr="00E11754">
        <w:rPr>
          <w:rFonts w:ascii="Times New Roman" w:hAnsi="Times New Roman" w:cs="Times New Roman"/>
          <w:sz w:val="24"/>
          <w:szCs w:val="24"/>
        </w:rPr>
        <w:t>doksorubicyny</w:t>
      </w:r>
      <w:proofErr w:type="spellEnd"/>
      <w:r w:rsidR="006C6CAA" w:rsidRPr="00E11754">
        <w:rPr>
          <w:rFonts w:ascii="Times New Roman" w:hAnsi="Times New Roman" w:cs="Times New Roman"/>
          <w:sz w:val="24"/>
          <w:szCs w:val="24"/>
        </w:rPr>
        <w:t xml:space="preserve">  ≤ 1 µg/ml oraz 5 µl dla próbek zawierających ten cytostatyk w zakresie 5-25 µg/ml. Jako </w:t>
      </w:r>
      <w:r w:rsidR="13A8E3F4" w:rsidRPr="00E11754">
        <w:rPr>
          <w:rFonts w:ascii="Times New Roman" w:hAnsi="Times New Roman" w:cs="Times New Roman"/>
          <w:sz w:val="24"/>
          <w:szCs w:val="24"/>
        </w:rPr>
        <w:t xml:space="preserve">wzorzec wewnętrzny (ang. </w:t>
      </w:r>
      <w:proofErr w:type="spellStart"/>
      <w:r w:rsidR="13A8E3F4" w:rsidRPr="610AA1E2">
        <w:rPr>
          <w:rFonts w:ascii="Times New Roman" w:hAnsi="Times New Roman" w:cs="Times New Roman"/>
          <w:i/>
          <w:iCs/>
          <w:sz w:val="24"/>
          <w:szCs w:val="24"/>
        </w:rPr>
        <w:t>Internal</w:t>
      </w:r>
      <w:proofErr w:type="spellEnd"/>
      <w:r w:rsidR="13A8E3F4" w:rsidRPr="610AA1E2">
        <w:rPr>
          <w:rFonts w:ascii="Times New Roman" w:hAnsi="Times New Roman" w:cs="Times New Roman"/>
          <w:i/>
          <w:iCs/>
          <w:sz w:val="24"/>
          <w:szCs w:val="24"/>
        </w:rPr>
        <w:t xml:space="preserve"> Standard</w:t>
      </w:r>
      <w:r w:rsidR="13A8E3F4" w:rsidRPr="00E11754">
        <w:rPr>
          <w:rFonts w:ascii="Times New Roman" w:hAnsi="Times New Roman" w:cs="Times New Roman"/>
          <w:sz w:val="24"/>
          <w:szCs w:val="24"/>
        </w:rPr>
        <w:t xml:space="preserve">, IS) wytypowano </w:t>
      </w:r>
      <w:proofErr w:type="spellStart"/>
      <w:r w:rsidR="13A8E3F4" w:rsidRPr="00E11754">
        <w:rPr>
          <w:rFonts w:ascii="Times New Roman" w:hAnsi="Times New Roman" w:cs="Times New Roman"/>
          <w:sz w:val="24"/>
          <w:szCs w:val="24"/>
        </w:rPr>
        <w:t>daunorubicynę</w:t>
      </w:r>
      <w:proofErr w:type="spellEnd"/>
      <w:r w:rsidR="13A8E3F4" w:rsidRPr="00E11754">
        <w:rPr>
          <w:rFonts w:ascii="Times New Roman" w:hAnsi="Times New Roman" w:cs="Times New Roman"/>
          <w:sz w:val="24"/>
          <w:szCs w:val="24"/>
        </w:rPr>
        <w:t xml:space="preserve">. Ten wybór był </w:t>
      </w:r>
      <w:r w:rsidR="006C6CAA" w:rsidRPr="00E11754">
        <w:rPr>
          <w:rFonts w:ascii="Times New Roman" w:hAnsi="Times New Roman" w:cs="Times New Roman"/>
          <w:sz w:val="24"/>
          <w:szCs w:val="24"/>
        </w:rPr>
        <w:t xml:space="preserve">podyktowany jej zbliżoną budowę chemiczną do oznaczanego związku (Ryc. 1.), która to gwarantowała porównywalny charakter oddziaływań fizykochemicznych występujących podczas izolacji tego </w:t>
      </w:r>
      <w:proofErr w:type="spellStart"/>
      <w:r w:rsidR="006C6CAA" w:rsidRPr="00E11754">
        <w:rPr>
          <w:rFonts w:ascii="Times New Roman" w:hAnsi="Times New Roman" w:cs="Times New Roman"/>
          <w:sz w:val="24"/>
          <w:szCs w:val="24"/>
        </w:rPr>
        <w:t>analitu</w:t>
      </w:r>
      <w:proofErr w:type="spellEnd"/>
      <w:r w:rsidR="006C6CAA" w:rsidRPr="00E11754">
        <w:rPr>
          <w:rFonts w:ascii="Times New Roman" w:hAnsi="Times New Roman" w:cs="Times New Roman"/>
          <w:sz w:val="24"/>
          <w:szCs w:val="24"/>
        </w:rPr>
        <w:t xml:space="preserve"> z matrycy biologicznej oraz separacji chromatograficznej. Czas retencji tej </w:t>
      </w:r>
      <w:proofErr w:type="spellStart"/>
      <w:r w:rsidR="006C6CAA" w:rsidRPr="00E11754">
        <w:rPr>
          <w:rFonts w:ascii="Times New Roman" w:hAnsi="Times New Roman" w:cs="Times New Roman"/>
          <w:sz w:val="24"/>
          <w:szCs w:val="24"/>
        </w:rPr>
        <w:t>antracykliny</w:t>
      </w:r>
      <w:proofErr w:type="spellEnd"/>
      <w:r w:rsidR="006C6CAA" w:rsidRPr="00E11754">
        <w:rPr>
          <w:rFonts w:ascii="Times New Roman" w:hAnsi="Times New Roman" w:cs="Times New Roman"/>
          <w:sz w:val="24"/>
          <w:szCs w:val="24"/>
        </w:rPr>
        <w:t xml:space="preserve"> był także optymalny względem </w:t>
      </w:r>
      <w:proofErr w:type="spellStart"/>
      <w:r w:rsidR="006C6CAA" w:rsidRPr="00E11754">
        <w:rPr>
          <w:rFonts w:ascii="Times New Roman" w:hAnsi="Times New Roman" w:cs="Times New Roman"/>
          <w:sz w:val="24"/>
          <w:szCs w:val="24"/>
        </w:rPr>
        <w:t>doksorubicyny</w:t>
      </w:r>
      <w:proofErr w:type="spellEnd"/>
      <w:r w:rsidR="006C6CAA" w:rsidRPr="00E11754">
        <w:rPr>
          <w:rFonts w:ascii="Times New Roman" w:hAnsi="Times New Roman" w:cs="Times New Roman"/>
          <w:sz w:val="24"/>
          <w:szCs w:val="24"/>
        </w:rPr>
        <w:t xml:space="preserve">. Badane związki monitorowano przy długościach fali wzbudzenia </w:t>
      </w:r>
      <w:r w:rsidR="006C6CAA" w:rsidRPr="00E11754">
        <w:rPr>
          <w:rFonts w:ascii="Times New Roman" w:hAnsi="Times New Roman" w:cs="Times New Roman"/>
          <w:color w:val="040C28"/>
          <w:sz w:val="24"/>
          <w:szCs w:val="24"/>
        </w:rPr>
        <w:t>λ =</w:t>
      </w:r>
      <w:r w:rsidR="006C6CAA" w:rsidRPr="00E11754">
        <w:rPr>
          <w:rFonts w:ascii="Times New Roman" w:hAnsi="Times New Roman" w:cs="Times New Roman"/>
          <w:sz w:val="24"/>
          <w:szCs w:val="24"/>
        </w:rPr>
        <w:t xml:space="preserve"> 487 </w:t>
      </w:r>
      <w:proofErr w:type="spellStart"/>
      <w:r w:rsidR="006C6CAA" w:rsidRPr="00E11754">
        <w:rPr>
          <w:rFonts w:ascii="Times New Roman" w:hAnsi="Times New Roman" w:cs="Times New Roman"/>
          <w:sz w:val="24"/>
          <w:szCs w:val="24"/>
        </w:rPr>
        <w:t>nm</w:t>
      </w:r>
      <w:proofErr w:type="spellEnd"/>
      <w:r w:rsidR="006C6CAA" w:rsidRPr="00E11754">
        <w:rPr>
          <w:rFonts w:ascii="Times New Roman" w:hAnsi="Times New Roman" w:cs="Times New Roman"/>
          <w:sz w:val="24"/>
          <w:szCs w:val="24"/>
        </w:rPr>
        <w:t xml:space="preserve"> oraz fali emisji </w:t>
      </w:r>
      <w:r w:rsidR="006C6CAA" w:rsidRPr="00E11754">
        <w:rPr>
          <w:rFonts w:ascii="Times New Roman" w:hAnsi="Times New Roman" w:cs="Times New Roman"/>
          <w:color w:val="040C28"/>
          <w:sz w:val="24"/>
          <w:szCs w:val="24"/>
        </w:rPr>
        <w:t>λ</w:t>
      </w:r>
      <w:r w:rsidR="006C6CAA" w:rsidRPr="00E11754">
        <w:rPr>
          <w:rFonts w:ascii="Times New Roman" w:hAnsi="Times New Roman" w:cs="Times New Roman"/>
          <w:sz w:val="24"/>
          <w:szCs w:val="24"/>
        </w:rPr>
        <w:t xml:space="preserve"> = 555 nm.</w:t>
      </w:r>
    </w:p>
    <w:p w14:paraId="070FA855" w14:textId="20CDBA6B" w:rsidR="006C6CAA" w:rsidRPr="00E11754" w:rsidRDefault="006C6CAA" w:rsidP="495CA212">
      <w:p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ab/>
        <w:t xml:space="preserve">Kolejnym etapem badań było opracowanie optymalnych warunków ekstrakcji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z próbek osocza oraz moczu. W tym celu sprawdzono różne warianty ekstrakcji tj. </w:t>
      </w:r>
      <w:proofErr w:type="spellStart"/>
      <w:r w:rsidRPr="00E11754">
        <w:rPr>
          <w:rFonts w:ascii="Times New Roman" w:hAnsi="Times New Roman" w:cs="Times New Roman"/>
          <w:sz w:val="24"/>
          <w:szCs w:val="24"/>
        </w:rPr>
        <w:t>deproteinizację</w:t>
      </w:r>
      <w:proofErr w:type="spellEnd"/>
      <w:r w:rsidRPr="00E11754">
        <w:rPr>
          <w:rFonts w:ascii="Times New Roman" w:hAnsi="Times New Roman" w:cs="Times New Roman"/>
          <w:sz w:val="24"/>
          <w:szCs w:val="24"/>
        </w:rPr>
        <w:t>, LLE oraz</w:t>
      </w:r>
      <w:r w:rsidR="008818BA" w:rsidRPr="00E11754">
        <w:rPr>
          <w:rFonts w:ascii="Times New Roman" w:hAnsi="Times New Roman" w:cs="Times New Roman"/>
          <w:sz w:val="24"/>
          <w:szCs w:val="24"/>
        </w:rPr>
        <w:t xml:space="preserve"> </w:t>
      </w:r>
      <w:r w:rsidRPr="00E11754">
        <w:rPr>
          <w:rFonts w:ascii="Times New Roman" w:hAnsi="Times New Roman" w:cs="Times New Roman"/>
          <w:sz w:val="24"/>
          <w:szCs w:val="24"/>
        </w:rPr>
        <w:t>SPE, a wszystkie analizy wykonywano dla</w:t>
      </w:r>
      <w:r w:rsidRPr="00E11754">
        <w:rPr>
          <w:rFonts w:ascii="Times New Roman" w:hAnsi="Times New Roman" w:cs="Times New Roman"/>
          <w:color w:val="FF0000"/>
          <w:sz w:val="24"/>
          <w:szCs w:val="24"/>
        </w:rPr>
        <w:t xml:space="preserve"> </w:t>
      </w:r>
      <w:r w:rsidRPr="00E11754">
        <w:rPr>
          <w:rFonts w:ascii="Times New Roman" w:hAnsi="Times New Roman" w:cs="Times New Roman"/>
          <w:sz w:val="24"/>
          <w:szCs w:val="24"/>
        </w:rPr>
        <w:t xml:space="preserve">objętości próbek osocza 0,25 ml i 0,5 ml moczu. W pierwszej kolejności, w ramach eksperymentów opartych na </w:t>
      </w:r>
      <w:proofErr w:type="spellStart"/>
      <w:r w:rsidRPr="00E11754">
        <w:rPr>
          <w:rFonts w:ascii="Times New Roman" w:hAnsi="Times New Roman" w:cs="Times New Roman"/>
          <w:sz w:val="24"/>
          <w:szCs w:val="24"/>
        </w:rPr>
        <w:t>deproteinizacji</w:t>
      </w:r>
      <w:proofErr w:type="spellEnd"/>
      <w:r w:rsidRPr="00E11754">
        <w:rPr>
          <w:rFonts w:ascii="Times New Roman" w:hAnsi="Times New Roman" w:cs="Times New Roman"/>
          <w:sz w:val="24"/>
          <w:szCs w:val="24"/>
        </w:rPr>
        <w:t xml:space="preserve">, zastosowano </w:t>
      </w:r>
      <w:proofErr w:type="spellStart"/>
      <w:r w:rsidRPr="00E11754">
        <w:rPr>
          <w:rFonts w:ascii="Times New Roman" w:hAnsi="Times New Roman" w:cs="Times New Roman"/>
          <w:sz w:val="24"/>
          <w:szCs w:val="24"/>
        </w:rPr>
        <w:t>MeOH</w:t>
      </w:r>
      <w:proofErr w:type="spellEnd"/>
      <w:r w:rsidRPr="00E11754">
        <w:rPr>
          <w:rFonts w:ascii="Times New Roman" w:hAnsi="Times New Roman" w:cs="Times New Roman"/>
          <w:sz w:val="24"/>
          <w:szCs w:val="24"/>
        </w:rPr>
        <w:t xml:space="preserve">, ACN oraz mieszaninę ACN:MEOH (1:1, </w:t>
      </w:r>
      <w:r w:rsidRPr="02602357">
        <w:rPr>
          <w:rFonts w:ascii="Times New Roman" w:hAnsi="Times New Roman" w:cs="Times New Roman"/>
          <w:i/>
          <w:iCs/>
          <w:sz w:val="24"/>
          <w:szCs w:val="24"/>
        </w:rPr>
        <w:t>v</w:t>
      </w:r>
      <w:r w:rsidRPr="00E11754">
        <w:rPr>
          <w:rFonts w:ascii="Times New Roman" w:hAnsi="Times New Roman" w:cs="Times New Roman"/>
          <w:sz w:val="24"/>
          <w:szCs w:val="24"/>
        </w:rPr>
        <w:t>/</w:t>
      </w:r>
      <w:r w:rsidRPr="02602357">
        <w:rPr>
          <w:rFonts w:ascii="Times New Roman" w:hAnsi="Times New Roman" w:cs="Times New Roman"/>
          <w:i/>
          <w:iCs/>
          <w:sz w:val="24"/>
          <w:szCs w:val="24"/>
        </w:rPr>
        <w:t>v</w:t>
      </w:r>
      <w:r w:rsidRPr="00E11754">
        <w:rPr>
          <w:rFonts w:ascii="Times New Roman" w:hAnsi="Times New Roman" w:cs="Times New Roman"/>
          <w:sz w:val="24"/>
          <w:szCs w:val="24"/>
        </w:rPr>
        <w:t xml:space="preserve">). Wśród tych procedur, najwyższą wydajność ekstrakcji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otrzymano po zastosowania ACN, która dla próbek osocza oraz moczu wynosiła odpowiednio 57,4 ± 6,1 % oraz 68,2 ± 5,4 %. W ramach LLE stosowano octan etylu, dichlorometan (DCHM) oraz mieszaninę </w:t>
      </w:r>
      <w:proofErr w:type="spellStart"/>
      <w:r w:rsidRPr="00E11754">
        <w:rPr>
          <w:rFonts w:ascii="Times New Roman" w:hAnsi="Times New Roman" w:cs="Times New Roman"/>
          <w:sz w:val="24"/>
          <w:szCs w:val="24"/>
        </w:rPr>
        <w:t>Chl</w:t>
      </w:r>
      <w:proofErr w:type="spellEnd"/>
      <w:r w:rsidRPr="00E11754">
        <w:rPr>
          <w:rFonts w:ascii="Times New Roman" w:hAnsi="Times New Roman" w:cs="Times New Roman"/>
          <w:sz w:val="24"/>
          <w:szCs w:val="24"/>
        </w:rPr>
        <w:t xml:space="preserve"> z </w:t>
      </w:r>
      <w:proofErr w:type="spellStart"/>
      <w:r w:rsidRPr="00E11754">
        <w:rPr>
          <w:rFonts w:ascii="Times New Roman" w:hAnsi="Times New Roman" w:cs="Times New Roman"/>
          <w:sz w:val="24"/>
          <w:szCs w:val="24"/>
        </w:rPr>
        <w:t>MeOH</w:t>
      </w:r>
      <w:proofErr w:type="spellEnd"/>
      <w:r w:rsidRPr="00E11754">
        <w:rPr>
          <w:rFonts w:ascii="Times New Roman" w:hAnsi="Times New Roman" w:cs="Times New Roman"/>
          <w:sz w:val="24"/>
          <w:szCs w:val="24"/>
        </w:rPr>
        <w:t xml:space="preserve"> (4:1, </w:t>
      </w:r>
      <w:r w:rsidRPr="02602357">
        <w:rPr>
          <w:rFonts w:ascii="Times New Roman" w:hAnsi="Times New Roman" w:cs="Times New Roman"/>
          <w:i/>
          <w:iCs/>
          <w:sz w:val="24"/>
          <w:szCs w:val="24"/>
        </w:rPr>
        <w:t>v</w:t>
      </w:r>
      <w:r w:rsidRPr="00E11754">
        <w:rPr>
          <w:rFonts w:ascii="Times New Roman" w:hAnsi="Times New Roman" w:cs="Times New Roman"/>
          <w:sz w:val="24"/>
          <w:szCs w:val="24"/>
        </w:rPr>
        <w:t>/</w:t>
      </w:r>
      <w:r w:rsidRPr="02602357">
        <w:rPr>
          <w:rFonts w:ascii="Times New Roman" w:hAnsi="Times New Roman" w:cs="Times New Roman"/>
          <w:i/>
          <w:iCs/>
          <w:sz w:val="24"/>
          <w:szCs w:val="24"/>
        </w:rPr>
        <w:t>v</w:t>
      </w:r>
      <w:r w:rsidRPr="00E11754">
        <w:rPr>
          <w:rFonts w:ascii="Times New Roman" w:hAnsi="Times New Roman" w:cs="Times New Roman"/>
          <w:sz w:val="24"/>
          <w:szCs w:val="24"/>
        </w:rPr>
        <w:t xml:space="preserve">). Spośród wymienionych rozpuszczalników, najwyższe wyniki ekstrakcji gwarantowało zastosowanie mieszaniny </w:t>
      </w:r>
      <w:proofErr w:type="spellStart"/>
      <w:r w:rsidRPr="00E11754">
        <w:rPr>
          <w:rFonts w:ascii="Times New Roman" w:hAnsi="Times New Roman" w:cs="Times New Roman"/>
          <w:sz w:val="24"/>
          <w:szCs w:val="24"/>
        </w:rPr>
        <w:t>Chl</w:t>
      </w:r>
      <w:proofErr w:type="spellEnd"/>
      <w:r w:rsidRPr="00E11754">
        <w:rPr>
          <w:rFonts w:ascii="Times New Roman" w:hAnsi="Times New Roman" w:cs="Times New Roman"/>
          <w:sz w:val="24"/>
          <w:szCs w:val="24"/>
        </w:rPr>
        <w:t xml:space="preserve"> z </w:t>
      </w:r>
      <w:proofErr w:type="spellStart"/>
      <w:r w:rsidRPr="00E11754">
        <w:rPr>
          <w:rFonts w:ascii="Times New Roman" w:hAnsi="Times New Roman" w:cs="Times New Roman"/>
          <w:sz w:val="24"/>
          <w:szCs w:val="24"/>
        </w:rPr>
        <w:t>MeOH</w:t>
      </w:r>
      <w:proofErr w:type="spellEnd"/>
      <w:r w:rsidRPr="00E11754">
        <w:rPr>
          <w:rFonts w:ascii="Times New Roman" w:hAnsi="Times New Roman" w:cs="Times New Roman"/>
          <w:sz w:val="24"/>
          <w:szCs w:val="24"/>
        </w:rPr>
        <w:t xml:space="preserve">, dla której wydajność w przypadku próbek osocza wynosiła 51,6 ± 11,3 %, a dla próbek moczu 58,6 ± 12,7%. Kolejnym etapem badań było testowanie procedur opartych na SPE z użyciem kolumienek </w:t>
      </w:r>
      <w:proofErr w:type="spellStart"/>
      <w:r w:rsidR="00860127" w:rsidRPr="00E11754">
        <w:rPr>
          <w:rFonts w:ascii="Times New Roman" w:hAnsi="Times New Roman" w:cs="Times New Roman"/>
          <w:sz w:val="24"/>
          <w:szCs w:val="24"/>
        </w:rPr>
        <w:t>Li</w:t>
      </w:r>
      <w:r w:rsidR="001022B3" w:rsidRPr="00E11754">
        <w:rPr>
          <w:rFonts w:ascii="Times New Roman" w:hAnsi="Times New Roman" w:cs="Times New Roman"/>
          <w:sz w:val="24"/>
          <w:szCs w:val="24"/>
        </w:rPr>
        <w:t>Chrolut</w:t>
      </w:r>
      <w:proofErr w:type="spellEnd"/>
      <w:r w:rsidR="00B93FEE" w:rsidRPr="00E11754">
        <w:rPr>
          <w:rFonts w:ascii="Times New Roman" w:hAnsi="Times New Roman" w:cs="Times New Roman"/>
          <w:sz w:val="24"/>
          <w:szCs w:val="24"/>
        </w:rPr>
        <w:t xml:space="preserve"> </w:t>
      </w:r>
      <w:r w:rsidRPr="00E11754">
        <w:rPr>
          <w:rFonts w:ascii="Times New Roman" w:hAnsi="Times New Roman" w:cs="Times New Roman"/>
          <w:sz w:val="24"/>
          <w:szCs w:val="24"/>
        </w:rPr>
        <w:t>C18 (</w:t>
      </w:r>
      <w:r w:rsidR="00B93FEE" w:rsidRPr="00E11754">
        <w:rPr>
          <w:rFonts w:ascii="Times New Roman" w:hAnsi="Times New Roman" w:cs="Times New Roman"/>
          <w:sz w:val="24"/>
          <w:szCs w:val="24"/>
        </w:rPr>
        <w:t>10</w:t>
      </w:r>
      <w:r w:rsidRPr="00E11754">
        <w:rPr>
          <w:rFonts w:ascii="Times New Roman" w:hAnsi="Times New Roman" w:cs="Times New Roman"/>
          <w:sz w:val="24"/>
          <w:szCs w:val="24"/>
        </w:rPr>
        <w:t>0 mg, 1 ml) oraz</w:t>
      </w:r>
      <w:r w:rsidR="13A8E3F4" w:rsidRPr="00E11754">
        <w:rPr>
          <w:rFonts w:ascii="Times New Roman" w:hAnsi="Times New Roman" w:cs="Times New Roman"/>
          <w:sz w:val="24"/>
          <w:szCs w:val="24"/>
        </w:rPr>
        <w:t xml:space="preserve"> </w:t>
      </w:r>
      <w:proofErr w:type="spellStart"/>
      <w:r w:rsidR="13A8E3F4" w:rsidRPr="00E11754">
        <w:rPr>
          <w:rFonts w:ascii="Times New Roman" w:hAnsi="Times New Roman" w:cs="Times New Roman"/>
          <w:sz w:val="24"/>
          <w:szCs w:val="24"/>
        </w:rPr>
        <w:t>Supel</w:t>
      </w:r>
      <w:proofErr w:type="spellEnd"/>
      <w:r w:rsidR="00C058F3" w:rsidRPr="00E11754">
        <w:rPr>
          <w:rFonts w:ascii="Times New Roman" w:hAnsi="Times New Roman" w:cs="Times New Roman"/>
          <w:sz w:val="24"/>
          <w:szCs w:val="24"/>
        </w:rPr>
        <w:t xml:space="preserve"> </w:t>
      </w:r>
      <w:r w:rsidR="13A8E3F4" w:rsidRPr="00E11754">
        <w:rPr>
          <w:rFonts w:ascii="Times New Roman" w:hAnsi="Times New Roman" w:cs="Times New Roman"/>
          <w:sz w:val="24"/>
          <w:szCs w:val="24"/>
        </w:rPr>
        <w:t>Select</w:t>
      </w:r>
      <w:r w:rsidR="00C058F3" w:rsidRPr="00E11754">
        <w:rPr>
          <w:rFonts w:ascii="Times New Roman" w:hAnsi="Times New Roman" w:cs="Times New Roman"/>
          <w:sz w:val="24"/>
          <w:szCs w:val="24"/>
        </w:rPr>
        <w:t xml:space="preserve"> HLB</w:t>
      </w:r>
      <w:r w:rsidR="13A8E3F4" w:rsidRPr="00E11754">
        <w:rPr>
          <w:rFonts w:ascii="Times New Roman" w:hAnsi="Times New Roman" w:cs="Times New Roman"/>
          <w:sz w:val="24"/>
          <w:szCs w:val="24"/>
        </w:rPr>
        <w:t xml:space="preserve"> (</w:t>
      </w:r>
      <w:r w:rsidR="00C058F3" w:rsidRPr="00E11754">
        <w:rPr>
          <w:rFonts w:ascii="Times New Roman" w:hAnsi="Times New Roman" w:cs="Times New Roman"/>
          <w:sz w:val="24"/>
          <w:szCs w:val="24"/>
        </w:rPr>
        <w:t>6</w:t>
      </w:r>
      <w:r w:rsidR="13A8E3F4" w:rsidRPr="00E11754">
        <w:rPr>
          <w:rFonts w:ascii="Times New Roman" w:hAnsi="Times New Roman" w:cs="Times New Roman"/>
          <w:sz w:val="24"/>
          <w:szCs w:val="24"/>
        </w:rPr>
        <w:t xml:space="preserve">0 mg, </w:t>
      </w:r>
      <w:r w:rsidR="00654432" w:rsidRPr="00E11754">
        <w:rPr>
          <w:rFonts w:ascii="Times New Roman" w:hAnsi="Times New Roman" w:cs="Times New Roman"/>
          <w:sz w:val="24"/>
          <w:szCs w:val="24"/>
        </w:rPr>
        <w:t>3</w:t>
      </w:r>
      <w:r w:rsidR="13A8E3F4" w:rsidRPr="00E11754">
        <w:rPr>
          <w:rFonts w:ascii="Times New Roman" w:hAnsi="Times New Roman" w:cs="Times New Roman"/>
          <w:sz w:val="24"/>
          <w:szCs w:val="24"/>
        </w:rPr>
        <w:t xml:space="preserve"> ml)</w:t>
      </w:r>
      <w:r w:rsidRPr="00E11754">
        <w:rPr>
          <w:rFonts w:ascii="Times New Roman" w:hAnsi="Times New Roman" w:cs="Times New Roman"/>
          <w:sz w:val="24"/>
          <w:szCs w:val="24"/>
        </w:rPr>
        <w:t xml:space="preserve">. Ostatecznie, do dalszych badań zastosowano kolumienki HLB, gdyż gwarantowały nieznacznie wyższe wyniki wydajności ekstrakcji. W przypadku próbek osocza, wartości te dla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wynosiły </w:t>
      </w:r>
      <w:r w:rsidRPr="00E11754">
        <w:rPr>
          <w:rFonts w:ascii="Times New Roman" w:hAnsi="Times New Roman" w:cs="Times New Roman"/>
          <w:sz w:val="24"/>
          <w:szCs w:val="24"/>
        </w:rPr>
        <w:lastRenderedPageBreak/>
        <w:t xml:space="preserve">68,1 ± 5,3 %, a dla moczu 75,8 ± 8,2 % w porównaniu do 66,8 ± 6,9 % oraz 74,1 ± 9,0 % odnotowanych dla kolumienek C18. Podczas optymalizacji ekstrakcji SPE, sprawdzano także wpływ zmiany </w:t>
      </w:r>
      <w:proofErr w:type="spellStart"/>
      <w:r w:rsidRPr="00E11754">
        <w:rPr>
          <w:rFonts w:ascii="Times New Roman" w:hAnsi="Times New Roman" w:cs="Times New Roman"/>
          <w:sz w:val="24"/>
          <w:szCs w:val="24"/>
        </w:rPr>
        <w:t>pH</w:t>
      </w:r>
      <w:proofErr w:type="spellEnd"/>
      <w:r w:rsidRPr="00E11754">
        <w:rPr>
          <w:rFonts w:ascii="Times New Roman" w:hAnsi="Times New Roman" w:cs="Times New Roman"/>
          <w:sz w:val="24"/>
          <w:szCs w:val="24"/>
        </w:rPr>
        <w:t xml:space="preserve"> matrycy próbki (0,05 M HCl,</w:t>
      </w:r>
      <w:r w:rsidR="2C092957" w:rsidRPr="00E11754">
        <w:rPr>
          <w:rFonts w:ascii="Times New Roman" w:hAnsi="Times New Roman" w:cs="Times New Roman"/>
          <w:sz w:val="24"/>
          <w:szCs w:val="24"/>
        </w:rPr>
        <w:t xml:space="preserve"> 0,1 M HCl,</w:t>
      </w:r>
      <w:r w:rsidRPr="00E11754">
        <w:rPr>
          <w:rFonts w:ascii="Times New Roman" w:hAnsi="Times New Roman" w:cs="Times New Roman"/>
          <w:sz w:val="24"/>
          <w:szCs w:val="24"/>
        </w:rPr>
        <w:t xml:space="preserve"> </w:t>
      </w:r>
      <w:r w:rsidR="2C092957" w:rsidRPr="00E11754">
        <w:rPr>
          <w:rFonts w:ascii="Times New Roman" w:hAnsi="Times New Roman" w:cs="Times New Roman"/>
          <w:sz w:val="24"/>
          <w:szCs w:val="24"/>
        </w:rPr>
        <w:t>0,2 M HCl)</w:t>
      </w:r>
      <w:r w:rsidRPr="00E11754">
        <w:rPr>
          <w:rFonts w:ascii="Times New Roman" w:hAnsi="Times New Roman" w:cs="Times New Roman"/>
          <w:sz w:val="24"/>
          <w:szCs w:val="24"/>
        </w:rPr>
        <w:t xml:space="preserve"> bądź dodatek modyfikatora organicznego (</w:t>
      </w:r>
      <w:proofErr w:type="spellStart"/>
      <w:r w:rsidRPr="00E11754">
        <w:rPr>
          <w:rFonts w:ascii="Times New Roman" w:hAnsi="Times New Roman" w:cs="Times New Roman"/>
          <w:sz w:val="24"/>
          <w:szCs w:val="24"/>
        </w:rPr>
        <w:t>MeOH</w:t>
      </w:r>
      <w:proofErr w:type="spellEnd"/>
      <w:r w:rsidRPr="00E11754">
        <w:rPr>
          <w:rFonts w:ascii="Times New Roman" w:hAnsi="Times New Roman" w:cs="Times New Roman"/>
          <w:sz w:val="24"/>
          <w:szCs w:val="24"/>
        </w:rPr>
        <w:t>) na efektywność procesu SPE. Ponadto, oceniano efektywność różnorodnych odczynników do przemywana złoża kolumienek (woda, MeOH:H</w:t>
      </w:r>
      <w:r w:rsidRPr="00E11754">
        <w:rPr>
          <w:rFonts w:ascii="Times New Roman" w:hAnsi="Times New Roman" w:cs="Times New Roman"/>
          <w:sz w:val="24"/>
          <w:szCs w:val="24"/>
          <w:vertAlign w:val="subscript"/>
        </w:rPr>
        <w:t>2</w:t>
      </w:r>
      <w:r w:rsidRPr="00E11754">
        <w:rPr>
          <w:rFonts w:ascii="Times New Roman" w:hAnsi="Times New Roman" w:cs="Times New Roman"/>
          <w:sz w:val="24"/>
          <w:szCs w:val="24"/>
        </w:rPr>
        <w:t>O (1:9,</w:t>
      </w:r>
      <w:r w:rsidRPr="02602357">
        <w:rPr>
          <w:rFonts w:ascii="Times New Roman" w:hAnsi="Times New Roman" w:cs="Times New Roman"/>
          <w:i/>
          <w:iCs/>
          <w:sz w:val="24"/>
          <w:szCs w:val="24"/>
        </w:rPr>
        <w:t xml:space="preserve"> v/v</w:t>
      </w:r>
      <w:r w:rsidRPr="00E11754">
        <w:rPr>
          <w:rFonts w:ascii="Times New Roman" w:hAnsi="Times New Roman" w:cs="Times New Roman"/>
          <w:sz w:val="24"/>
          <w:szCs w:val="24"/>
        </w:rPr>
        <w:t>),</w:t>
      </w:r>
      <w:r w:rsidR="2C092957" w:rsidRPr="00E11754">
        <w:rPr>
          <w:rFonts w:ascii="Times New Roman" w:hAnsi="Times New Roman" w:cs="Times New Roman"/>
          <w:sz w:val="24"/>
          <w:szCs w:val="24"/>
        </w:rPr>
        <w:t xml:space="preserve"> ACN:H</w:t>
      </w:r>
      <w:r w:rsidR="2C092957" w:rsidRPr="00E11754">
        <w:rPr>
          <w:rFonts w:ascii="Times New Roman" w:hAnsi="Times New Roman" w:cs="Times New Roman"/>
          <w:sz w:val="24"/>
          <w:szCs w:val="24"/>
          <w:vertAlign w:val="subscript"/>
        </w:rPr>
        <w:t>2</w:t>
      </w:r>
      <w:r w:rsidR="2C092957" w:rsidRPr="00E11754">
        <w:rPr>
          <w:rFonts w:ascii="Times New Roman" w:hAnsi="Times New Roman" w:cs="Times New Roman"/>
          <w:sz w:val="24"/>
          <w:szCs w:val="24"/>
        </w:rPr>
        <w:t>O (1:9,</w:t>
      </w:r>
      <w:r w:rsidR="2C092957" w:rsidRPr="02602357">
        <w:rPr>
          <w:rFonts w:ascii="Times New Roman" w:hAnsi="Times New Roman" w:cs="Times New Roman"/>
          <w:i/>
          <w:iCs/>
          <w:sz w:val="24"/>
          <w:szCs w:val="24"/>
        </w:rPr>
        <w:t xml:space="preserve"> v/v</w:t>
      </w:r>
      <w:r w:rsidR="2C092957" w:rsidRPr="00E11754">
        <w:rPr>
          <w:rFonts w:ascii="Times New Roman" w:hAnsi="Times New Roman" w:cs="Times New Roman"/>
          <w:sz w:val="24"/>
          <w:szCs w:val="24"/>
        </w:rPr>
        <w:t>), 0,01 M HCl)</w:t>
      </w:r>
      <w:r w:rsidRPr="00E11754">
        <w:rPr>
          <w:rFonts w:ascii="Times New Roman" w:hAnsi="Times New Roman" w:cs="Times New Roman"/>
          <w:sz w:val="24"/>
          <w:szCs w:val="24"/>
        </w:rPr>
        <w:t xml:space="preserve"> i </w:t>
      </w:r>
      <w:proofErr w:type="spellStart"/>
      <w:r w:rsidRPr="00E11754">
        <w:rPr>
          <w:rFonts w:ascii="Times New Roman" w:hAnsi="Times New Roman" w:cs="Times New Roman"/>
          <w:sz w:val="24"/>
          <w:szCs w:val="24"/>
        </w:rPr>
        <w:t>elucji</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analitów</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MeOH</w:t>
      </w:r>
      <w:proofErr w:type="spellEnd"/>
      <w:r w:rsidRPr="00E11754">
        <w:rPr>
          <w:rFonts w:ascii="Times New Roman" w:hAnsi="Times New Roman" w:cs="Times New Roman"/>
          <w:sz w:val="24"/>
          <w:szCs w:val="24"/>
        </w:rPr>
        <w:t xml:space="preserve">, </w:t>
      </w:r>
      <w:r w:rsidR="2C092957" w:rsidRPr="00E11754">
        <w:rPr>
          <w:rFonts w:ascii="Times New Roman" w:hAnsi="Times New Roman" w:cs="Times New Roman"/>
          <w:sz w:val="24"/>
          <w:szCs w:val="24"/>
        </w:rPr>
        <w:t>MeOH:0,1 M HCl (9:1,</w:t>
      </w:r>
      <w:r w:rsidR="2C092957" w:rsidRPr="02602357">
        <w:rPr>
          <w:rFonts w:ascii="Times New Roman" w:hAnsi="Times New Roman" w:cs="Times New Roman"/>
          <w:i/>
          <w:iCs/>
          <w:sz w:val="24"/>
          <w:szCs w:val="24"/>
        </w:rPr>
        <w:t xml:space="preserve"> v/v</w:t>
      </w:r>
      <w:r w:rsidR="2C092957" w:rsidRPr="00E11754">
        <w:rPr>
          <w:rFonts w:ascii="Times New Roman" w:hAnsi="Times New Roman" w:cs="Times New Roman"/>
          <w:sz w:val="24"/>
          <w:szCs w:val="24"/>
        </w:rPr>
        <w:t xml:space="preserve">), ACN, </w:t>
      </w:r>
      <w:proofErr w:type="spellStart"/>
      <w:r w:rsidR="2C092957" w:rsidRPr="00E11754">
        <w:rPr>
          <w:rFonts w:ascii="Times New Roman" w:hAnsi="Times New Roman" w:cs="Times New Roman"/>
          <w:sz w:val="24"/>
          <w:szCs w:val="24"/>
        </w:rPr>
        <w:t>ACN:MeOH</w:t>
      </w:r>
      <w:proofErr w:type="spellEnd"/>
      <w:r w:rsidR="2C092957" w:rsidRPr="00E11754">
        <w:rPr>
          <w:rFonts w:ascii="Times New Roman" w:hAnsi="Times New Roman" w:cs="Times New Roman"/>
          <w:sz w:val="24"/>
          <w:szCs w:val="24"/>
        </w:rPr>
        <w:t xml:space="preserve"> (1:1,</w:t>
      </w:r>
      <w:r w:rsidR="2C092957" w:rsidRPr="02602357">
        <w:rPr>
          <w:rFonts w:ascii="Times New Roman" w:hAnsi="Times New Roman" w:cs="Times New Roman"/>
          <w:i/>
          <w:iCs/>
          <w:sz w:val="24"/>
          <w:szCs w:val="24"/>
        </w:rPr>
        <w:t xml:space="preserve"> v/v</w:t>
      </w:r>
      <w:r w:rsidR="2C092957" w:rsidRPr="00E11754">
        <w:rPr>
          <w:rFonts w:ascii="Times New Roman" w:hAnsi="Times New Roman" w:cs="Times New Roman"/>
          <w:sz w:val="24"/>
          <w:szCs w:val="24"/>
        </w:rPr>
        <w:t>), DCHM:2-propranol (1:1,</w:t>
      </w:r>
      <w:r w:rsidR="2C092957" w:rsidRPr="02602357">
        <w:rPr>
          <w:rFonts w:ascii="Times New Roman" w:hAnsi="Times New Roman" w:cs="Times New Roman"/>
          <w:i/>
          <w:iCs/>
          <w:sz w:val="24"/>
          <w:szCs w:val="24"/>
        </w:rPr>
        <w:t xml:space="preserve"> v/v</w:t>
      </w:r>
      <w:r w:rsidR="2C092957" w:rsidRPr="00E11754">
        <w:rPr>
          <w:rFonts w:ascii="Times New Roman" w:hAnsi="Times New Roman" w:cs="Times New Roman"/>
          <w:sz w:val="24"/>
          <w:szCs w:val="24"/>
        </w:rPr>
        <w:t>))</w:t>
      </w:r>
      <w:r w:rsidRPr="00E11754">
        <w:rPr>
          <w:rFonts w:ascii="Times New Roman" w:hAnsi="Times New Roman" w:cs="Times New Roman"/>
          <w:sz w:val="24"/>
          <w:szCs w:val="24"/>
        </w:rPr>
        <w:t xml:space="preserve">. Najwyższą wydajność ekstrakcji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wyznaczono po zastosowaniu 0,1 M kwasu solnego do modyfikacji </w:t>
      </w:r>
      <w:proofErr w:type="spellStart"/>
      <w:r w:rsidRPr="00E11754">
        <w:rPr>
          <w:rFonts w:ascii="Times New Roman" w:hAnsi="Times New Roman" w:cs="Times New Roman"/>
          <w:sz w:val="24"/>
          <w:szCs w:val="24"/>
        </w:rPr>
        <w:t>pH</w:t>
      </w:r>
      <w:proofErr w:type="spellEnd"/>
      <w:r w:rsidRPr="00E11754">
        <w:rPr>
          <w:rFonts w:ascii="Times New Roman" w:hAnsi="Times New Roman" w:cs="Times New Roman"/>
          <w:sz w:val="24"/>
          <w:szCs w:val="24"/>
        </w:rPr>
        <w:t xml:space="preserve"> matrycy próbki osoczu/moczu przez ekstrakcją SPE, a także wody i </w:t>
      </w:r>
      <w:proofErr w:type="spellStart"/>
      <w:r w:rsidRPr="00E11754">
        <w:rPr>
          <w:rFonts w:ascii="Times New Roman" w:hAnsi="Times New Roman" w:cs="Times New Roman"/>
          <w:sz w:val="24"/>
          <w:szCs w:val="24"/>
        </w:rPr>
        <w:t>MeOH</w:t>
      </w:r>
      <w:proofErr w:type="spellEnd"/>
      <w:r w:rsidRPr="00E11754">
        <w:rPr>
          <w:rFonts w:ascii="Times New Roman" w:hAnsi="Times New Roman" w:cs="Times New Roman"/>
          <w:sz w:val="24"/>
          <w:szCs w:val="24"/>
        </w:rPr>
        <w:t xml:space="preserve"> jako odczynników do przemywania oraz </w:t>
      </w:r>
      <w:proofErr w:type="spellStart"/>
      <w:r w:rsidRPr="00E11754">
        <w:rPr>
          <w:rFonts w:ascii="Times New Roman" w:hAnsi="Times New Roman" w:cs="Times New Roman"/>
          <w:sz w:val="24"/>
          <w:szCs w:val="24"/>
        </w:rPr>
        <w:t>elucji</w:t>
      </w:r>
      <w:proofErr w:type="spellEnd"/>
      <w:r w:rsidRPr="00E11754">
        <w:rPr>
          <w:rFonts w:ascii="Times New Roman" w:hAnsi="Times New Roman" w:cs="Times New Roman"/>
          <w:sz w:val="24"/>
          <w:szCs w:val="24"/>
        </w:rPr>
        <w:t xml:space="preserve"> badanych </w:t>
      </w:r>
      <w:proofErr w:type="spellStart"/>
      <w:r w:rsidRPr="00E11754">
        <w:rPr>
          <w:rFonts w:ascii="Times New Roman" w:hAnsi="Times New Roman" w:cs="Times New Roman"/>
          <w:sz w:val="24"/>
          <w:szCs w:val="24"/>
        </w:rPr>
        <w:t>analitów</w:t>
      </w:r>
      <w:proofErr w:type="spellEnd"/>
      <w:r w:rsidRPr="00E11754">
        <w:rPr>
          <w:rFonts w:ascii="Times New Roman" w:hAnsi="Times New Roman" w:cs="Times New Roman"/>
          <w:sz w:val="24"/>
          <w:szCs w:val="24"/>
        </w:rPr>
        <w:t xml:space="preserve">. Wydajność tego procesu dla prób osocza i moczu wynosiła odpowiednio 97,4 ± 6,6 % oraz 99,4 ± 7,1 %. Wydajność ta </w:t>
      </w:r>
      <w:r w:rsidRPr="00C32263">
        <w:rPr>
          <w:rFonts w:ascii="Times New Roman" w:hAnsi="Times New Roman" w:cs="Times New Roman"/>
          <w:sz w:val="24"/>
          <w:szCs w:val="24"/>
        </w:rPr>
        <w:t>była wyższa</w:t>
      </w:r>
      <w:r w:rsidR="00F14565" w:rsidRPr="00C32263">
        <w:rPr>
          <w:rFonts w:ascii="Times New Roman" w:hAnsi="Times New Roman" w:cs="Times New Roman"/>
          <w:sz w:val="24"/>
          <w:szCs w:val="24"/>
        </w:rPr>
        <w:t xml:space="preserve"> </w:t>
      </w:r>
      <w:r w:rsidRPr="00C32263">
        <w:rPr>
          <w:rFonts w:ascii="Times New Roman" w:hAnsi="Times New Roman" w:cs="Times New Roman"/>
          <w:sz w:val="24"/>
          <w:szCs w:val="24"/>
        </w:rPr>
        <w:fldChar w:fldCharType="begin" w:fldLock="1"/>
      </w:r>
      <w:r w:rsidR="003F3548" w:rsidRPr="00C32263">
        <w:rPr>
          <w:rFonts w:ascii="Times New Roman" w:hAnsi="Times New Roman" w:cs="Times New Roman"/>
          <w:sz w:val="24"/>
          <w:szCs w:val="24"/>
        </w:rPr>
        <w:instrText>ADDIN CSL_CITATION {"citationItems":[{"id":"ITEM-1","itemData":{"DOI":"10.1016/0731-7085(95)01301-Z","ISSN":"07317085","PMID":"9696578","abstract":"A high-performance liquid chromatographic assay has been developed and validated for the determination in plasma and urine of doxorubicin (DXR) and some of its metabolites released in vivo from an N-(2-hydroxypropyl)methacrylamide (HPMA) polymer containing DXR linked through its aminosugar moiety to the polymer via an oligopeptide spacer (PK1). The method also allows measurement of the DXR still bound to the polymer. Following addition of two internal standards, the free compounds were extracted twice with isopropanol-chloroform (25:75, v/v). The first extraction was performed at physiological pH and the second after buffering at pH 8.4, in order to extract the aglycones and the glycosides, respectively. Determination of total DXR (polymer-bound plus free DXR) was performed, after quantitative acid hydrolysis to release doxorubicinone from free or polymer-bound DXR, by extraction with the same solvent mixture at pH 7.4. In both cases the organic phase was evaporated to dryness; the compounds were then separated by reversed-phase high-performance liquid chromatography (HPLC) under isocratic conditions and quantitated by fluorimetric detection. In the chromatograms all the analytes appeared to be separated at the baseline and no interference from blank human plasma and urine was observed. The suitability of the method for in vivo samples was checked by the analysis of plasma and urine samples obtained from a cancer patient who had received a single intravenous dose of the test compound. © 1995.","author":[{"dropping-particle":"","family":"Fraier","given":"D.","non-dropping-particle":"","parse-names":false,"suffix":""},{"dropping-particle":"","family":"Frigerio","given":"E.","non-dropping-particle":"","parse-names":false,"suffix":""},{"dropping-particle":"","family":"Pianezzola","given":"E.","non-dropping-particle":"","parse-names":false,"suffix":""},{"dropping-particle":"","family":"Strolin Benedetti","given":"M.","non-dropping-particle":"","parse-names":false,"suffix":""},{"dropping-particle":"","family":"Cassidy","given":"J.","non-dropping-particle":"","parse-names":false,"suffix":""},{"dropping-particle":"","family":"Vasey","given":"P.","non-dropping-particle":"","parse-names":false,"suffix":""}],"container-title":"Journal of Pharmaceutical and Biomedical Analysis","id":"ITEM-1","issue":"4-5","issued":{"date-parts":[["1995"]]},"page":"625-633","title":"A sensitive procedure for the quantitation of free and N-(2-hydroxypropyl)methacrylamide polymer-bound doxorubicin (PK1) and some of its metabolites, 13-dihydrodoxorubicin, 13-dihydrodoxorubicinone and doxorubicinone, in human plasma and urine by reversed","type":"article-journal","volume":"13"},"uris":["http://www.mendeley.com/documents/?uuid=2b9c1ec6-808f-4d57-925f-0f0b68d7650c"]}],"mendeley":{"formattedCitation":"[49]","plainTextFormattedCitation":"[49]","previouslyFormattedCitation":"[49]"},"properties":{"noteIndex":0},"schema":"https://github.com/citation-style-language/schema/raw/master/csl-citation.json"}</w:instrText>
      </w:r>
      <w:r w:rsidRPr="00C32263">
        <w:rPr>
          <w:rFonts w:ascii="Times New Roman" w:hAnsi="Times New Roman" w:cs="Times New Roman"/>
          <w:sz w:val="24"/>
          <w:szCs w:val="24"/>
        </w:rPr>
        <w:fldChar w:fldCharType="separate"/>
      </w:r>
      <w:r w:rsidR="495CA212" w:rsidRPr="00C32263">
        <w:rPr>
          <w:rFonts w:ascii="Times New Roman" w:hAnsi="Times New Roman" w:cs="Times New Roman"/>
          <w:noProof/>
          <w:sz w:val="24"/>
          <w:szCs w:val="24"/>
        </w:rPr>
        <w:t>[49]</w:t>
      </w:r>
      <w:r w:rsidRPr="00C32263">
        <w:rPr>
          <w:rFonts w:ascii="Times New Roman" w:hAnsi="Times New Roman" w:cs="Times New Roman"/>
          <w:sz w:val="24"/>
          <w:szCs w:val="24"/>
        </w:rPr>
        <w:fldChar w:fldCharType="end"/>
      </w:r>
      <w:r w:rsidR="495CA212" w:rsidRPr="00C32263">
        <w:rPr>
          <w:rFonts w:ascii="Times New Roman" w:hAnsi="Times New Roman" w:cs="Times New Roman"/>
          <w:sz w:val="24"/>
          <w:szCs w:val="24"/>
        </w:rPr>
        <w:t xml:space="preserve">, </w:t>
      </w:r>
      <w:r w:rsidRPr="00C32263">
        <w:rPr>
          <w:rFonts w:ascii="Times New Roman" w:hAnsi="Times New Roman" w:cs="Times New Roman"/>
          <w:sz w:val="24"/>
          <w:szCs w:val="24"/>
        </w:rPr>
        <w:fldChar w:fldCharType="begin" w:fldLock="1"/>
      </w:r>
      <w:r w:rsidR="003F3548" w:rsidRPr="00C32263">
        <w:rPr>
          <w:rFonts w:ascii="Times New Roman" w:hAnsi="Times New Roman" w:cs="Times New Roman"/>
          <w:sz w:val="24"/>
          <w:szCs w:val="24"/>
        </w:rPr>
        <w:instrText>ADDIN CSL_CITATION {"citationItems":[{"id":"ITEM-1","itemData":{"DOI":"10.1016/S0731-7085(02)00442-9","ISSN":"07317085","PMID":"12408897","abstract":"A simple, accurate and precise high-performance liquid chromatographic method was developed and validated for the simultaneous determination of doxorubicin and its three metabolites, including doxorubicinol, doxorubicinolone and doxorubicinone, in rat serum and bile. Following a single protein precipitation step, chromatographic separation was accomplished using a C-18 column with a mobile phase consisting of 50 mM sodium phosphate buffer-acetonitrile-1-propanol (65:25:2, v/v), pH 2.0. The analytes were measured by fluorescence detection with excitation wavelength of 480 nm and emission wavelength of 560 nm. The lower limits of quantitation were 10 ng/ml for doxorubicin, and 5 ng/ml for the three metabolites. The calibration curves were linear over a concentration range of 10-2500 ng/ml for doxorubicin, and 5-1250 ng/ml for its three metabolites. The average recoveries were greater than 89% for all analytes. The within-day and between-day coefficients of variation were generally less than 13%. Doxorubicin and its metabolites were stable in the precipitated serum and bile samples at room temperature in darkness for at least 48 h. This method permitted the analysis of samples without the presence of the anticoagulant sodium citrate and thus was applied to serum and bile samples collected from rats that were administered doxorubicin intravenously in a pharmacokinetic study. © 2002 Elsevier Science B.V. All rights reserved.","author":[{"dropping-particle":"","family":"Zhou","given":"Qingyu","non-dropping-particle":"","parse-names":false,"suffix":""},{"dropping-particle":"","family":"Chowbay","given":"Balram","non-dropping-particle":"","parse-names":false,"suffix":""}],"container-title":"Journal of Pharmaceutical and Biomedical Analysis","id":"ITEM-1","issue":"4","issued":{"date-parts":[["2002"]]},"page":"1063-1074","title":"Determination of doxorubicin and its metabolites in rat serum and bile by LC: Application to preclinical pharmacokinetic studies","type":"article-journal","volume":"30"},"uris":["http://www.mendeley.com/documents/?uuid=79379c44-ec4d-4505-8fdb-e14c9f8d8c7c"]}],"mendeley":{"formattedCitation":"[51]","plainTextFormattedCitation":"[51]","previouslyFormattedCitation":"[51]"},"properties":{"noteIndex":0},"schema":"https://github.com/citation-style-language/schema/raw/master/csl-citation.json"}</w:instrText>
      </w:r>
      <w:r w:rsidRPr="00C32263">
        <w:rPr>
          <w:rFonts w:ascii="Times New Roman" w:hAnsi="Times New Roman" w:cs="Times New Roman"/>
          <w:sz w:val="24"/>
          <w:szCs w:val="24"/>
        </w:rPr>
        <w:fldChar w:fldCharType="separate"/>
      </w:r>
      <w:r w:rsidR="495CA212" w:rsidRPr="00C32263">
        <w:rPr>
          <w:rFonts w:ascii="Times New Roman" w:hAnsi="Times New Roman" w:cs="Times New Roman"/>
          <w:noProof/>
          <w:sz w:val="24"/>
          <w:szCs w:val="24"/>
        </w:rPr>
        <w:t>[51]</w:t>
      </w:r>
      <w:r w:rsidRPr="00C32263">
        <w:rPr>
          <w:rFonts w:ascii="Times New Roman" w:hAnsi="Times New Roman" w:cs="Times New Roman"/>
          <w:sz w:val="24"/>
          <w:szCs w:val="24"/>
        </w:rPr>
        <w:fldChar w:fldCharType="end"/>
      </w:r>
      <w:r w:rsidR="02602357" w:rsidRPr="00C32263">
        <w:rPr>
          <w:rFonts w:ascii="Times New Roman" w:hAnsi="Times New Roman" w:cs="Times New Roman"/>
          <w:sz w:val="24"/>
          <w:szCs w:val="24"/>
        </w:rPr>
        <w:t>,</w:t>
      </w:r>
      <w:r w:rsidRPr="00C32263">
        <w:rPr>
          <w:rFonts w:ascii="Times New Roman" w:hAnsi="Times New Roman" w:cs="Times New Roman"/>
          <w:sz w:val="24"/>
          <w:szCs w:val="24"/>
        </w:rPr>
        <w:t xml:space="preserve"> w odniesieniu do wcześniej opublikowanych procedur izolacji </w:t>
      </w:r>
      <w:proofErr w:type="spellStart"/>
      <w:r w:rsidR="2C092957" w:rsidRPr="00C32263">
        <w:rPr>
          <w:rFonts w:ascii="Times New Roman" w:hAnsi="Times New Roman" w:cs="Times New Roman"/>
          <w:sz w:val="24"/>
          <w:szCs w:val="24"/>
        </w:rPr>
        <w:t>doksorubi</w:t>
      </w:r>
      <w:r w:rsidR="495CA212" w:rsidRPr="00C32263">
        <w:rPr>
          <w:rFonts w:ascii="Times New Roman" w:hAnsi="Times New Roman" w:cs="Times New Roman"/>
          <w:sz w:val="24"/>
          <w:szCs w:val="24"/>
        </w:rPr>
        <w:t>cyny</w:t>
      </w:r>
      <w:proofErr w:type="spellEnd"/>
      <w:r w:rsidR="495CA212" w:rsidRPr="00C32263">
        <w:rPr>
          <w:rFonts w:ascii="Times New Roman" w:hAnsi="Times New Roman" w:cs="Times New Roman"/>
          <w:sz w:val="24"/>
          <w:szCs w:val="24"/>
        </w:rPr>
        <w:t xml:space="preserve"> z próbek biologicznych.</w:t>
      </w:r>
    </w:p>
    <w:p w14:paraId="12459EFD" w14:textId="3A2D6E21" w:rsidR="006C6CAA" w:rsidRPr="00E11754" w:rsidRDefault="006C6CAA" w:rsidP="2C092957">
      <w:pPr>
        <w:spacing w:line="360" w:lineRule="auto"/>
        <w:jc w:val="both"/>
        <w:rPr>
          <w:rFonts w:ascii="Times New Roman" w:hAnsi="Times New Roman" w:cs="Times New Roman"/>
          <w:sz w:val="24"/>
          <w:szCs w:val="24"/>
        </w:rPr>
      </w:pPr>
      <w:r w:rsidRPr="00E11754">
        <w:rPr>
          <w:rFonts w:ascii="Times New Roman" w:hAnsi="Times New Roman" w:cs="Times New Roman"/>
          <w:bCs/>
          <w:sz w:val="24"/>
          <w:szCs w:val="24"/>
        </w:rPr>
        <w:tab/>
      </w:r>
      <w:r w:rsidRPr="00E11754">
        <w:rPr>
          <w:rFonts w:ascii="Times New Roman" w:hAnsi="Times New Roman" w:cs="Times New Roman"/>
          <w:sz w:val="24"/>
          <w:szCs w:val="24"/>
        </w:rPr>
        <w:t>Opracowaną</w:t>
      </w:r>
      <w:r w:rsidR="008818BA" w:rsidRPr="00E11754">
        <w:rPr>
          <w:rFonts w:ascii="Times New Roman" w:hAnsi="Times New Roman" w:cs="Times New Roman"/>
          <w:sz w:val="24"/>
          <w:szCs w:val="24"/>
        </w:rPr>
        <w:t xml:space="preserve"> </w:t>
      </w:r>
      <w:r w:rsidRPr="00E11754">
        <w:rPr>
          <w:rFonts w:ascii="Times New Roman" w:hAnsi="Times New Roman" w:cs="Times New Roman"/>
          <w:sz w:val="24"/>
          <w:szCs w:val="24"/>
        </w:rPr>
        <w:t xml:space="preserve">metodę SPE-LC-FL do oznaczania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w próbkach osocza oraz moczu ludzkiego </w:t>
      </w:r>
      <w:proofErr w:type="spellStart"/>
      <w:r w:rsidRPr="00E11754">
        <w:rPr>
          <w:rFonts w:ascii="Times New Roman" w:hAnsi="Times New Roman" w:cs="Times New Roman"/>
          <w:sz w:val="24"/>
          <w:szCs w:val="24"/>
        </w:rPr>
        <w:t>zwalidowano</w:t>
      </w:r>
      <w:proofErr w:type="spellEnd"/>
      <w:r w:rsidRPr="00E11754">
        <w:rPr>
          <w:rFonts w:ascii="Times New Roman" w:hAnsi="Times New Roman" w:cs="Times New Roman"/>
          <w:sz w:val="24"/>
          <w:szCs w:val="24"/>
        </w:rPr>
        <w:t xml:space="preserve"> zgodnie z kryteriami FDA i ICH. Potwierdzono selektywność metody (Fig.</w:t>
      </w:r>
      <w:r w:rsidR="00791B64" w:rsidRPr="00E11754">
        <w:rPr>
          <w:rFonts w:ascii="Times New Roman" w:hAnsi="Times New Roman" w:cs="Times New Roman"/>
          <w:sz w:val="24"/>
          <w:szCs w:val="24"/>
        </w:rPr>
        <w:t xml:space="preserve"> 1.</w:t>
      </w:r>
      <w:r w:rsidRPr="00E11754">
        <w:rPr>
          <w:rFonts w:ascii="Times New Roman" w:hAnsi="Times New Roman" w:cs="Times New Roman"/>
          <w:sz w:val="24"/>
          <w:szCs w:val="24"/>
        </w:rPr>
        <w:t xml:space="preserve"> w publikacji 1) oraz wykazano jej liniowość w zakresie 1-1000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dla próbek osocza i 0,001-25 µg/ml dla próbek moczu. Parametry LOD i LOQ wynosiły odpowiednio 0,5 i 1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zarówno dla próbek osocza, jak i moczu, co dowodzi, że były niższe </w:t>
      </w:r>
      <w:r w:rsidR="00F14565">
        <w:rPr>
          <w:rFonts w:ascii="Times New Roman" w:hAnsi="Times New Roman" w:cs="Times New Roman"/>
          <w:sz w:val="24"/>
          <w:szCs w:val="24"/>
        </w:rPr>
        <w:fldChar w:fldCharType="begin" w:fldLock="1"/>
      </w:r>
      <w:r w:rsidR="003F3548">
        <w:rPr>
          <w:rFonts w:ascii="Times New Roman" w:hAnsi="Times New Roman" w:cs="Times New Roman"/>
          <w:sz w:val="24"/>
          <w:szCs w:val="24"/>
        </w:rPr>
        <w:instrText>ADDIN CSL_CITATION {"citationItems":[{"id":"ITEM-1","itemData":{"DOI":"10.1016/j.ejps.2010.07.015","ISSN":"09280987","PMID":"20688160","abstract":"Although being used for decades in the treatment of several types of cancer, either alone or in association, only a few data about the pharmacokinetics of doxorubicin (DOX) in humans are available. DOX is frequently used in association with other anticancer drugs in the management of breast cancer. Pharmacokinetic data available in the literature show that after i.v. administration DOX follows a two-compartment open model, with a fast distribution phase followed by a very slow elimination phase. The objective of this work is to perform a pilot study in order to verify if the usual dose adjustment based on body surface area (BSA) would be producing the same plasma concentration-time profiles in patients with normal (&lt;25) and above normal (&gt;25) body mass index (BMI). In order to assess the pharmacokinetics of DOX after a short-term i.v. infusion of 60mg/m2 of BSA, an experimental design using only five plasma samples of each patient was applied. Samples were collected at 0.00, 0.66 (right after the end of infusion), 1.66, 8.66, and 24.66h. DOX pharmacokinetic profiles were evaluated after quantification of DOX using a new HPLC method developed and validated. Pharmacokinetic parameters (AUC0-24.66 and Cmax) were analyzed by non-compartmental and compartmental approaches. Significant differences (α=0.05) between overweight and normal weight groups were found with respect to AUC and Cmax. After adjustment of dose by weight and by BMI, the compartmental model was used to simulate plasma concentrations and new values for Cmax and AUC0-24.66 were calculated. The new values obtained using both body weight (BW) and BMI were closer to the normal group than those obtained with BSA. According to the simulation, the differences of AUC and Cmax between the overweight group and the group of patients with normal weight were lower when the dose was adjusted by BW and BMI. These results suggest that more studies must be conducted, with more patients, in order to evaluate the best dose adjustment for DOX in women with breast cancer and overweight. © 2010.","author":[{"dropping-particle":"","family":"Barpe","given":"Deise Raquel","non-dropping-particle":"","parse-names":false,"suffix":""},{"dropping-particle":"","family":"Rosa","given":"Daniela Dornelles","non-dropping-particle":"","parse-names":false,"suffix":""},{"dropping-particle":"","family":"Froehlich","given":"Pedro Eduardo","non-dropping-particle":"","parse-names":false,"suffix":""}],"container-title":"European Journal of Pharmaceutical Sciences","id":"ITEM-1","issue":"3-4","issued":{"date-parts":[["2010"]]},"page":"458-463","publisher":"Elsevier B.V.","title":"Pharmacokinetic evaluation of doxorubicin plasma levels in normal and overweight patients with breast cancer and simulation of dose adjustment by different indexes of body mass","type":"article-journal","volume":"41"},"uris":["http://www.mendeley.com/documents/?uuid=557dde94-60fa-45b1-bc7a-c645fca1c1f7"]},{"id":"ITEM-2","itemData":{"DOI":"10.1016/j.jpba.2015.04.007","ISSN":"1873264X","PMID":"25910045","abstract":"A specific, sensitive and rapid liquid chromatography tandem mass spectrometry (LC-MS/MS) method has been developed and validated for simultaneous quantification of doxorubicin and curcumin in rat plasma after intravenous administration. The analytes of doxorubicin and curcumin were extracted with methanol precipitation using glibenclamide as internal standard (IS). The chromatographic separation was performed on a C18 column with acetonitrile and 0.1% formic acid water as mobile phase and with gradient elution at a flow rate of 0.2mL/min. Calibration curves were linear over the ranges of 2-8000ng/mL for doxorubicin and 5-2000ng/mL for curcumin (r&gt;0.99). The lower limit of quantification (LLOQ) was 2ng/mL for DOX and 5ng/mL for Cur. Finally, this developed method was successfully applied in the pharmacokinetic study of doxorubicin and curcumin in rats and evaluated the effects of curcumin on the absorption of doxorubicin after intravenous administration.","author":[{"dropping-particle":"","family":"Ma","given":"Wenzhuan","non-dropping-particle":"","parse-names":false,"suffix":""},{"dropping-particle":"","family":"Wang","given":"Jinling","non-dropping-particle":"","parse-names":false,"suffix":""},{"dropping-particle":"","family":"Guo","given":"Qiang","non-dropping-particle":"","parse-names":false,"suffix":""},{"dropping-particle":"","family":"Tu","given":"Pengfei","non-dropping-particle":"","parse-names":false,"suffix":""}],"container-title":"Journal of Pharmaceutical and Biomedical Analysis","id":"ITEM-2","issued":{"date-parts":[["2015"]]},"page":"215-221","publisher":"Elsevier B.V.","title":"Simultaneous determination of doxorubicin and curcumin in rat plasma by LC-MS/MS and its application to pharmacokinetic study","type":"article-journal","volume":"111"},"uris":["http://www.mendeley.com/documents/?uuid=68daa630-16b6-4ad2-ad45-3f9268abb042"]},{"id":"ITEM-3","itemData":{"DOI":"10.1080/10826076.2012.678456","ISSN":"10826076","abstract":"An accurate UPLC method was developed and validated for the simultaneous determination of irinotecan and doxorubicin extracted from murine plasma, along with their major metabolites SN-38 and doxorubicinol, respectively. The parent drugs and metabolites were extracted from plasma by protein precipitation method. Camptothecin was used as the internal standard. Chromatographic separation was performed using an ACQUITY UPLC BEH C18 column (150 × 2.1 mm, particle size of 1.7 μm) at 40°C by means of gradient elution. The mobile phases for gradient elution were consisted of 0.1 % v/v formic acid in either acetonitrile or water. The flow rate was 0.5 mL/min, and the total run time was 7 min. The linear quantitation ranges for parent drugs (irinotecan and doxorubicin) and for metabolites (doxorubicinol and SN-38) were 250-10000 ng/mL and 125-5000 ng/mL, respectively (r2 &gt; 0.99). The lower limit of quantification (LLOQ) for irinotecan and doxorubicin was 250 ng/mL, and the LLOQ for SN-38 and doxorubicinol was 125 ng/mL. The intra- and inter-day relative standard deviation was &lt;10 %, and accuracy was &gt;90%. © 2013 Copyright Taylor and Francis Group, LLC.","author":[{"dropping-particle":"","family":"Shaikh","given":"Ishaque M.","non-dropping-particle":"","parse-names":false,"suffix":""},{"dropping-particle":"","family":"Tan","given":"Kuan Boone","non-dropping-particle":"","parse-names":false,"suffix":""},{"dropping-particle":"","family":"Chiu","given":"Gigi N.C.","non-dropping-particle":"","parse-names":false,"suffix":""}],"container-title":"Journal of Liquid Chromatography and Related Technologies","id":"ITEM-3","issue":"7","issued":{"date-parts":[["2013"]]},"page":"914-925","title":"Simultaneous determination of doxorubicin and irinotecan in conjunction with their major metabolites by ultra high performance liquid chromatography","type":"article-journal","volume":"36"},"uris":["http://www.mendeley.com/documents/?uuid=f5453db9-372b-4f6a-aded-7bab4e03529e"]},{"id":"ITEM-4","itemData":{"DOI":"10.1002/elps.201300237","ISSN":"15222683","PMID":"24114803","abstract":"This paper proposes a novel strategy to enhance detection of doxorubicin in human plasma, using homemade CE combined with normal stacking mode (NSM). The detection system of CE named as in-column tapered optic-fiber light-emitting diode induced fluorescence detection system is economic and more sensitive that has been demonstrated in our previous work. The influence of sample matrix, BGE, applied voltage, and injection time on the efficiency of NSM were systematically investigated. The clean extracts were subjected to CE separation with optimal experimental conditions: Ethanol-water (1:1, v/v) was used as sample matrix, pH 4.12 15 mM sodium phosphate buffer solution containing 70% v/v ACN, applied voltage 23 kV and 45 s hydrodynamic injection at a height of 20 cm. The detection system displayed linear dynamic range from 6.4 to 1.13 × 103 ng/mL with a correlation coefficient of 0.9990 and LOD 2.2 ng/mL for doxorubicin (DOX). The proposed CE method has been successfully applied to determine DOX in human plasma which the recoveries of standard DOX added to human plasma were found to been the range of 93.8-104.6%. The results obtained demonstrate that our detection system combined with NSM is a good idea to enhance sensitivity in CE for routine determination of DOX in some biological specimens. © 2013 WILEY-VCH Verlag GmbH &amp; Co. KGaA, Weinheim.","author":[{"dropping-particle":"","family":"Yang","given":"Xiupei","non-dropping-particle":"","parse-names":false,"suffix":""},{"dropping-particle":"","family":"Qian","given":"Fan","non-dropping-particle":"","parse-names":false,"suffix":""},{"dropping-particle":"","family":"Xie","given":"Linxiang","non-dropping-particle":"","parse-names":false,"suffix":""},{"dropping-particle":"","family":"Yang","given":"Xiaocui","non-dropping-particle":"","parse-names":false,"suffix":""},{"dropping-particle":"","family":"Cheng","given":"Xiumei","non-dropping-particle":"","parse-names":false,"suffix":""},{"dropping-particle":"","family":"Choi","given":"Martin M.F.","non-dropping-particle":"","parse-names":false,"suffix":""}],"container-title":"Electrophoresis","id":"ITEM-4","issue":"5","issued":{"date-parts":[["2014"]]},"page":"762-769","title":"Determination of doxorubicin in plasma by using CE coupled with in-column tapered optic-fiber light-emitting diode induced fluorescence detection","type":"article-journal","volume":"35"},"uris":["http://www.mendeley.com/documents/?uuid=6c06700e-90c9-4b58-8a84-eeee6d5e4960"]},{"id":"ITEM-5","itemData":{"DOI":"10.1016/j.jchromb.2014.02.034","ISSN":"1873376X","PMID":"24631816","abstract":"A rapid and simple UHPLC-fluorescence detection method for the quantification of doxorubicin and its main metabolite, doxorubicinol, in human plasma has been developed. The method was also validated for its application in therapeutic drug monitoring, a clinical approach used in the optimization of oncologic treatments. Following a single protein precipitation step, chromatographic separation was achieved using a C18 column (50mm×2.10mm, particle size 1.7μm) at 50°C with a mobile phase consisting of water (containing 0.4% triethylamine and 0.4% orthophosphoric acid)/acetonitrile (77:23, v/v). Flow rate was 0.50mL/min and fluorescence detection with an excitation wavelength of 470nm and an emission wavelength of 548nm was used. The method met the specifications of linearity, selectivity, sensitivity, accuracy, precision and stability of the FDA and EMA guidelines for the validation of bioanalytical methods. Linearity for the drug (8-3000ng/mL) and the metabolite (3-150ng/mL) was observed (R2&gt;0.992) and the maximum intra-day and inter-day precision coefficients of variation were less than 14% for both. The lower limits of quantification were 8 and 3ng/mL for doxorubicin and doxorubicinol, respectively. The method was successfully applied to the quantify plasma concentrations of doxorubicin and doxorubicinol in 33 patients diagnosed with haematological malignancies in which broad ranges for drug (8.3-2766.0ng/mL) and metabolite (4.8-104.9ng/mL) levels were measured adequately. © 2014 Elsevier B.V.","author":[{"dropping-particle":"","family":"Pérez-Blanco","given":"Jonás Samuel","non-dropping-particle":"","parse-names":false,"suffix":""},{"dropping-particle":"","family":"Fernández de Gatta","given":"María del Mar","non-dropping-particle":"","parse-names":false,"suffix":""},{"dropping-particle":"","family":"Hernández-Rivas","given":"Jesús María","non-dropping-particle":"","parse-names":false,"suffix":""},{"dropping-particle":"","family":"García Sánchez","given":"María José","non-dropping-particle":"","parse-names":false,"suffix":""},{"dropping-particle":"","family":"Sayalero Marinero","given":"María Luisa","non-dropping-particle":"","parse-names":false,"suffix":""},{"dropping-particle":"","family":"González López","given":"Francisco","non-dropping-particle":"","parse-names":false,"suffix":""}],"container-title":"Journal of Chromatography B: Analytical Technologies in the Biomedical and Life Sciences","id":"ITEM-5","issue":"1","issued":{"date-parts":[["2014"]]},"page":"93-97","publisher":"Elsevier B.V.","title":"Validation and clinical evaluation of a UHPLC method with fluorescence detector for plasma quantification of doxorubicin and doxorubicinol in haematological patients","type":"article-journal","volume":"955-956"},"uris":["http://www.mendeley.com/documents/?uuid=8356afac-f8bf-42f5-845f-e9b8e587321e"]},{"id":"ITEM-6","itemData":{"DOI":"10.1016/S0731-7085(02)00442-9","ISSN":"07317085","PMID":"12408897","abstract":"A simple, accurate and precise high-performance liquid chromatographic method was developed and validated for the simultaneous determination of doxorubicin and its three metabolites, including doxorubicinol, doxorubicinolone and doxorubicinone, in rat serum and bile. Following a single protein precipitation step, chromatographic separation was accomplished using a C-18 column with a mobile phase consisting of 50 mM sodium phosphate buffer-acetonitrile-1-propanol (65:25:2, v/v), pH 2.0. The analytes were measured by fluorescence detection with excitation wavelength of 480 nm and emission wavelength of 560 nm. The lower limits of quantitation were 10 ng/ml for doxorubicin, and 5 ng/ml for the three metabolites. The calibration curves were linear over a concentration range of 10-2500 ng/ml for doxorubicin, and 5-1250 ng/ml for its three metabolites. The average recoveries were greater than 89% for all analytes. The within-day and between-day coefficients of variation were generally less than 13%. Doxorubicin and its metabolites were stable in the precipitated serum and bile samples at room temperature in darkness for at least 48 h. This method permitted the analysis of samples without the presence of the anticoagulant sodium citrate and thus was applied to serum and bile samples collected from rats that were administered doxorubicin intravenously in a pharmacokinetic study. © 2002 Elsevier Science B.V. All rights reserved.","author":[{"dropping-particle":"","family":"Zhou","given":"Qingyu","non-dropping-particle":"","parse-names":false,"suffix":""},{"dropping-particle":"","family":"Chowbay","given":"Balram","non-dropping-particle":"","parse-names":false,"suffix":""}],"container-title":"Journal of Pharmaceutical and Biomedical Analysis","id":"ITEM-6","issue":"4","issued":{"date-parts":[["2002"]]},"page":"1063-1074","title":"Determination of doxorubicin and its metabolites in rat serum and bile by LC: Application to preclinical pharmacokinetic studies","type":"article-journal","volume":"30"},"uris":["http://www.mendeley.com/documents/?uuid=79379c44-ec4d-4505-8fdb-e14c9f8d8c7c"]},{"id":"ITEM-7","itemData":{"DOI":"10.1016/j.jpba.2006.06.032","ISSN":"07317085","PMID":"16884884","abstract":"A validated HPLC method was developed for the quantification of doxorubicin in rabbit ocular tissues using solid phase extraction and ultraviolet detection. Chromatographic separation of doxorubicin in various ocular tissues was performed on a C18 column. The mobile phase was composed of 0.2 M KH2PO4 buffer solution, acetonitrile and triethylamine in volumetric ratio of 70/30/0.2, adjusted to pH 4.0 with orthophosphoric acid. The calibration curve was linear over the range of 0.03-10, 0.03-10, 0.05-10 and 0.05-10 μg/ml in vitreous body, iris, retina/choroids and sclera, respectively. The intra-day and inter-day precisions in all ocular tissues were smaller than 4.95% and 5.73%, and the accuracies were about 100%. The extraction recoveries of doxorubicin in all of the ocular tissues were between 83.47% and 96.33%. After intravitreal administration of doxorubicin-loaded poly-β-hydroxybutyrate microspheres, doxorubicin level in ocular tissues was much lower than that for administration of free doxorubicin, which was helpful to reduce the associated toxicity to surrounding tissues. Doxorubicin was detectable even after tens of days in the studied ocular tissues. © 2006 Elsevier B.V. All rights reserved.","author":[{"dropping-particle":"","family":"Hu","given":"Tao","non-dropping-particle":"","parse-names":false,"suffix":""},{"dropping-particle":"","family":"Le","given":"Qihua","non-dropping-particle":"","parse-names":false,"suffix":""},{"dropping-particle":"","family":"Wu","given":"Zhiyi","non-dropping-particle":"","parse-names":false,"suffix":""},{"dropping-particle":"","family":"Wu","given":"Wei","non-dropping-particle":"","parse-names":false,"suffix":""}],"container-title":"Journal of Pharmaceutical and Biomedical Analysis","id":"ITEM-7","issue":"1","issued":{"date-parts":[["2007"]]},"page":"263-269","title":"Determination of doxorubicin in rabbit ocular tissues and pharmacokinetics after intravitreal injection of a single dose of doxorubicin-loaded poly-β-hydroxybutyrate microspheres","type":"article-journal","volume":"43"},"uris":["http://www.mendeley.com/documents/?uuid=2dded347-b193-4fdf-8e33-c48d11657724"]}],"mendeley":{"formattedCitation":"[47], [48], [50]–[52], [56], [59]","plainTextFormattedCitation":"[47], [48], [50]–[52], [56], [59]","previouslyFormattedCitation":"[47], [48], [50]–[52], [56], [59]"},"properties":{"noteIndex":0},"schema":"https://github.com/citation-style-language/schema/raw/master/csl-citation.json"}</w:instrText>
      </w:r>
      <w:r w:rsidR="00F14565">
        <w:rPr>
          <w:rFonts w:ascii="Times New Roman" w:hAnsi="Times New Roman" w:cs="Times New Roman"/>
          <w:sz w:val="24"/>
          <w:szCs w:val="24"/>
        </w:rPr>
        <w:fldChar w:fldCharType="separate"/>
      </w:r>
      <w:r w:rsidR="008D518D" w:rsidRPr="008D518D">
        <w:rPr>
          <w:rFonts w:ascii="Times New Roman" w:hAnsi="Times New Roman" w:cs="Times New Roman"/>
          <w:noProof/>
          <w:sz w:val="24"/>
          <w:szCs w:val="24"/>
        </w:rPr>
        <w:t>[47], [48], [50]–[52], [56], [59]</w:t>
      </w:r>
      <w:r w:rsidR="00F14565">
        <w:rPr>
          <w:rFonts w:ascii="Times New Roman" w:hAnsi="Times New Roman" w:cs="Times New Roman"/>
          <w:sz w:val="24"/>
          <w:szCs w:val="24"/>
        </w:rPr>
        <w:fldChar w:fldCharType="end"/>
      </w:r>
      <w:r w:rsidR="00F14565">
        <w:rPr>
          <w:rFonts w:ascii="Times New Roman" w:hAnsi="Times New Roman" w:cs="Times New Roman"/>
          <w:sz w:val="24"/>
          <w:szCs w:val="24"/>
        </w:rPr>
        <w:t xml:space="preserve"> </w:t>
      </w:r>
      <w:r w:rsidRPr="00E11754">
        <w:rPr>
          <w:rFonts w:ascii="Times New Roman" w:hAnsi="Times New Roman" w:cs="Times New Roman"/>
          <w:sz w:val="24"/>
          <w:szCs w:val="24"/>
        </w:rPr>
        <w:t xml:space="preserve">bądź porównywalne </w:t>
      </w:r>
      <w:r w:rsidR="006964B1">
        <w:rPr>
          <w:rFonts w:ascii="Times New Roman" w:hAnsi="Times New Roman" w:cs="Times New Roman"/>
          <w:sz w:val="24"/>
          <w:szCs w:val="24"/>
        </w:rPr>
        <w:fldChar w:fldCharType="begin" w:fldLock="1"/>
      </w:r>
      <w:r w:rsidR="003F3548">
        <w:rPr>
          <w:rFonts w:ascii="Times New Roman" w:hAnsi="Times New Roman" w:cs="Times New Roman"/>
          <w:sz w:val="24"/>
          <w:szCs w:val="24"/>
        </w:rPr>
        <w:instrText>ADDIN CSL_CITATION {"citationItems":[{"id":"ITEM-1","itemData":{"DOI":"10.1016/j.jchromb.2012.12.012","ISSN":"15700232","PMID":"23337906","abstract":"A sensitive, selective, accurate and precise method for simultaneous quantification of doxorubicin (DOX) and doxorubicinol (DOXol) in human plasma of patients diagnosed as having intermediate stage unresectable hepatocellular carcinoma (HCC) was developed. The method was based on electrospray tandem mass spectrometry in selected reaction monitoring mode. DOX, DOXol and trofosfamide, an internal standard, were extracted from plasma by using a simple solid phase extraction (SPE) procedure after the addition of 0.1. M hydrochloric acid.A 200-μL aliquot of the extracted sample reconstituted in mobile phase was analyzed on a Zorbax SB-C18 UHPLC column (50mm×2.1mm, 1.8μm particle size) in 8min. The mobile phase consisted of acetonitrile and 0.1% formic acid pH 4.5 (95:05 v/v). Good accuracy and precision of this method were demonstrated by determination of spiked plasma QC samples in four consecutive days. The SPE extraction recoveries ranged from 72.3 to 77.3% and 75.5 to 98.4% for doxorubicin and doxorubicinol, respectively. The intra-day and inter-day precisions were less than 11.4%. The limit of quantitation was 1.0ng/mL for both compounds. The calibration curves of DOX and DOXol were analyzed by weighted linear regression with 1/x as a weighting factor. They were linear over the concentration range of 1.0-100.0ng/mL with R2 greater than 0.99.This developed method was successfully applied to study plasma pharmacokinetics in patients affected by HCC and treated with transarterial chemoemolization practices (TACEs) using HepaSphere™ pre-loaded with DOX in a standardized procedure. © 2012 Elsevier B.V.","author":[{"dropping-particle":"","family":"Sottani","given":"Cristina","non-dropping-particle":"","parse-names":false,"suffix":""},{"dropping-particle":"","family":"Poggi","given":"Guido","non-dropping-particle":"","parse-names":false,"suffix":""},{"dropping-particle":"","family":"Melchiorre","given":"Fabio","non-dropping-particle":"","parse-names":false,"suffix":""},{"dropping-particle":"","family":"Montagna","given":"Benedetta","non-dropping-particle":"","parse-names":false,"suffix":""},{"dropping-particle":"","family":"Minoia","given":"Claudio","non-dropping-particle":"","parse-names":false,"suffix":""}],"container-title":"Journal of Chromatography B: Analytical Technologies in the Biomedical and Life Sciences","id":"ITEM-1","issued":{"date-parts":[["2013"]]},"page":"71-78","publisher":"Elsevier B.V.","title":"Simultaneous measurement of doxorubicin and reduced metabolite doxorubicinol by UHPLC-MS/MS in human plasma of HCC patients treated with TACE","type":"article-journal","volume":"915-916"},"uris":["http://www.mendeley.com/documents/?uuid=fdde2879-ac35-40b6-bff0-e5f341fbfaa1"]}],"mendeley":{"formattedCitation":"[53]","plainTextFormattedCitation":"[53]","previouslyFormattedCitation":"[53]"},"properties":{"noteIndex":0},"schema":"https://github.com/citation-style-language/schema/raw/master/csl-citation.json"}</w:instrText>
      </w:r>
      <w:r w:rsidR="006964B1">
        <w:rPr>
          <w:rFonts w:ascii="Times New Roman" w:hAnsi="Times New Roman" w:cs="Times New Roman"/>
          <w:sz w:val="24"/>
          <w:szCs w:val="24"/>
        </w:rPr>
        <w:fldChar w:fldCharType="separate"/>
      </w:r>
      <w:r w:rsidR="008D518D" w:rsidRPr="008D518D">
        <w:rPr>
          <w:rFonts w:ascii="Times New Roman" w:hAnsi="Times New Roman" w:cs="Times New Roman"/>
          <w:noProof/>
          <w:sz w:val="24"/>
          <w:szCs w:val="24"/>
        </w:rPr>
        <w:t>[53]</w:t>
      </w:r>
      <w:r w:rsidR="006964B1">
        <w:rPr>
          <w:rFonts w:ascii="Times New Roman" w:hAnsi="Times New Roman" w:cs="Times New Roman"/>
          <w:sz w:val="24"/>
          <w:szCs w:val="24"/>
        </w:rPr>
        <w:fldChar w:fldCharType="end"/>
      </w:r>
      <w:r w:rsidRPr="00E11754">
        <w:rPr>
          <w:rFonts w:ascii="Times New Roman" w:hAnsi="Times New Roman" w:cs="Times New Roman"/>
          <w:sz w:val="24"/>
          <w:szCs w:val="24"/>
        </w:rPr>
        <w:t xml:space="preserve"> do wcześnie opublikowanych dla protokołów analitycznych dotyczących oznaczeń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w matrycach biologicznych. Precyzja, jak również dokładność, mieściły się w wymaganych zakresach wyznaczonych dla metod </w:t>
      </w:r>
      <w:proofErr w:type="spellStart"/>
      <w:r w:rsidRPr="00E11754">
        <w:rPr>
          <w:rFonts w:ascii="Times New Roman" w:hAnsi="Times New Roman" w:cs="Times New Roman"/>
          <w:sz w:val="24"/>
          <w:szCs w:val="24"/>
        </w:rPr>
        <w:t>bioanalitycznych</w:t>
      </w:r>
      <w:proofErr w:type="spellEnd"/>
      <w:r w:rsidRPr="00E11754">
        <w:rPr>
          <w:rFonts w:ascii="Times New Roman" w:hAnsi="Times New Roman" w:cs="Times New Roman"/>
          <w:sz w:val="24"/>
          <w:szCs w:val="24"/>
        </w:rPr>
        <w:t xml:space="preserve"> (Tabela </w:t>
      </w:r>
      <w:r w:rsidR="00DE09E2" w:rsidRPr="00E11754">
        <w:rPr>
          <w:rFonts w:ascii="Times New Roman" w:hAnsi="Times New Roman" w:cs="Times New Roman"/>
          <w:sz w:val="24"/>
          <w:szCs w:val="24"/>
        </w:rPr>
        <w:t>3.</w:t>
      </w:r>
      <w:r w:rsidRPr="00E11754">
        <w:rPr>
          <w:rFonts w:ascii="Times New Roman" w:hAnsi="Times New Roman" w:cs="Times New Roman"/>
          <w:sz w:val="24"/>
          <w:szCs w:val="24"/>
        </w:rPr>
        <w:t xml:space="preserve"> w publikacji 1). </w:t>
      </w:r>
      <w:r w:rsidRPr="000D6A5E">
        <w:rPr>
          <w:rFonts w:ascii="Times New Roman" w:hAnsi="Times New Roman" w:cs="Times New Roman"/>
          <w:sz w:val="24"/>
          <w:szCs w:val="24"/>
        </w:rPr>
        <w:t xml:space="preserve">Przeprowadzono także badania dotyczące oceny stabilności wzorcowych roztworów </w:t>
      </w:r>
      <w:proofErr w:type="spellStart"/>
      <w:r w:rsidRPr="000D6A5E">
        <w:rPr>
          <w:rFonts w:ascii="Times New Roman" w:hAnsi="Times New Roman" w:cs="Times New Roman"/>
          <w:sz w:val="24"/>
          <w:szCs w:val="24"/>
        </w:rPr>
        <w:t>doksorubicyny</w:t>
      </w:r>
      <w:proofErr w:type="spellEnd"/>
      <w:r w:rsidRPr="000D6A5E">
        <w:rPr>
          <w:rFonts w:ascii="Times New Roman" w:hAnsi="Times New Roman" w:cs="Times New Roman"/>
          <w:sz w:val="24"/>
          <w:szCs w:val="24"/>
        </w:rPr>
        <w:t xml:space="preserve"> oraz próbek biologicznych zawierających ten cytostatyk</w:t>
      </w:r>
      <w:r w:rsidRPr="00E11754">
        <w:rPr>
          <w:rFonts w:ascii="Times New Roman" w:hAnsi="Times New Roman" w:cs="Times New Roman"/>
          <w:sz w:val="24"/>
          <w:szCs w:val="24"/>
        </w:rPr>
        <w:t>, które to przechowywano</w:t>
      </w:r>
      <w:r w:rsidRPr="000D6A5E">
        <w:rPr>
          <w:rFonts w:ascii="Times New Roman" w:hAnsi="Times New Roman" w:cs="Times New Roman"/>
          <w:sz w:val="24"/>
          <w:szCs w:val="24"/>
        </w:rPr>
        <w:t xml:space="preserve"> w zróżnicowanych warunkach </w:t>
      </w:r>
      <w:r w:rsidRPr="00E11754">
        <w:rPr>
          <w:rFonts w:ascii="Times New Roman" w:hAnsi="Times New Roman" w:cs="Times New Roman"/>
          <w:sz w:val="24"/>
          <w:szCs w:val="24"/>
        </w:rPr>
        <w:t xml:space="preserve">eksperymentalnych. Uzyskane dane </w:t>
      </w:r>
      <w:r w:rsidRPr="000D6A5E">
        <w:rPr>
          <w:rFonts w:ascii="Times New Roman" w:hAnsi="Times New Roman" w:cs="Times New Roman"/>
          <w:sz w:val="24"/>
          <w:szCs w:val="24"/>
        </w:rPr>
        <w:t>potwierdziły, ż</w:t>
      </w:r>
      <w:r w:rsidRPr="00E11754">
        <w:rPr>
          <w:rFonts w:ascii="Times New Roman" w:hAnsi="Times New Roman" w:cs="Times New Roman"/>
          <w:sz w:val="24"/>
          <w:szCs w:val="24"/>
        </w:rPr>
        <w:t>e</w:t>
      </w:r>
      <w:r w:rsidRPr="000D6A5E">
        <w:rPr>
          <w:rFonts w:ascii="Times New Roman" w:hAnsi="Times New Roman" w:cs="Times New Roman"/>
          <w:sz w:val="24"/>
          <w:szCs w:val="24"/>
        </w:rPr>
        <w:t xml:space="preserve"> </w:t>
      </w:r>
      <w:proofErr w:type="spellStart"/>
      <w:r w:rsidRPr="000D6A5E">
        <w:rPr>
          <w:rFonts w:ascii="Times New Roman" w:hAnsi="Times New Roman" w:cs="Times New Roman"/>
          <w:sz w:val="24"/>
          <w:szCs w:val="24"/>
        </w:rPr>
        <w:t>doksorubicyna</w:t>
      </w:r>
      <w:proofErr w:type="spellEnd"/>
      <w:r w:rsidRPr="000D6A5E">
        <w:rPr>
          <w:rFonts w:ascii="Times New Roman" w:hAnsi="Times New Roman" w:cs="Times New Roman"/>
          <w:sz w:val="24"/>
          <w:szCs w:val="24"/>
        </w:rPr>
        <w:t xml:space="preserve"> jest stabilna i może być oznaczana w opracowanych warunkach </w:t>
      </w:r>
      <w:r w:rsidR="2C092957" w:rsidRPr="00E11754">
        <w:rPr>
          <w:rFonts w:ascii="Times New Roman" w:hAnsi="Times New Roman" w:cs="Times New Roman"/>
          <w:sz w:val="24"/>
          <w:szCs w:val="24"/>
        </w:rPr>
        <w:t xml:space="preserve">SPE-LC-FL. </w:t>
      </w:r>
    </w:p>
    <w:p w14:paraId="7EB98A7C" w14:textId="7A8240AA" w:rsidR="006C6CAA" w:rsidRPr="00E11754" w:rsidRDefault="006C6CAA" w:rsidP="2C092957">
      <w:pPr>
        <w:spacing w:line="360" w:lineRule="auto"/>
        <w:ind w:firstLine="708"/>
        <w:jc w:val="both"/>
        <w:rPr>
          <w:rFonts w:ascii="Times New Roman" w:hAnsi="Times New Roman" w:cs="Times New Roman"/>
          <w:sz w:val="24"/>
          <w:szCs w:val="24"/>
        </w:rPr>
      </w:pPr>
      <w:r w:rsidRPr="00E11754">
        <w:rPr>
          <w:rFonts w:ascii="Times New Roman" w:hAnsi="Times New Roman" w:cs="Times New Roman"/>
          <w:sz w:val="24"/>
          <w:szCs w:val="24"/>
        </w:rPr>
        <w:t xml:space="preserve">Tym samym </w:t>
      </w:r>
      <w:r w:rsidR="2C092957" w:rsidRPr="00E11754">
        <w:rPr>
          <w:rFonts w:ascii="Times New Roman" w:hAnsi="Times New Roman" w:cs="Times New Roman"/>
          <w:sz w:val="24"/>
          <w:szCs w:val="24"/>
        </w:rPr>
        <w:t>zgromadzone dane walidacyjne udowodniły</w:t>
      </w:r>
      <w:r w:rsidRPr="00E11754">
        <w:rPr>
          <w:rFonts w:ascii="Times New Roman" w:hAnsi="Times New Roman" w:cs="Times New Roman"/>
          <w:sz w:val="24"/>
          <w:szCs w:val="24"/>
        </w:rPr>
        <w:t xml:space="preserve">, że opracowana metoda SPE-LC-FL może być zastosowana do badań klinicznych. </w:t>
      </w:r>
    </w:p>
    <w:p w14:paraId="2F02AD6F" w14:textId="6A61918E" w:rsidR="006C6CAA" w:rsidRPr="00E11754" w:rsidRDefault="006C6CAA" w:rsidP="13A8E3F4">
      <w:pPr>
        <w:spacing w:line="360" w:lineRule="auto"/>
        <w:jc w:val="both"/>
        <w:rPr>
          <w:rFonts w:ascii="Times New Roman" w:hAnsi="Times New Roman" w:cs="Times New Roman"/>
          <w:strike/>
          <w:sz w:val="24"/>
          <w:szCs w:val="24"/>
        </w:rPr>
      </w:pPr>
      <w:r w:rsidRPr="00E11754">
        <w:rPr>
          <w:rFonts w:ascii="Times New Roman" w:hAnsi="Times New Roman" w:cs="Times New Roman"/>
          <w:bCs/>
          <w:sz w:val="24"/>
          <w:szCs w:val="24"/>
        </w:rPr>
        <w:tab/>
      </w:r>
      <w:r w:rsidRPr="00E11754">
        <w:rPr>
          <w:rFonts w:ascii="Times New Roman" w:hAnsi="Times New Roman" w:cs="Times New Roman"/>
          <w:sz w:val="24"/>
          <w:szCs w:val="24"/>
        </w:rPr>
        <w:t xml:space="preserve">Kolejnym etapem badań było potwierdzenie użyteczności opracowanej metody chromatograficznej do kontroli stężenia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w próbach pobranych od pacjentów onkologicznych. W pierwszym przypadku, pacjentem był 15-letni chłopiec z HL, który otrzymywał leki przeciwnowotworowe zgodnie ze schematem II kursu OEPA (</w:t>
      </w:r>
      <w:proofErr w:type="spellStart"/>
      <w:r w:rsidR="003E3F29" w:rsidRPr="00E11754">
        <w:rPr>
          <w:rFonts w:ascii="Times New Roman" w:hAnsi="Times New Roman" w:cs="Times New Roman"/>
          <w:sz w:val="24"/>
          <w:szCs w:val="24"/>
        </w:rPr>
        <w:t>w</w:t>
      </w:r>
      <w:r w:rsidR="00133174" w:rsidRPr="00E11754">
        <w:rPr>
          <w:rFonts w:ascii="Times New Roman" w:hAnsi="Times New Roman" w:cs="Times New Roman"/>
          <w:sz w:val="24"/>
          <w:szCs w:val="24"/>
        </w:rPr>
        <w:t>in</w:t>
      </w:r>
      <w:r w:rsidR="00896B5B" w:rsidRPr="00E11754">
        <w:rPr>
          <w:rFonts w:ascii="Times New Roman" w:hAnsi="Times New Roman" w:cs="Times New Roman"/>
          <w:sz w:val="24"/>
          <w:szCs w:val="24"/>
        </w:rPr>
        <w:t>krystyna</w:t>
      </w:r>
      <w:proofErr w:type="spellEnd"/>
      <w:r w:rsidR="00896B5B" w:rsidRPr="00E11754">
        <w:rPr>
          <w:rFonts w:ascii="Times New Roman" w:hAnsi="Times New Roman" w:cs="Times New Roman"/>
          <w:sz w:val="24"/>
          <w:szCs w:val="24"/>
        </w:rPr>
        <w:t xml:space="preserve">, </w:t>
      </w:r>
      <w:proofErr w:type="spellStart"/>
      <w:r w:rsidR="003E3F29" w:rsidRPr="00E11754">
        <w:rPr>
          <w:rFonts w:ascii="Times New Roman" w:hAnsi="Times New Roman" w:cs="Times New Roman"/>
          <w:sz w:val="24"/>
          <w:szCs w:val="24"/>
        </w:rPr>
        <w:lastRenderedPageBreak/>
        <w:t>e</w:t>
      </w:r>
      <w:r w:rsidR="00BF4499" w:rsidRPr="00E11754">
        <w:rPr>
          <w:rFonts w:ascii="Times New Roman" w:hAnsi="Times New Roman" w:cs="Times New Roman"/>
          <w:sz w:val="24"/>
          <w:szCs w:val="24"/>
        </w:rPr>
        <w:t>top</w:t>
      </w:r>
      <w:r w:rsidR="00172075" w:rsidRPr="00E11754">
        <w:rPr>
          <w:rFonts w:ascii="Times New Roman" w:hAnsi="Times New Roman" w:cs="Times New Roman"/>
          <w:sz w:val="24"/>
          <w:szCs w:val="24"/>
        </w:rPr>
        <w:t>ozyd</w:t>
      </w:r>
      <w:proofErr w:type="spellEnd"/>
      <w:r w:rsidR="00172075" w:rsidRPr="00E11754">
        <w:rPr>
          <w:rFonts w:ascii="Times New Roman" w:hAnsi="Times New Roman" w:cs="Times New Roman"/>
          <w:sz w:val="24"/>
          <w:szCs w:val="24"/>
        </w:rPr>
        <w:t xml:space="preserve">, </w:t>
      </w:r>
      <w:proofErr w:type="spellStart"/>
      <w:r w:rsidR="003E3F29" w:rsidRPr="00E11754">
        <w:rPr>
          <w:rFonts w:ascii="Times New Roman" w:hAnsi="Times New Roman" w:cs="Times New Roman"/>
          <w:sz w:val="24"/>
          <w:szCs w:val="24"/>
        </w:rPr>
        <w:t>p</w:t>
      </w:r>
      <w:r w:rsidR="008E45F5" w:rsidRPr="00E11754">
        <w:rPr>
          <w:rFonts w:ascii="Times New Roman" w:hAnsi="Times New Roman" w:cs="Times New Roman"/>
          <w:sz w:val="24"/>
          <w:szCs w:val="24"/>
        </w:rPr>
        <w:t>rednizon</w:t>
      </w:r>
      <w:proofErr w:type="spellEnd"/>
      <w:r w:rsidR="008E45F5" w:rsidRPr="00E11754">
        <w:rPr>
          <w:rFonts w:ascii="Times New Roman" w:hAnsi="Times New Roman" w:cs="Times New Roman"/>
          <w:sz w:val="24"/>
          <w:szCs w:val="24"/>
        </w:rPr>
        <w:t xml:space="preserve">, </w:t>
      </w:r>
      <w:proofErr w:type="spellStart"/>
      <w:r w:rsidR="003E3F29" w:rsidRPr="00E11754">
        <w:rPr>
          <w:rFonts w:ascii="Times New Roman" w:hAnsi="Times New Roman" w:cs="Times New Roman"/>
          <w:sz w:val="24"/>
          <w:szCs w:val="24"/>
        </w:rPr>
        <w:t>d</w:t>
      </w:r>
      <w:r w:rsidR="004A0F16" w:rsidRPr="00E11754">
        <w:rPr>
          <w:rFonts w:ascii="Times New Roman" w:hAnsi="Times New Roman" w:cs="Times New Roman"/>
          <w:sz w:val="24"/>
          <w:szCs w:val="24"/>
        </w:rPr>
        <w:t>oksorubicyna</w:t>
      </w:r>
      <w:proofErr w:type="spellEnd"/>
      <w:r w:rsidR="003A34CC" w:rsidRPr="00E11754">
        <w:rPr>
          <w:rFonts w:ascii="Times New Roman" w:hAnsi="Times New Roman" w:cs="Times New Roman"/>
          <w:sz w:val="24"/>
          <w:szCs w:val="24"/>
        </w:rPr>
        <w:t>)</w:t>
      </w:r>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Doksorubicyna</w:t>
      </w:r>
      <w:proofErr w:type="spellEnd"/>
      <w:r w:rsidRPr="00E11754">
        <w:rPr>
          <w:rFonts w:ascii="Times New Roman" w:hAnsi="Times New Roman" w:cs="Times New Roman"/>
          <w:sz w:val="24"/>
          <w:szCs w:val="24"/>
        </w:rPr>
        <w:t xml:space="preserve"> była podawana w pojedynczym 4 h wlewie dożylnym w dawce 40 mg/m</w:t>
      </w:r>
      <w:r w:rsidRPr="00E11754">
        <w:rPr>
          <w:rFonts w:ascii="Times New Roman" w:hAnsi="Times New Roman" w:cs="Times New Roman"/>
          <w:sz w:val="24"/>
          <w:szCs w:val="24"/>
          <w:vertAlign w:val="superscript"/>
        </w:rPr>
        <w:t>2</w:t>
      </w:r>
      <w:r w:rsidRPr="00E11754">
        <w:rPr>
          <w:rFonts w:ascii="Times New Roman" w:hAnsi="Times New Roman" w:cs="Times New Roman"/>
          <w:sz w:val="24"/>
          <w:szCs w:val="24"/>
        </w:rPr>
        <w:t xml:space="preserve"> powierzchni ciała. Próbki osocza i moczu pobierano przez przed podaniem leku oraz w określonych przedziałach czasowych przez 48 h od rozpoczęcia wlewu dożylnego. </w:t>
      </w:r>
    </w:p>
    <w:p w14:paraId="14C454DE" w14:textId="623312BC" w:rsidR="006C6CAA" w:rsidRPr="00E11754" w:rsidRDefault="13A8E3F4" w:rsidP="2C092957">
      <w:pPr>
        <w:spacing w:line="360" w:lineRule="auto"/>
        <w:ind w:firstLine="708"/>
        <w:jc w:val="both"/>
        <w:rPr>
          <w:rFonts w:ascii="Times New Roman" w:hAnsi="Times New Roman" w:cs="Times New Roman"/>
          <w:sz w:val="24"/>
          <w:szCs w:val="24"/>
        </w:rPr>
      </w:pPr>
      <w:r w:rsidRPr="00E11754">
        <w:rPr>
          <w:rFonts w:ascii="Times New Roman" w:hAnsi="Times New Roman" w:cs="Times New Roman"/>
          <w:sz w:val="24"/>
          <w:szCs w:val="24"/>
        </w:rPr>
        <w:t xml:space="preserve">W drugim </w:t>
      </w:r>
      <w:r w:rsidR="68E6CAD3" w:rsidRPr="00E11754">
        <w:rPr>
          <w:rFonts w:ascii="Times New Roman" w:hAnsi="Times New Roman" w:cs="Times New Roman"/>
          <w:sz w:val="24"/>
          <w:szCs w:val="24"/>
        </w:rPr>
        <w:t>badaniu,</w:t>
      </w:r>
      <w:r w:rsidRPr="00E11754">
        <w:rPr>
          <w:rFonts w:ascii="Times New Roman" w:hAnsi="Times New Roman" w:cs="Times New Roman"/>
          <w:sz w:val="24"/>
          <w:szCs w:val="24"/>
        </w:rPr>
        <w:t xml:space="preserve"> pacjentem był 17-letni chłopiec </w:t>
      </w:r>
      <w:r w:rsidR="68E6CAD3" w:rsidRPr="00E11754">
        <w:rPr>
          <w:rFonts w:ascii="Times New Roman" w:hAnsi="Times New Roman" w:cs="Times New Roman"/>
          <w:sz w:val="24"/>
          <w:szCs w:val="24"/>
        </w:rPr>
        <w:t>z</w:t>
      </w:r>
      <w:r w:rsidRPr="00E11754">
        <w:rPr>
          <w:rFonts w:ascii="Times New Roman" w:hAnsi="Times New Roman" w:cs="Times New Roman"/>
          <w:sz w:val="24"/>
          <w:szCs w:val="24"/>
        </w:rPr>
        <w:t xml:space="preserve"> RMS obszaru głowy i szyi, który</w:t>
      </w:r>
      <w:r w:rsidR="008818BA" w:rsidRPr="00E11754">
        <w:rPr>
          <w:rFonts w:ascii="Times New Roman" w:hAnsi="Times New Roman" w:cs="Times New Roman"/>
          <w:sz w:val="24"/>
          <w:szCs w:val="24"/>
        </w:rPr>
        <w:t xml:space="preserve"> </w:t>
      </w:r>
      <w:r w:rsidRPr="00E11754">
        <w:rPr>
          <w:rFonts w:ascii="Times New Roman" w:hAnsi="Times New Roman" w:cs="Times New Roman"/>
          <w:sz w:val="24"/>
          <w:szCs w:val="24"/>
        </w:rPr>
        <w:t>otrzymywał chemioterapię w schemacie IOA (</w:t>
      </w:r>
      <w:proofErr w:type="spellStart"/>
      <w:r w:rsidR="68E6CAD3" w:rsidRPr="00E11754">
        <w:rPr>
          <w:rFonts w:ascii="Times New Roman" w:hAnsi="Times New Roman" w:cs="Times New Roman"/>
          <w:sz w:val="24"/>
          <w:szCs w:val="24"/>
        </w:rPr>
        <w:t>ifosfamid</w:t>
      </w:r>
      <w:proofErr w:type="spellEnd"/>
      <w:r w:rsidR="68E6CAD3" w:rsidRPr="00E11754">
        <w:rPr>
          <w:rFonts w:ascii="Times New Roman" w:hAnsi="Times New Roman" w:cs="Times New Roman"/>
          <w:sz w:val="24"/>
          <w:szCs w:val="24"/>
        </w:rPr>
        <w:t xml:space="preserve">, </w:t>
      </w:r>
      <w:proofErr w:type="spellStart"/>
      <w:r w:rsidR="00694A0B" w:rsidRPr="00E11754">
        <w:rPr>
          <w:rFonts w:ascii="Times New Roman" w:hAnsi="Times New Roman" w:cs="Times New Roman"/>
          <w:sz w:val="24"/>
          <w:szCs w:val="24"/>
        </w:rPr>
        <w:t>winkrystyna</w:t>
      </w:r>
      <w:proofErr w:type="spellEnd"/>
      <w:r w:rsidR="00694A0B" w:rsidRPr="00E11754">
        <w:rPr>
          <w:rFonts w:ascii="Times New Roman" w:hAnsi="Times New Roman" w:cs="Times New Roman"/>
          <w:sz w:val="24"/>
          <w:szCs w:val="24"/>
        </w:rPr>
        <w:t xml:space="preserve">, </w:t>
      </w:r>
      <w:proofErr w:type="spellStart"/>
      <w:r w:rsidR="00D14FC7" w:rsidRPr="00E11754">
        <w:rPr>
          <w:rFonts w:ascii="Times New Roman" w:hAnsi="Times New Roman" w:cs="Times New Roman"/>
          <w:sz w:val="24"/>
          <w:szCs w:val="24"/>
        </w:rPr>
        <w:t>doksorubicyna</w:t>
      </w:r>
      <w:proofErr w:type="spellEnd"/>
      <w:r w:rsidR="68E6CAD3" w:rsidRPr="00E11754">
        <w:rPr>
          <w:rFonts w:ascii="Times New Roman" w:hAnsi="Times New Roman" w:cs="Times New Roman"/>
          <w:sz w:val="24"/>
          <w:szCs w:val="24"/>
        </w:rPr>
        <w:t>).</w:t>
      </w:r>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Doksorubicyna</w:t>
      </w:r>
      <w:proofErr w:type="spellEnd"/>
      <w:r w:rsidRPr="00E11754">
        <w:rPr>
          <w:rFonts w:ascii="Times New Roman" w:hAnsi="Times New Roman" w:cs="Times New Roman"/>
          <w:sz w:val="24"/>
          <w:szCs w:val="24"/>
        </w:rPr>
        <w:t xml:space="preserve"> była podawana w </w:t>
      </w:r>
      <w:r w:rsidR="68E6CAD3" w:rsidRPr="00E11754">
        <w:rPr>
          <w:rFonts w:ascii="Times New Roman" w:hAnsi="Times New Roman" w:cs="Times New Roman"/>
          <w:sz w:val="24"/>
          <w:szCs w:val="24"/>
        </w:rPr>
        <w:t xml:space="preserve">dwóch wlewach dożylnych w </w:t>
      </w:r>
      <w:r w:rsidR="5F44927D" w:rsidRPr="5F44927D">
        <w:rPr>
          <w:rFonts w:ascii="Times New Roman" w:hAnsi="Times New Roman" w:cs="Times New Roman"/>
          <w:sz w:val="24"/>
          <w:szCs w:val="24"/>
        </w:rPr>
        <w:t xml:space="preserve">12 godzinnym </w:t>
      </w:r>
      <w:r w:rsidR="68E6CAD3" w:rsidRPr="00E11754">
        <w:rPr>
          <w:rFonts w:ascii="Times New Roman" w:hAnsi="Times New Roman" w:cs="Times New Roman"/>
          <w:sz w:val="24"/>
          <w:szCs w:val="24"/>
        </w:rPr>
        <w:t xml:space="preserve">odstępie </w:t>
      </w:r>
      <w:r w:rsidR="5F44927D" w:rsidRPr="5F44927D">
        <w:rPr>
          <w:rFonts w:ascii="Times New Roman" w:hAnsi="Times New Roman" w:cs="Times New Roman"/>
          <w:sz w:val="24"/>
          <w:szCs w:val="24"/>
        </w:rPr>
        <w:t>czasowym</w:t>
      </w:r>
      <w:r w:rsidR="68E6CAD3" w:rsidRPr="00E11754">
        <w:rPr>
          <w:rFonts w:ascii="Times New Roman" w:hAnsi="Times New Roman" w:cs="Times New Roman"/>
          <w:sz w:val="24"/>
          <w:szCs w:val="24"/>
        </w:rPr>
        <w:t>, każdy</w:t>
      </w:r>
      <w:r w:rsidRPr="00E11754">
        <w:rPr>
          <w:rFonts w:ascii="Times New Roman" w:hAnsi="Times New Roman" w:cs="Times New Roman"/>
          <w:sz w:val="24"/>
          <w:szCs w:val="24"/>
        </w:rPr>
        <w:t xml:space="preserve"> </w:t>
      </w:r>
      <w:r w:rsidR="5F44927D" w:rsidRPr="5F44927D">
        <w:rPr>
          <w:rFonts w:ascii="Times New Roman" w:hAnsi="Times New Roman" w:cs="Times New Roman"/>
          <w:sz w:val="24"/>
          <w:szCs w:val="24"/>
        </w:rPr>
        <w:t>wlew był 4</w:t>
      </w:r>
      <w:r w:rsidRPr="00E11754">
        <w:rPr>
          <w:rFonts w:ascii="Times New Roman" w:hAnsi="Times New Roman" w:cs="Times New Roman"/>
          <w:sz w:val="24"/>
          <w:szCs w:val="24"/>
        </w:rPr>
        <w:t xml:space="preserve"> h w dawce 20 mg/m</w:t>
      </w:r>
      <w:r w:rsidRPr="00E11754">
        <w:rPr>
          <w:rFonts w:ascii="Times New Roman" w:hAnsi="Times New Roman" w:cs="Times New Roman"/>
          <w:sz w:val="24"/>
          <w:szCs w:val="24"/>
          <w:vertAlign w:val="superscript"/>
        </w:rPr>
        <w:t>2</w:t>
      </w:r>
      <w:r w:rsidRPr="00E11754">
        <w:rPr>
          <w:rFonts w:ascii="Times New Roman" w:hAnsi="Times New Roman" w:cs="Times New Roman"/>
          <w:sz w:val="24"/>
          <w:szCs w:val="24"/>
        </w:rPr>
        <w:t xml:space="preserve"> powierzchni ciała. Próbki osocza </w:t>
      </w:r>
      <w:r w:rsidR="68E6CAD3" w:rsidRPr="00E11754">
        <w:rPr>
          <w:rFonts w:ascii="Times New Roman" w:hAnsi="Times New Roman" w:cs="Times New Roman"/>
          <w:sz w:val="24"/>
          <w:szCs w:val="24"/>
        </w:rPr>
        <w:t xml:space="preserve">i moczu </w:t>
      </w:r>
      <w:r w:rsidRPr="00E11754">
        <w:rPr>
          <w:rFonts w:ascii="Times New Roman" w:hAnsi="Times New Roman" w:cs="Times New Roman"/>
          <w:sz w:val="24"/>
          <w:szCs w:val="24"/>
        </w:rPr>
        <w:t xml:space="preserve">pobierano przed rozpoczęciem, a także w określonych przedziałach czasowych do </w:t>
      </w:r>
      <w:r w:rsidR="68E6CAD3" w:rsidRPr="00E11754">
        <w:rPr>
          <w:rFonts w:ascii="Times New Roman" w:hAnsi="Times New Roman" w:cs="Times New Roman"/>
          <w:sz w:val="24"/>
          <w:szCs w:val="24"/>
        </w:rPr>
        <w:t>36 h od rozpoczęcia pierwszego wlewu</w:t>
      </w:r>
      <w:r w:rsidRPr="00E11754">
        <w:rPr>
          <w:rFonts w:ascii="Times New Roman" w:hAnsi="Times New Roman" w:cs="Times New Roman"/>
          <w:sz w:val="24"/>
          <w:szCs w:val="24"/>
        </w:rPr>
        <w:t xml:space="preserve">.  </w:t>
      </w:r>
    </w:p>
    <w:p w14:paraId="45211ED1" w14:textId="3C975D37" w:rsidR="006C6CAA" w:rsidRPr="00E11754" w:rsidRDefault="008C7AFD" w:rsidP="2C092957">
      <w:p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ab/>
      </w:r>
      <w:r w:rsidR="006C6CAA" w:rsidRPr="00E11754">
        <w:rPr>
          <w:rFonts w:ascii="Times New Roman" w:hAnsi="Times New Roman" w:cs="Times New Roman"/>
          <w:sz w:val="24"/>
          <w:szCs w:val="24"/>
        </w:rPr>
        <w:t xml:space="preserve">Zebrane próbki analizowano z zastosowaniem opracowanej metody SPE-LC-FL, a uzyskane profile stężeń </w:t>
      </w:r>
      <w:proofErr w:type="spellStart"/>
      <w:r w:rsidR="006C6CAA" w:rsidRPr="00E11754">
        <w:rPr>
          <w:rFonts w:ascii="Times New Roman" w:hAnsi="Times New Roman" w:cs="Times New Roman"/>
          <w:sz w:val="24"/>
          <w:szCs w:val="24"/>
        </w:rPr>
        <w:t>doksorubicyny</w:t>
      </w:r>
      <w:proofErr w:type="spellEnd"/>
      <w:r w:rsidR="006C6CAA" w:rsidRPr="00E11754">
        <w:rPr>
          <w:rFonts w:ascii="Times New Roman" w:hAnsi="Times New Roman" w:cs="Times New Roman"/>
          <w:sz w:val="24"/>
          <w:szCs w:val="24"/>
        </w:rPr>
        <w:t xml:space="preserve"> wskazały, że w przypadku pierwszego pacjenta stężenie maksymalne (</w:t>
      </w:r>
      <w:proofErr w:type="spellStart"/>
      <w:r w:rsidR="006C6CAA" w:rsidRPr="00E11754">
        <w:rPr>
          <w:rFonts w:ascii="Times New Roman" w:hAnsi="Times New Roman" w:cs="Times New Roman"/>
          <w:sz w:val="24"/>
          <w:szCs w:val="24"/>
        </w:rPr>
        <w:t>C</w:t>
      </w:r>
      <w:r w:rsidR="006C6CAA" w:rsidRPr="00E11754">
        <w:rPr>
          <w:rFonts w:ascii="Times New Roman" w:hAnsi="Times New Roman" w:cs="Times New Roman"/>
          <w:sz w:val="24"/>
          <w:szCs w:val="24"/>
          <w:vertAlign w:val="subscript"/>
        </w:rPr>
        <w:t>max</w:t>
      </w:r>
      <w:proofErr w:type="spellEnd"/>
      <w:r w:rsidR="006C6CAA" w:rsidRPr="00E11754">
        <w:rPr>
          <w:rFonts w:ascii="Times New Roman" w:hAnsi="Times New Roman" w:cs="Times New Roman"/>
          <w:sz w:val="24"/>
          <w:szCs w:val="24"/>
        </w:rPr>
        <w:t xml:space="preserve">) leku w osoczu oznaczono w 4 h po podaniu (252,2 </w:t>
      </w:r>
      <w:proofErr w:type="spellStart"/>
      <w:r w:rsidR="13A8E3F4" w:rsidRPr="00E11754">
        <w:rPr>
          <w:rFonts w:ascii="Times New Roman" w:hAnsi="Times New Roman" w:cs="Times New Roman"/>
          <w:sz w:val="24"/>
          <w:szCs w:val="24"/>
        </w:rPr>
        <w:t>ng</w:t>
      </w:r>
      <w:proofErr w:type="spellEnd"/>
      <w:r w:rsidR="2C092957" w:rsidRPr="00E11754">
        <w:rPr>
          <w:rFonts w:ascii="Times New Roman" w:hAnsi="Times New Roman" w:cs="Times New Roman"/>
          <w:sz w:val="24"/>
          <w:szCs w:val="24"/>
        </w:rPr>
        <w:t xml:space="preserve">/ml) (Fig. 3. w publikacji 1). Po osiągnięciu </w:t>
      </w:r>
      <w:proofErr w:type="spellStart"/>
      <w:r w:rsidR="2C092957" w:rsidRPr="00E11754">
        <w:rPr>
          <w:rFonts w:ascii="Times New Roman" w:hAnsi="Times New Roman" w:cs="Times New Roman"/>
          <w:sz w:val="24"/>
          <w:szCs w:val="24"/>
        </w:rPr>
        <w:t>C</w:t>
      </w:r>
      <w:r w:rsidR="2C092957" w:rsidRPr="00E11754">
        <w:rPr>
          <w:rFonts w:ascii="Times New Roman" w:hAnsi="Times New Roman" w:cs="Times New Roman"/>
          <w:sz w:val="24"/>
          <w:szCs w:val="24"/>
          <w:vertAlign w:val="subscript"/>
        </w:rPr>
        <w:t>max</w:t>
      </w:r>
      <w:proofErr w:type="spellEnd"/>
      <w:r w:rsidR="2C092957" w:rsidRPr="00E11754">
        <w:rPr>
          <w:rFonts w:ascii="Times New Roman" w:hAnsi="Times New Roman" w:cs="Times New Roman"/>
          <w:sz w:val="24"/>
          <w:szCs w:val="24"/>
          <w:vertAlign w:val="subscript"/>
        </w:rPr>
        <w:t>,</w:t>
      </w:r>
      <w:r w:rsidR="2C092957" w:rsidRPr="00E11754">
        <w:rPr>
          <w:rFonts w:ascii="Times New Roman" w:hAnsi="Times New Roman" w:cs="Times New Roman"/>
          <w:sz w:val="24"/>
          <w:szCs w:val="24"/>
        </w:rPr>
        <w:t xml:space="preserve"> poziom </w:t>
      </w:r>
      <w:proofErr w:type="spellStart"/>
      <w:r w:rsidR="2C092957" w:rsidRPr="00E11754">
        <w:rPr>
          <w:rFonts w:ascii="Times New Roman" w:hAnsi="Times New Roman" w:cs="Times New Roman"/>
          <w:sz w:val="24"/>
          <w:szCs w:val="24"/>
        </w:rPr>
        <w:t>doksorubicyny</w:t>
      </w:r>
      <w:proofErr w:type="spellEnd"/>
      <w:r w:rsidR="2C092957" w:rsidRPr="00E11754">
        <w:rPr>
          <w:rFonts w:ascii="Times New Roman" w:hAnsi="Times New Roman" w:cs="Times New Roman"/>
          <w:sz w:val="24"/>
          <w:szCs w:val="24"/>
        </w:rPr>
        <w:t xml:space="preserve"> spadał do 6 h, a następnie podnosił się do wartości 38 </w:t>
      </w:r>
      <w:proofErr w:type="spellStart"/>
      <w:r w:rsidR="2C092957" w:rsidRPr="00E11754">
        <w:rPr>
          <w:rFonts w:ascii="Times New Roman" w:hAnsi="Times New Roman" w:cs="Times New Roman"/>
          <w:sz w:val="24"/>
          <w:szCs w:val="24"/>
        </w:rPr>
        <w:t>ng</w:t>
      </w:r>
      <w:proofErr w:type="spellEnd"/>
      <w:r w:rsidR="2C092957" w:rsidRPr="00E11754">
        <w:rPr>
          <w:rFonts w:ascii="Times New Roman" w:hAnsi="Times New Roman" w:cs="Times New Roman"/>
          <w:sz w:val="24"/>
          <w:szCs w:val="24"/>
        </w:rPr>
        <w:t xml:space="preserve">/ml (10 h), aby po ponownym obniżeniu, wzroście i spadku osiągnąć 10,7 </w:t>
      </w:r>
      <w:proofErr w:type="spellStart"/>
      <w:r w:rsidR="2C092957" w:rsidRPr="00E11754">
        <w:rPr>
          <w:rFonts w:ascii="Times New Roman" w:hAnsi="Times New Roman" w:cs="Times New Roman"/>
          <w:sz w:val="24"/>
          <w:szCs w:val="24"/>
        </w:rPr>
        <w:t>ng</w:t>
      </w:r>
      <w:proofErr w:type="spellEnd"/>
      <w:r w:rsidR="13A8E3F4" w:rsidRPr="00E11754">
        <w:rPr>
          <w:rFonts w:ascii="Times New Roman" w:hAnsi="Times New Roman" w:cs="Times New Roman"/>
          <w:sz w:val="24"/>
          <w:szCs w:val="24"/>
        </w:rPr>
        <w:t xml:space="preserve">/ml w 48 h po podaniu leku. Profil ten, jak i wartość </w:t>
      </w:r>
      <w:proofErr w:type="spellStart"/>
      <w:r w:rsidR="13A8E3F4" w:rsidRPr="00E11754">
        <w:rPr>
          <w:rFonts w:ascii="Times New Roman" w:hAnsi="Times New Roman" w:cs="Times New Roman"/>
          <w:sz w:val="24"/>
          <w:szCs w:val="24"/>
        </w:rPr>
        <w:t>C</w:t>
      </w:r>
      <w:r w:rsidR="2C092957" w:rsidRPr="00E11754">
        <w:rPr>
          <w:rFonts w:ascii="Times New Roman" w:hAnsi="Times New Roman" w:cs="Times New Roman"/>
          <w:sz w:val="24"/>
          <w:szCs w:val="24"/>
          <w:vertAlign w:val="subscript"/>
        </w:rPr>
        <w:t>max</w:t>
      </w:r>
      <w:proofErr w:type="spellEnd"/>
      <w:r w:rsidR="2C092957" w:rsidRPr="00E11754">
        <w:rPr>
          <w:rFonts w:ascii="Times New Roman" w:hAnsi="Times New Roman" w:cs="Times New Roman"/>
          <w:sz w:val="24"/>
          <w:szCs w:val="24"/>
          <w:vertAlign w:val="subscript"/>
        </w:rPr>
        <w:t xml:space="preserve"> </w:t>
      </w:r>
      <w:r w:rsidR="13A8E3F4" w:rsidRPr="00E11754">
        <w:rPr>
          <w:rFonts w:ascii="Times New Roman" w:hAnsi="Times New Roman" w:cs="Times New Roman"/>
          <w:sz w:val="24"/>
          <w:szCs w:val="24"/>
        </w:rPr>
        <w:t xml:space="preserve">była porównywalna do danych opisanych w literaturze, co dowodzi, że ten cytostatyk nie wchodzi w interakcje z innymi lekami protokołu </w:t>
      </w:r>
      <w:r w:rsidR="2C092957" w:rsidRPr="00E11754">
        <w:rPr>
          <w:rFonts w:ascii="Times New Roman" w:hAnsi="Times New Roman" w:cs="Times New Roman"/>
          <w:sz w:val="24"/>
          <w:szCs w:val="24"/>
        </w:rPr>
        <w:t>OEPA</w:t>
      </w:r>
      <w:r w:rsidR="006964B1">
        <w:rPr>
          <w:rFonts w:ascii="Times New Roman" w:hAnsi="Times New Roman" w:cs="Times New Roman"/>
          <w:sz w:val="24"/>
          <w:szCs w:val="24"/>
        </w:rPr>
        <w:t xml:space="preserve"> </w:t>
      </w:r>
      <w:r w:rsidR="006964B1">
        <w:rPr>
          <w:rFonts w:ascii="Times New Roman" w:hAnsi="Times New Roman" w:cs="Times New Roman"/>
          <w:sz w:val="24"/>
          <w:szCs w:val="24"/>
        </w:rPr>
        <w:fldChar w:fldCharType="begin" w:fldLock="1"/>
      </w:r>
      <w:r w:rsidR="00195DAD">
        <w:rPr>
          <w:rFonts w:ascii="Times New Roman" w:hAnsi="Times New Roman" w:cs="Times New Roman"/>
          <w:sz w:val="24"/>
          <w:szCs w:val="24"/>
        </w:rPr>
        <w:instrText>ADDIN CSL_CITATION {"citationItems":[{"id":"ITEM-1","itemData":{"DOI":"10.1080/08880010701451343","ISSN":"08880018","PMID":"17710661","abstract":"This case report presents the pharmacokinetics of doxorubicin and etoposide in a 14-year-old morbidly obese (body mass index: 46.3 kg/m2) male patient with Hodgkin disease. Dosing based on an adjusted body surface area resulted in a dose reduction by approximately 25% as compared to dosing based on actual body surface area. Plasma clearance of doxorubicin as well as plasma clearance and elimination rate of etoposide for this patient was comparable to pharmacokinetic data from nonobese pediatric patients. The therapy was well tolerated without any specific toxicity and a complete response was obtained after 2 scheduled courses, with the patient in complete remission 25 months after end of treatment. Copyright © Informa Healthcare USA, Inc.","author":[{"dropping-particle":"","family":"Ritzmo","given":"Carina","non-dropping-particle":"","parse-names":false,"suffix":""},{"dropping-particle":"","family":"Söderhäll","given":"Stefan","non-dropping-particle":"","parse-names":false,"suffix":""},{"dropping-particle":"","family":"Karlén","given":"Jonas","non-dropping-particle":"","parse-names":false,"suffix":""},{"dropping-particle":"","family":"Nygren","given":"Helen","non-dropping-particle":"","parse-names":false,"suffix":""},{"dropping-particle":"","family":"Eksborg","given":"Staffan","non-dropping-particle":"","parse-names":false,"suffix":""}],"container-title":"Pediatric Hematology and Oncology","id":"ITEM-1","issue":"6","issued":{"date-parts":[["2007"]]},"page":"437-445","title":"Pharmacokinetics of doxorubicin and etoposide in a morbidly obese pediatric patient","type":"article-journal","volume":"24"},"uris":["http://www.mendeley.com/documents/?uuid=e62a2728-ed68-4a41-bf43-fa0f3d321f7d"]},{"id":"ITEM-2","itemData":{"DOI":"10.1097/00001813-200002000-00010","ISSN":"09594973","PMID":"10789596","abstract":"Antraquinone glycosides are an important class of antineoplastic drugs, frequently used for treatment of a variety of malignancies in children. Doxorubicin (Dox) is the most frequently used drug within this class of antineoplastics. 4'-epi-doxorubicin (Epi), a Dox isomer, was developed with the aim of reducing risks for fatal heart toxicity observed with Dox. The aim of the present study was to investigate the pharmacokinetics of Dox and Epi in children with acute lymphocytic leukemia. In total 31 patients (13 females and 18 males; median age 5.4 years; range 0.73-15.3 years) were studied using a simplified sampling procedure. The pharmacokinetic differences of the two drugs were established by their simultaneous administration. The plasma pharmacokinetics of neither Dox nor Epi correlated with the age of the patients. There were no gender differences in dose-normalized maximum concentrations of neither Dox nor of Epi. The inter-patient variation of the dose-normalized maximum concentrations of Dox and Epi is larger among females than among males. The C(max) ratio Dox/Epi was 1.39 ± 0.19 (mean ± SD). The pharmacokinetic differences of Dox and Epi in children, although less pronounced than in adults, are still of a magnitude that might be of clinical importance. (C) 2000 Lippincott Williams and Wilkins.","author":[{"dropping-particle":"","family":"Eksborg","given":"Staffan","non-dropping-particle":"","parse-names":false,"suffix":""},{"dropping-particle":"","family":"Palm","given":"Carina","non-dropping-particle":"","parse-names":false,"suffix":""},{"dropping-particle":"","family":"Björk","given":"Olle","non-dropping-particle":"","parse-names":false,"suffix":""}],"container-title":"Anti-Cancer Drugs","id":"ITEM-2","issue":"2","issued":{"date-parts":[["2000"]]},"page":"129-136","title":"A comparative pharmacokinetic study of doxorubicin and 4'-epi-doxorubicin in children with acute lymphocytic leukemia using a limited sampling procedure","type":"article-journal","volume":"11"},"uris":["http://www.mendeley.com/documents/?uuid=5b85479b-38fb-4937-9801-51e38e914b00"]},{"id":"ITEM-3","itemData":{"DOI":"10.1007/BF00609693","ISSN":"00316970","PMID":"3987800","abstract":"The plasma pharmacokinetics of adriamycin has been studied in 21 cancer patients (31-85 years old) without liver tumours after short (3.00 min) and prolonged (45 min-16h) i.v. infusions. The area under the plasma concentration-time curve and the maximum plasma concentration compensated for dose variation showed a more than 3-fold individual variation. The pharmacokinetics of adriamycin was linear. There was no pharmacokinetic rational for variation of the dose with the age of the patients. There was good agreement between the measured plasma concentration-time curves for prolonged infusions and curves predicted from pharmacokinetic data from short term infusions. © 1985 Springer-Verlag.","author":[{"dropping-particle":"","family":"Eksborg","given":"S.","non-dropping-particle":"","parse-names":false,"suffix":""},{"dropping-particle":"","family":"Strandler","given":"H. S.","non-dropping-particle":"","parse-names":false,"suffix":""},{"dropping-particle":"","family":"Edsmyr","given":"F.","non-dropping-particle":"","parse-names":false,"suffix":""},{"dropping-particle":"","family":"Näslund","given":"I.","non-dropping-particle":"","parse-names":false,"suffix":""},{"dropping-particle":"","family":"Tahvanainen","given":"P.","non-dropping-particle":"","parse-names":false,"suffix":""}],"container-title":"European Journal of Clinical Pharmacology","id":"ITEM-3","issue":"2","issued":{"date-parts":[["1985"]]},"page":"205-212","title":"Pharmacokinetic study of IV infusions of adriamycin","type":"article-journal","volume":"28"},"uris":["http://www.mendeley.com/documents/?uuid=0aac9f9b-968d-4a50-9bcd-c1960d49a22f"]}],"mendeley":{"formattedCitation":"[61]–[63]","plainTextFormattedCitation":"[61]–[63]","previouslyFormattedCitation":"[61]–[63]"},"properties":{"noteIndex":0},"schema":"https://github.com/citation-style-language/schema/raw/master/csl-citation.json"}</w:instrText>
      </w:r>
      <w:r w:rsidR="006964B1">
        <w:rPr>
          <w:rFonts w:ascii="Times New Roman" w:hAnsi="Times New Roman" w:cs="Times New Roman"/>
          <w:sz w:val="24"/>
          <w:szCs w:val="24"/>
        </w:rPr>
        <w:fldChar w:fldCharType="separate"/>
      </w:r>
      <w:r w:rsidR="00446FEF" w:rsidRPr="00446FEF">
        <w:rPr>
          <w:rFonts w:ascii="Times New Roman" w:hAnsi="Times New Roman" w:cs="Times New Roman"/>
          <w:noProof/>
          <w:sz w:val="24"/>
          <w:szCs w:val="24"/>
        </w:rPr>
        <w:t>[61]–[63]</w:t>
      </w:r>
      <w:r w:rsidR="006964B1">
        <w:rPr>
          <w:rFonts w:ascii="Times New Roman" w:hAnsi="Times New Roman" w:cs="Times New Roman"/>
          <w:sz w:val="24"/>
          <w:szCs w:val="24"/>
        </w:rPr>
        <w:fldChar w:fldCharType="end"/>
      </w:r>
      <w:r w:rsidR="2C092957" w:rsidRPr="00E11754">
        <w:rPr>
          <w:rFonts w:ascii="Times New Roman" w:hAnsi="Times New Roman" w:cs="Times New Roman"/>
          <w:sz w:val="24"/>
          <w:szCs w:val="24"/>
        </w:rPr>
        <w:t xml:space="preserve">. Należy także zauważyć, że w przypadku moczu, najwyższe stężenie (17868,8 </w:t>
      </w:r>
      <w:proofErr w:type="spellStart"/>
      <w:r w:rsidR="2C092957" w:rsidRPr="00E11754">
        <w:rPr>
          <w:rFonts w:ascii="Times New Roman" w:hAnsi="Times New Roman" w:cs="Times New Roman"/>
          <w:sz w:val="24"/>
          <w:szCs w:val="24"/>
        </w:rPr>
        <w:t>ng</w:t>
      </w:r>
      <w:proofErr w:type="spellEnd"/>
      <w:r w:rsidR="13A8E3F4" w:rsidRPr="00E11754">
        <w:rPr>
          <w:rFonts w:ascii="Times New Roman" w:hAnsi="Times New Roman" w:cs="Times New Roman"/>
          <w:sz w:val="24"/>
          <w:szCs w:val="24"/>
        </w:rPr>
        <w:t>/ml)</w:t>
      </w:r>
      <w:r w:rsidR="006C6CAA" w:rsidRPr="00E11754">
        <w:rPr>
          <w:rFonts w:ascii="Times New Roman" w:hAnsi="Times New Roman" w:cs="Times New Roman"/>
          <w:sz w:val="24"/>
          <w:szCs w:val="24"/>
        </w:rPr>
        <w:t xml:space="preserve"> </w:t>
      </w:r>
      <w:r w:rsidR="13A8E3F4" w:rsidRPr="00E11754">
        <w:rPr>
          <w:rFonts w:ascii="Times New Roman" w:hAnsi="Times New Roman" w:cs="Times New Roman"/>
          <w:sz w:val="24"/>
          <w:szCs w:val="24"/>
        </w:rPr>
        <w:t xml:space="preserve">odnotowano dla próbki </w:t>
      </w:r>
      <w:r w:rsidR="006C6CAA" w:rsidRPr="00E11754">
        <w:rPr>
          <w:rFonts w:ascii="Times New Roman" w:hAnsi="Times New Roman" w:cs="Times New Roman"/>
          <w:sz w:val="24"/>
          <w:szCs w:val="24"/>
        </w:rPr>
        <w:t>zebranej w przedziale 0-4 h,</w:t>
      </w:r>
      <w:r w:rsidR="13A8E3F4" w:rsidRPr="00E11754">
        <w:rPr>
          <w:rFonts w:ascii="Times New Roman" w:hAnsi="Times New Roman" w:cs="Times New Roman"/>
          <w:sz w:val="24"/>
          <w:szCs w:val="24"/>
        </w:rPr>
        <w:t xml:space="preserve"> co wskazuje, że ten poziom był</w:t>
      </w:r>
      <w:r w:rsidR="006C6CAA" w:rsidRPr="00E11754">
        <w:rPr>
          <w:rFonts w:ascii="Times New Roman" w:hAnsi="Times New Roman" w:cs="Times New Roman"/>
          <w:sz w:val="24"/>
          <w:szCs w:val="24"/>
        </w:rPr>
        <w:t xml:space="preserve"> prawie 70 razy wyższy niż w osoczu w tym samym czasie.</w:t>
      </w:r>
      <w:r w:rsidR="13A8E3F4" w:rsidRPr="00E11754">
        <w:rPr>
          <w:rFonts w:ascii="Times New Roman" w:hAnsi="Times New Roman" w:cs="Times New Roman"/>
          <w:sz w:val="24"/>
          <w:szCs w:val="24"/>
        </w:rPr>
        <w:t xml:space="preserve"> W</w:t>
      </w:r>
      <w:r w:rsidR="2C092957" w:rsidRPr="00E11754">
        <w:rPr>
          <w:rFonts w:ascii="Times New Roman" w:hAnsi="Times New Roman" w:cs="Times New Roman"/>
          <w:sz w:val="24"/>
          <w:szCs w:val="24"/>
        </w:rPr>
        <w:t xml:space="preserve"> kolejnych przedziałach czasowych stężenie leku malało do wartości 427,4 mg/ml w 48 h od rozpoczęcia wlewu. Tak wysoki poziom może wskazywać na potencjalne ryzyko narażenia personelu medycznego oraz członków rodziny/opiekunów na negatywne skutki działania </w:t>
      </w:r>
      <w:proofErr w:type="spellStart"/>
      <w:r w:rsidR="2C092957" w:rsidRPr="00E11754">
        <w:rPr>
          <w:rFonts w:ascii="Times New Roman" w:hAnsi="Times New Roman" w:cs="Times New Roman"/>
          <w:sz w:val="24"/>
          <w:szCs w:val="24"/>
        </w:rPr>
        <w:t>doksorubicyny</w:t>
      </w:r>
      <w:proofErr w:type="spellEnd"/>
      <w:r w:rsidR="2C092957" w:rsidRPr="00E11754">
        <w:rPr>
          <w:rFonts w:ascii="Times New Roman" w:hAnsi="Times New Roman" w:cs="Times New Roman"/>
          <w:sz w:val="24"/>
          <w:szCs w:val="24"/>
        </w:rPr>
        <w:t xml:space="preserve"> w bezpośrednim kontakcie z moczem pacjenta.  </w:t>
      </w:r>
    </w:p>
    <w:p w14:paraId="203B01F0" w14:textId="3B9B742F" w:rsidR="2100169C" w:rsidRPr="00E11754" w:rsidRDefault="02602357" w:rsidP="2C092957">
      <w:pPr>
        <w:spacing w:line="360" w:lineRule="auto"/>
        <w:ind w:firstLine="708"/>
        <w:jc w:val="both"/>
        <w:rPr>
          <w:rFonts w:ascii="Times New Roman" w:eastAsia="Calibri" w:hAnsi="Times New Roman" w:cs="Times New Roman"/>
          <w:color w:val="000000" w:themeColor="text1"/>
          <w:sz w:val="24"/>
          <w:szCs w:val="24"/>
          <w:highlight w:val="green"/>
        </w:rPr>
      </w:pPr>
      <w:r w:rsidRPr="02602357">
        <w:rPr>
          <w:rFonts w:ascii="Times New Roman" w:hAnsi="Times New Roman" w:cs="Times New Roman"/>
          <w:sz w:val="24"/>
          <w:szCs w:val="24"/>
        </w:rPr>
        <w:t xml:space="preserve">W drugim przypadku, </w:t>
      </w:r>
      <w:proofErr w:type="spellStart"/>
      <w:r w:rsidRPr="02602357">
        <w:rPr>
          <w:rFonts w:ascii="Times New Roman" w:hAnsi="Times New Roman" w:cs="Times New Roman"/>
          <w:sz w:val="24"/>
          <w:szCs w:val="24"/>
        </w:rPr>
        <w:t>C</w:t>
      </w:r>
      <w:r w:rsidRPr="02602357">
        <w:rPr>
          <w:rFonts w:ascii="Times New Roman" w:hAnsi="Times New Roman" w:cs="Times New Roman"/>
          <w:sz w:val="24"/>
          <w:szCs w:val="24"/>
          <w:vertAlign w:val="subscript"/>
        </w:rPr>
        <w:t>max</w:t>
      </w:r>
      <w:proofErr w:type="spellEnd"/>
      <w:r w:rsidRPr="02602357">
        <w:rPr>
          <w:rFonts w:ascii="Times New Roman" w:hAnsi="Times New Roman" w:cs="Times New Roman"/>
          <w:sz w:val="24"/>
          <w:szCs w:val="24"/>
        </w:rPr>
        <w:t xml:space="preserve"> analizowanego leku także było oznaczone w 4 h po rozpoczęciu wlewu, ale na niższym poziomie (98,4 </w:t>
      </w:r>
      <w:proofErr w:type="spellStart"/>
      <w:r w:rsidRPr="02602357">
        <w:rPr>
          <w:rFonts w:ascii="Times New Roman" w:hAnsi="Times New Roman" w:cs="Times New Roman"/>
          <w:sz w:val="24"/>
          <w:szCs w:val="24"/>
        </w:rPr>
        <w:t>ng</w:t>
      </w:r>
      <w:proofErr w:type="spellEnd"/>
      <w:r w:rsidRPr="02602357">
        <w:rPr>
          <w:rFonts w:ascii="Times New Roman" w:hAnsi="Times New Roman" w:cs="Times New Roman"/>
          <w:sz w:val="24"/>
          <w:szCs w:val="24"/>
        </w:rPr>
        <w:t xml:space="preserve">/ml), gdy w moczu w tym samym przedziale czasowym (0-4 h) jego maksymalne stężenie było 95-krotnie wyższe niż w osoczu (9436,2 </w:t>
      </w:r>
      <w:proofErr w:type="spellStart"/>
      <w:r w:rsidRPr="02602357">
        <w:rPr>
          <w:rFonts w:ascii="Times New Roman" w:hAnsi="Times New Roman" w:cs="Times New Roman"/>
          <w:sz w:val="24"/>
          <w:szCs w:val="24"/>
        </w:rPr>
        <w:t>ng</w:t>
      </w:r>
      <w:proofErr w:type="spellEnd"/>
      <w:r w:rsidRPr="02602357">
        <w:rPr>
          <w:rFonts w:ascii="Times New Roman" w:hAnsi="Times New Roman" w:cs="Times New Roman"/>
          <w:sz w:val="24"/>
          <w:szCs w:val="24"/>
        </w:rPr>
        <w:t xml:space="preserve">/ml) (Fig. 4. w publikacji 1). W kolejnym przedziale czasowym stężenie </w:t>
      </w:r>
      <w:proofErr w:type="spellStart"/>
      <w:r w:rsidRPr="02602357">
        <w:rPr>
          <w:rFonts w:ascii="Times New Roman" w:hAnsi="Times New Roman" w:cs="Times New Roman"/>
          <w:sz w:val="24"/>
          <w:szCs w:val="24"/>
        </w:rPr>
        <w:t>doksorubicyny</w:t>
      </w:r>
      <w:proofErr w:type="spellEnd"/>
      <w:r w:rsidRPr="02602357">
        <w:rPr>
          <w:rFonts w:ascii="Times New Roman" w:hAnsi="Times New Roman" w:cs="Times New Roman"/>
          <w:sz w:val="24"/>
          <w:szCs w:val="24"/>
        </w:rPr>
        <w:t xml:space="preserve"> w osoczu malało, aby w 8 h ponownie wzrosnąć do 42,7 </w:t>
      </w:r>
      <w:proofErr w:type="spellStart"/>
      <w:r w:rsidRPr="02602357">
        <w:rPr>
          <w:rFonts w:ascii="Times New Roman" w:hAnsi="Times New Roman" w:cs="Times New Roman"/>
          <w:sz w:val="24"/>
          <w:szCs w:val="24"/>
        </w:rPr>
        <w:t>ng</w:t>
      </w:r>
      <w:proofErr w:type="spellEnd"/>
      <w:r w:rsidRPr="02602357">
        <w:rPr>
          <w:rFonts w:ascii="Times New Roman" w:hAnsi="Times New Roman" w:cs="Times New Roman"/>
          <w:sz w:val="24"/>
          <w:szCs w:val="24"/>
        </w:rPr>
        <w:t xml:space="preserve">/ml. Z uwagi na fakt, iż w schemacie IOA podanie leku było dwukrotne, a nie pobrano próbek tuż przed i zaraz po drugim podaniu leku, kolejne </w:t>
      </w:r>
      <w:proofErr w:type="spellStart"/>
      <w:r w:rsidRPr="02602357">
        <w:rPr>
          <w:rFonts w:ascii="Times New Roman" w:hAnsi="Times New Roman" w:cs="Times New Roman"/>
          <w:sz w:val="24"/>
          <w:szCs w:val="24"/>
        </w:rPr>
        <w:t>C</w:t>
      </w:r>
      <w:r w:rsidRPr="02602357">
        <w:rPr>
          <w:rFonts w:ascii="Times New Roman" w:hAnsi="Times New Roman" w:cs="Times New Roman"/>
          <w:sz w:val="24"/>
          <w:szCs w:val="24"/>
          <w:vertAlign w:val="subscript"/>
        </w:rPr>
        <w:t>max</w:t>
      </w:r>
      <w:proofErr w:type="spellEnd"/>
      <w:r w:rsidRPr="02602357">
        <w:rPr>
          <w:rFonts w:ascii="Times New Roman" w:hAnsi="Times New Roman" w:cs="Times New Roman"/>
          <w:sz w:val="24"/>
          <w:szCs w:val="24"/>
          <w:vertAlign w:val="subscript"/>
        </w:rPr>
        <w:t xml:space="preserve"> </w:t>
      </w:r>
      <w:r w:rsidRPr="02602357">
        <w:rPr>
          <w:rFonts w:ascii="Times New Roman" w:hAnsi="Times New Roman" w:cs="Times New Roman"/>
          <w:sz w:val="24"/>
          <w:szCs w:val="24"/>
        </w:rPr>
        <w:t xml:space="preserve">obliczono na podstawie programu komputerowego NON-MEM określając wartość na poziomie 132,6 </w:t>
      </w:r>
      <w:proofErr w:type="spellStart"/>
      <w:r w:rsidRPr="02602357">
        <w:rPr>
          <w:rFonts w:ascii="Times New Roman" w:hAnsi="Times New Roman" w:cs="Times New Roman"/>
          <w:sz w:val="24"/>
          <w:szCs w:val="24"/>
        </w:rPr>
        <w:t>ng</w:t>
      </w:r>
      <w:proofErr w:type="spellEnd"/>
      <w:r w:rsidRPr="02602357">
        <w:rPr>
          <w:rFonts w:ascii="Times New Roman" w:hAnsi="Times New Roman" w:cs="Times New Roman"/>
          <w:sz w:val="24"/>
          <w:szCs w:val="24"/>
        </w:rPr>
        <w:t xml:space="preserve">/ml i czas jego osiągnięcia na 17 h od </w:t>
      </w:r>
      <w:r w:rsidRPr="02602357">
        <w:rPr>
          <w:rFonts w:ascii="Times New Roman" w:hAnsi="Times New Roman" w:cs="Times New Roman"/>
          <w:sz w:val="24"/>
          <w:szCs w:val="24"/>
        </w:rPr>
        <w:lastRenderedPageBreak/>
        <w:t xml:space="preserve">rozpoczęcia pierwszego wlewu. W kolejnych pomiarach, stężenie malało aż do uzyskania poziomu 8,7 </w:t>
      </w:r>
      <w:proofErr w:type="spellStart"/>
      <w:r w:rsidRPr="02602357">
        <w:rPr>
          <w:rFonts w:ascii="Times New Roman" w:hAnsi="Times New Roman" w:cs="Times New Roman"/>
          <w:sz w:val="24"/>
          <w:szCs w:val="24"/>
        </w:rPr>
        <w:t>ng</w:t>
      </w:r>
      <w:proofErr w:type="spellEnd"/>
      <w:r w:rsidRPr="02602357">
        <w:rPr>
          <w:rFonts w:ascii="Times New Roman" w:hAnsi="Times New Roman" w:cs="Times New Roman"/>
          <w:sz w:val="24"/>
          <w:szCs w:val="24"/>
        </w:rPr>
        <w:t xml:space="preserve">/ml w 36 h od rozpoczęcia pierwszego wlewu. Powyższy profil stężeń </w:t>
      </w:r>
      <w:proofErr w:type="spellStart"/>
      <w:r w:rsidRPr="02602357">
        <w:rPr>
          <w:rFonts w:ascii="Times New Roman" w:hAnsi="Times New Roman" w:cs="Times New Roman"/>
          <w:sz w:val="24"/>
          <w:szCs w:val="24"/>
        </w:rPr>
        <w:t>doksorubicyny</w:t>
      </w:r>
      <w:proofErr w:type="spellEnd"/>
      <w:r w:rsidRPr="02602357">
        <w:rPr>
          <w:rFonts w:ascii="Times New Roman" w:hAnsi="Times New Roman" w:cs="Times New Roman"/>
          <w:sz w:val="24"/>
          <w:szCs w:val="24"/>
        </w:rPr>
        <w:t xml:space="preserve"> w osoczu był porównywalny do danych literaturowych odnoszących się do farmakokinetyki </w:t>
      </w:r>
      <w:proofErr w:type="spellStart"/>
      <w:r w:rsidRPr="02602357">
        <w:rPr>
          <w:rFonts w:ascii="Times New Roman" w:hAnsi="Times New Roman" w:cs="Times New Roman"/>
          <w:sz w:val="24"/>
          <w:szCs w:val="24"/>
        </w:rPr>
        <w:t>doksorubicyny</w:t>
      </w:r>
      <w:proofErr w:type="spellEnd"/>
      <w:r w:rsidRPr="02602357">
        <w:rPr>
          <w:rFonts w:ascii="Times New Roman" w:hAnsi="Times New Roman" w:cs="Times New Roman"/>
          <w:sz w:val="24"/>
          <w:szCs w:val="24"/>
        </w:rPr>
        <w:t xml:space="preserve">  po podaniu zgodnie z protokołem IOA </w:t>
      </w:r>
      <w:r w:rsidR="006C6CAA" w:rsidRPr="02602357">
        <w:rPr>
          <w:rFonts w:ascii="Times New Roman" w:hAnsi="Times New Roman" w:cs="Times New Roman"/>
          <w:sz w:val="24"/>
          <w:szCs w:val="24"/>
        </w:rPr>
        <w:fldChar w:fldCharType="begin" w:fldLock="1"/>
      </w:r>
      <w:r w:rsidR="00195DAD">
        <w:rPr>
          <w:rFonts w:ascii="Times New Roman" w:hAnsi="Times New Roman" w:cs="Times New Roman"/>
          <w:sz w:val="24"/>
          <w:szCs w:val="24"/>
        </w:rPr>
        <w:instrText>ADDIN CSL_CITATION {"citationItems":[{"id":"ITEM-1","itemData":{"DOI":"10.1007/s00280-016-3174-8","ISSN":"14320843","PMID":"27770238","abstract":"Purpose: Doxorubicin is a key component in many pediatric oncology treatment regimens; still pharmacology data on which current dosing regimens are based are very limited. Methods: We conducted a multinational pharmacokinetic study investigating age dependency of doxorubicin metabolism and elimination in children with cancer. One hundred and one patients treated with doxorubicin according to a cancer-specific national or European therapeutic trial were recruited. Doses of doxorubicin ranged from 10.4 to 57.7 mg/m2. Blood samples for measurement of doxorubicin and its metabolite doxorubicinol were collected after two administrations, with five samples collected in children &lt;3 years and eight in children ≥3 years. A population pharmacokinetic approach was used for analysis, including pharmacogenetic covariates. Natriuretic peptides and cardiac troponins were measured to evaluate their role as early indicators of cardiotoxicity. Results: Age dependence of doxorubicin clearance was demonstrated, with children less than 3 years having a statistically significant lower clearance (21.1 ± 5.8 l/h/m2) than older children (26.6 ± 6.7 l/h/m2) (p = 0.0004) after correcting for body surface area. No effect of the investigated genetic polymorphisms on the pharmacokinetics could be observed. Although natriuretic peptides were transiently elevated after each doxorubicin administration and troponin levels increased with increasing doxorubicin exposure, only limited correlation could be observed between their blood levels and doxorubicin pharmacokinetics. Conclusion: In the European framework of funding and regulatory support, an add-on study to existing therapeutic trials was developed. The pediatric need concerning missing PK data could be addressed with limited burden for the patients. Empirically used dose adaptations for infants were generally found to be justified based on our PK analyses.","author":[{"dropping-particle":"","family":"Krischke","given":"Miriam","non-dropping-particle":"","parse-names":false,"suffix":""},{"dropping-particle":"","family":"Hempel","given":"Georg","non-dropping-particle":"","parse-names":false,"suffix":""},{"dropping-particle":"","family":"Völler","given":"Swantje","non-dropping-particle":"","parse-names":false,"suffix":""},{"dropping-particle":"","family":"André","given":"Nicolas","non-dropping-particle":"","parse-names":false,"suffix":""},{"dropping-particle":"","family":"D’Incalci","given":"Maurizio","non-dropping-particle":"","parse-names":false,"suffix":""},{"dropping-particle":"","family":"Bisogno","given":"Gianni","non-dropping-particle":"","parse-names":false,"suffix":""},{"dropping-particle":"","family":"Köpcke","given":"Wolfgang","non-dropping-particle":"","parse-names":false,"suffix":""},{"dropping-particle":"","family":"Borowski","given":"Matthias","non-dropping-particle":"","parse-names":false,"suffix":""},{"dropping-particle":"","family":"Herold","given":"Ralf","non-dropping-particle":"","parse-names":false,"suffix":""},{"dropping-particle":"V.","family":"Boddy","given":"Alan","non-dropping-particle":"","parse-names":false,"suffix":""},{"dropping-particle":"","family":"Boos","given":"Joachim","non-dropping-particle":"","parse-names":false,"suffix":""}],"container-title":"Cancer Chemotherapy and Pharmacology","id":"ITEM-1","issue":"6","issued":{"date-parts":[["2016"]]},"page":"1175-1184","publisher":"Springer Berlin Heidelberg","title":"Pharmacokinetic and pharmacodynamic study of doxorubicin in children with cancer: results of a “European Pediatric Oncology Off-patents Medicines Consortium” trial","type":"article-journal","volume":"78"},"uris":["http://www.mendeley.com/documents/?uuid=4dd9156c-7431-4f39-b129-f6c554a67ef3"]}],"mendeley":{"formattedCitation":"[64]","plainTextFormattedCitation":"[64]","previouslyFormattedCitation":"[64]"},"properties":{"noteIndex":0},"schema":"https://github.com/citation-style-language/schema/raw/master/csl-citation.json"}</w:instrText>
      </w:r>
      <w:r w:rsidR="006C6CAA" w:rsidRPr="02602357">
        <w:rPr>
          <w:rFonts w:ascii="Times New Roman" w:hAnsi="Times New Roman" w:cs="Times New Roman"/>
          <w:sz w:val="24"/>
          <w:szCs w:val="24"/>
        </w:rPr>
        <w:fldChar w:fldCharType="separate"/>
      </w:r>
      <w:r w:rsidR="00446FEF" w:rsidRPr="00446FEF">
        <w:rPr>
          <w:rFonts w:ascii="Times New Roman" w:hAnsi="Times New Roman" w:cs="Times New Roman"/>
          <w:noProof/>
          <w:sz w:val="24"/>
          <w:szCs w:val="24"/>
        </w:rPr>
        <w:t>[64]</w:t>
      </w:r>
      <w:r w:rsidR="006C6CAA" w:rsidRPr="02602357">
        <w:rPr>
          <w:rFonts w:ascii="Times New Roman" w:hAnsi="Times New Roman" w:cs="Times New Roman"/>
          <w:sz w:val="24"/>
          <w:szCs w:val="24"/>
        </w:rPr>
        <w:fldChar w:fldCharType="end"/>
      </w:r>
      <w:r w:rsidRPr="02602357">
        <w:rPr>
          <w:rFonts w:ascii="Times New Roman" w:hAnsi="Times New Roman" w:cs="Times New Roman"/>
          <w:sz w:val="24"/>
          <w:szCs w:val="24"/>
        </w:rPr>
        <w:t xml:space="preserve">. Jednakże, </w:t>
      </w:r>
      <w:r w:rsidRPr="02602357">
        <w:rPr>
          <w:rFonts w:ascii="Times New Roman" w:eastAsia="Times New Roman" w:hAnsi="Times New Roman" w:cs="Times New Roman"/>
          <w:sz w:val="24"/>
          <w:szCs w:val="24"/>
        </w:rPr>
        <w:t>p</w:t>
      </w:r>
      <w:r w:rsidRPr="02602357">
        <w:rPr>
          <w:rFonts w:ascii="Times New Roman" w:eastAsia="Times New Roman" w:hAnsi="Times New Roman" w:cs="Times New Roman"/>
          <w:color w:val="000000" w:themeColor="text1"/>
          <w:sz w:val="24"/>
          <w:szCs w:val="24"/>
        </w:rPr>
        <w:t xml:space="preserve">omimo prostoty i braku inwazyjności w pobieraniu próbek moczu brakuje kompletnych danych opisujących poziom stężeń </w:t>
      </w:r>
      <w:proofErr w:type="spellStart"/>
      <w:r w:rsidRPr="02602357">
        <w:rPr>
          <w:rFonts w:ascii="Times New Roman" w:eastAsia="Times New Roman" w:hAnsi="Times New Roman" w:cs="Times New Roman"/>
          <w:color w:val="000000" w:themeColor="text1"/>
          <w:sz w:val="24"/>
          <w:szCs w:val="24"/>
        </w:rPr>
        <w:t>doksorubicyny</w:t>
      </w:r>
      <w:proofErr w:type="spellEnd"/>
      <w:r w:rsidRPr="02602357">
        <w:rPr>
          <w:rFonts w:ascii="Times New Roman" w:eastAsia="Times New Roman" w:hAnsi="Times New Roman" w:cs="Times New Roman"/>
          <w:color w:val="000000" w:themeColor="text1"/>
          <w:sz w:val="24"/>
          <w:szCs w:val="24"/>
        </w:rPr>
        <w:t xml:space="preserve"> w tej matrycy biologicznej. Jak wspomniano powyżej, u pacjenta leczonego zgodnie z protokołem IOA także odnotowano bardzo wysokie stężenie tego leku w pierwszych godzinach po podaniu, które utrzymywało się na relatywnie wysokim poziomie do 36 h. To zaś potwierdza, że istnieje pewne ryzyko ekspozycji na </w:t>
      </w:r>
      <w:proofErr w:type="spellStart"/>
      <w:r w:rsidRPr="02602357">
        <w:rPr>
          <w:rFonts w:ascii="Times New Roman" w:eastAsia="Times New Roman" w:hAnsi="Times New Roman" w:cs="Times New Roman"/>
          <w:color w:val="000000" w:themeColor="text1"/>
          <w:sz w:val="24"/>
          <w:szCs w:val="24"/>
        </w:rPr>
        <w:t>doksorubicynę</w:t>
      </w:r>
      <w:proofErr w:type="spellEnd"/>
      <w:r w:rsidRPr="02602357">
        <w:rPr>
          <w:rFonts w:ascii="Times New Roman" w:eastAsia="Times New Roman" w:hAnsi="Times New Roman" w:cs="Times New Roman"/>
          <w:color w:val="000000" w:themeColor="text1"/>
          <w:sz w:val="24"/>
          <w:szCs w:val="24"/>
        </w:rPr>
        <w:t xml:space="preserve"> osób mających kontakt z moczem pacjenta. Takie ryzyko wskazywał </w:t>
      </w:r>
      <w:proofErr w:type="spellStart"/>
      <w:r w:rsidRPr="02602357">
        <w:rPr>
          <w:rFonts w:ascii="Times New Roman" w:eastAsia="Times New Roman" w:hAnsi="Times New Roman" w:cs="Times New Roman"/>
          <w:color w:val="000000" w:themeColor="text1"/>
          <w:sz w:val="24"/>
          <w:szCs w:val="24"/>
        </w:rPr>
        <w:t>Sottani</w:t>
      </w:r>
      <w:proofErr w:type="spellEnd"/>
      <w:r w:rsidRPr="02602357">
        <w:rPr>
          <w:rFonts w:ascii="Times New Roman" w:eastAsia="Times New Roman" w:hAnsi="Times New Roman" w:cs="Times New Roman"/>
          <w:color w:val="000000" w:themeColor="text1"/>
          <w:sz w:val="24"/>
          <w:szCs w:val="24"/>
        </w:rPr>
        <w:t xml:space="preserve"> i </w:t>
      </w:r>
      <w:proofErr w:type="spellStart"/>
      <w:r w:rsidRPr="02602357">
        <w:rPr>
          <w:rFonts w:ascii="Times New Roman" w:eastAsia="Times New Roman" w:hAnsi="Times New Roman" w:cs="Times New Roman"/>
          <w:color w:val="000000" w:themeColor="text1"/>
          <w:sz w:val="24"/>
          <w:szCs w:val="24"/>
        </w:rPr>
        <w:t>współ</w:t>
      </w:r>
      <w:proofErr w:type="spellEnd"/>
      <w:r w:rsidRPr="02602357">
        <w:rPr>
          <w:rFonts w:ascii="Times New Roman" w:eastAsia="Times New Roman" w:hAnsi="Times New Roman" w:cs="Times New Roman"/>
          <w:color w:val="000000" w:themeColor="text1"/>
          <w:sz w:val="24"/>
          <w:szCs w:val="24"/>
        </w:rPr>
        <w:t xml:space="preserve">. </w:t>
      </w:r>
      <w:r w:rsidR="006C6CAA" w:rsidRPr="02602357">
        <w:rPr>
          <w:rFonts w:ascii="Times New Roman" w:eastAsia="Times New Roman" w:hAnsi="Times New Roman" w:cs="Times New Roman"/>
          <w:color w:val="000000" w:themeColor="text1"/>
          <w:sz w:val="24"/>
          <w:szCs w:val="24"/>
        </w:rPr>
        <w:fldChar w:fldCharType="begin" w:fldLock="1"/>
      </w:r>
      <w:r w:rsidR="003F3548">
        <w:rPr>
          <w:rFonts w:ascii="Times New Roman" w:eastAsia="Times New Roman" w:hAnsi="Times New Roman" w:cs="Times New Roman"/>
          <w:color w:val="000000" w:themeColor="text1"/>
          <w:sz w:val="24"/>
          <w:szCs w:val="24"/>
        </w:rPr>
        <w:instrText>ADDIN CSL_CITATION {"citationItems":[{"id":"ITEM-1","itemData":{"DOI":"10.1002/rcm.1642","ISSN":"09514198","abstract":"Health-care workers handling antineoplastic agents may be exposed to extremely low doses of these drugs. Very sensitive and specific analytical methods are therefore needed for biological monitoring. The aim of this study was to develop and validate a method for trace level determination of doxorubicin, epirubicin, daunorubicin and idarubicin in human urine, using epi-daunorubicin as an internal standard. Solid-phase extraction (SPE) was used for sample preparation. Urine samples were loaded onto Bond Elut C18 cartridges. The analytes were eluted in methylene chloride/2-propanol (1:1, v/v) and then evaporated to dryness. The residue was reconstituted with the mobile phase prior to high-performance liquid chromatography/tandem mass spectrometry (HPLC/MS/ MS) analysis. Quantitation of each analyte was performed using the multiple reaction monitoring (MRM) method. The urine assay was linear over the range 0.1-2.0 μg/L, with a lower limit of quantification (LLOQ) of 0.10 μg/L for doxorubicin and epirubicin, and 0.03 μg/L for daunorubicin and idarubicin. The respective limits of detection (LODs) were 0.04 and 0.01 μg/L. The precision and accuracy of the assay were determined on three different days. The within-series precision was found to be always less than 13.9% for all the analytes. The overall precision expressed as relative standard deviation (RSD) was always less than 10.6%. The recovery of anthracyclines was assessed at two concentrations of the range tested (0.1 and 2.0 μg/L) and it ranged from 87.7% (daunorubicin) to 102.0% (doxorubicin) and from 79.1% (daunorubicin) to 90.7% (idarubicin) for the lower and the higher level, respectively, with a RSD always less than 9.1%. The uncertainty of the present assay was also evaluated and the combined uncertainty was always less than 20% over all the days of the validation study. This is the first method that makes use of LC/MS/MS for the biological monitoring of occupational exposure to anthracyclines. Copyright © 2004 John Wiley &amp; Sons, Ltd.","author":[{"dropping-particle":"","family":"Sottani","given":"Cristina","non-dropping-particle":"","parse-names":false,"suffix":""},{"dropping-particle":"","family":"Tranfo","given":"Giovanna","non-dropping-particle":"","parse-names":false,"suffix":""},{"dropping-particle":"","family":"Bettinelli","given":"Maurizio","non-dropping-particle":"","parse-names":false,"suffix":""},{"dropping-particle":"","family":"Faranda","given":"Paolo","non-dropping-particle":"","parse-names":false,"suffix":""},{"dropping-particle":"","family":"Spagnoli","given":"Mariangela","non-dropping-particle":"","parse-names":false,"suffix":""},{"dropping-particle":"","family":"Minoia","given":"Claudio","non-dropping-particle":"","parse-names":false,"suffix":""}],"container-title":"Rapid Communications in Mass Spectrometry","id":"ITEM-1","issue":"20","issued":{"date-parts":[["2004"]]},"page":"2426-2436","title":"Trace determination of anthracyclines in urine: A new high-performance liquid chromatography/tandem mass spectrometry method for assessing exposure of hospital personnel","type":"article-journal","volume":"18"},"uris":["http://www.mendeley.com/documents/?uuid=c2101765-022b-47e8-8beb-c12cf909e5b3"]}],"mendeley":{"formattedCitation":"[55]","plainTextFormattedCitation":"[55]","previouslyFormattedCitation":"[55]"},"properties":{"noteIndex":0},"schema":"https://github.com/citation-style-language/schema/raw/master/csl-citation.json"}</w:instrText>
      </w:r>
      <w:r w:rsidR="006C6CAA" w:rsidRPr="02602357">
        <w:rPr>
          <w:rFonts w:ascii="Times New Roman" w:eastAsia="Times New Roman" w:hAnsi="Times New Roman" w:cs="Times New Roman"/>
          <w:color w:val="000000" w:themeColor="text1"/>
          <w:sz w:val="24"/>
          <w:szCs w:val="24"/>
        </w:rPr>
        <w:fldChar w:fldCharType="separate"/>
      </w:r>
      <w:r w:rsidRPr="02602357">
        <w:rPr>
          <w:rFonts w:ascii="Times New Roman" w:eastAsia="Times New Roman" w:hAnsi="Times New Roman" w:cs="Times New Roman"/>
          <w:noProof/>
          <w:color w:val="000000" w:themeColor="text1"/>
          <w:sz w:val="24"/>
          <w:szCs w:val="24"/>
        </w:rPr>
        <w:t>[55]</w:t>
      </w:r>
      <w:r w:rsidR="006C6CAA" w:rsidRPr="02602357">
        <w:rPr>
          <w:rFonts w:ascii="Times New Roman" w:eastAsia="Times New Roman" w:hAnsi="Times New Roman" w:cs="Times New Roman"/>
          <w:color w:val="000000" w:themeColor="text1"/>
          <w:sz w:val="24"/>
          <w:szCs w:val="24"/>
        </w:rPr>
        <w:fldChar w:fldCharType="end"/>
      </w:r>
      <w:r w:rsidRPr="02602357">
        <w:rPr>
          <w:rFonts w:ascii="Times New Roman" w:eastAsia="Times New Roman" w:hAnsi="Times New Roman" w:cs="Times New Roman"/>
          <w:color w:val="000000" w:themeColor="text1"/>
          <w:sz w:val="24"/>
          <w:szCs w:val="24"/>
        </w:rPr>
        <w:t xml:space="preserve">, ale nie potwierdził tego rzeczywistymi danymi klinicznymi.  Zgromadzone wyniki mogą zatem stanowić cenne źródło informacji na temat pełnego profilu farmakokinetycznego </w:t>
      </w:r>
      <w:proofErr w:type="spellStart"/>
      <w:r w:rsidRPr="02602357">
        <w:rPr>
          <w:rFonts w:ascii="Times New Roman" w:eastAsia="Times New Roman" w:hAnsi="Times New Roman" w:cs="Times New Roman"/>
          <w:color w:val="000000" w:themeColor="text1"/>
          <w:sz w:val="24"/>
          <w:szCs w:val="24"/>
        </w:rPr>
        <w:t>doksorubicyny</w:t>
      </w:r>
      <w:proofErr w:type="spellEnd"/>
      <w:r w:rsidRPr="02602357">
        <w:rPr>
          <w:rFonts w:ascii="Times New Roman" w:eastAsia="Times New Roman" w:hAnsi="Times New Roman" w:cs="Times New Roman"/>
          <w:color w:val="000000" w:themeColor="text1"/>
          <w:sz w:val="24"/>
          <w:szCs w:val="24"/>
        </w:rPr>
        <w:t xml:space="preserve"> u pacjentów.</w:t>
      </w:r>
    </w:p>
    <w:p w14:paraId="02B078BC" w14:textId="35B09A07" w:rsidR="006C6CAA" w:rsidRPr="00E11754" w:rsidRDefault="13A8E3F4" w:rsidP="13A8E3F4">
      <w:pPr>
        <w:rPr>
          <w:rFonts w:ascii="Times New Roman" w:hAnsi="Times New Roman" w:cs="Times New Roman"/>
          <w:b/>
          <w:bCs/>
          <w:i/>
          <w:iCs/>
          <w:sz w:val="24"/>
          <w:szCs w:val="24"/>
        </w:rPr>
      </w:pPr>
      <w:r w:rsidRPr="00E11754">
        <w:rPr>
          <w:rFonts w:ascii="Times New Roman" w:hAnsi="Times New Roman" w:cs="Times New Roman"/>
          <w:b/>
          <w:bCs/>
          <w:i/>
          <w:iCs/>
          <w:sz w:val="24"/>
          <w:szCs w:val="24"/>
        </w:rPr>
        <w:t>Wnioski</w:t>
      </w:r>
    </w:p>
    <w:p w14:paraId="47146C29" w14:textId="341D3CBE" w:rsidR="006C6CAA" w:rsidRPr="00E11754" w:rsidRDefault="006C6CAA" w:rsidP="2100169C">
      <w:p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ab/>
        <w:t xml:space="preserve">Wynikiem przeprowadzonych badań było opracowanie nowej metody chromatograficznej z detekcją fluorescencyjną do oznaczania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z próbek osocza oraz moczu ludzkiego, która charakteryzuje się wysoką dokładnością oraz precyzją, jak również niskimi wartościami parametrów LOD oraz LOQ, w porównaniu do wcześniej opracowanych metod opartych na detekcji FL bądź MS(MS). Zaletą tej metody jest krótki czas analizy wynoszący 8 min dla obu matryc biologicznych. Dodatkową korzyścią jest niewielka objętości próbki (dla prób osocza 0,25 ml, a dla moczu 0,5 ml) wymagana do przeprowadzenia analizy SPE-LC-FL, co w przypadku pacjentów pediatrycznych jest istotnym czynnikiem zwiększającym potencjał aplikacyjny metody w praktyce klinicznej. Dodatkowo, po raz pierwszy zaproponowano zakwaszenie próbek biologicznych 0,1 M HCl przed procedurą SPE, co poprawiło efektywność tego procesu. Potwierdzono, że za</w:t>
      </w:r>
      <w:r w:rsidR="13A8E3F4" w:rsidRPr="00E11754">
        <w:rPr>
          <w:rFonts w:ascii="Times New Roman" w:hAnsi="Times New Roman" w:cs="Times New Roman"/>
          <w:sz w:val="24"/>
          <w:szCs w:val="24"/>
        </w:rPr>
        <w:t xml:space="preserve">proponowana metoda SPE-LC-FL może być stosowana w laboratorium klinicznym do monitorowania stężenia </w:t>
      </w:r>
      <w:proofErr w:type="spellStart"/>
      <w:r w:rsidR="13A8E3F4" w:rsidRPr="00E11754">
        <w:rPr>
          <w:rFonts w:ascii="Times New Roman" w:hAnsi="Times New Roman" w:cs="Times New Roman"/>
          <w:sz w:val="24"/>
          <w:szCs w:val="24"/>
        </w:rPr>
        <w:t>doksorubicyny</w:t>
      </w:r>
      <w:proofErr w:type="spellEnd"/>
      <w:r w:rsidR="13A8E3F4" w:rsidRPr="00E11754">
        <w:rPr>
          <w:rFonts w:ascii="Times New Roman" w:hAnsi="Times New Roman" w:cs="Times New Roman"/>
          <w:sz w:val="24"/>
          <w:szCs w:val="24"/>
        </w:rPr>
        <w:t xml:space="preserve"> u pacjentów poddanych chemioterapii, w tym zgodnie z protokołami OEPA oraz IOA. </w:t>
      </w:r>
      <w:r w:rsidR="2100169C" w:rsidRPr="00E11754">
        <w:rPr>
          <w:rFonts w:ascii="Times New Roman" w:eastAsia="Times New Roman" w:hAnsi="Times New Roman" w:cs="Times New Roman"/>
          <w:sz w:val="24"/>
          <w:szCs w:val="24"/>
        </w:rPr>
        <w:t xml:space="preserve"> Co więcej, opracowana metoda umożliwia analizę zarówno </w:t>
      </w:r>
      <w:r w:rsidR="2C092957" w:rsidRPr="00E11754">
        <w:rPr>
          <w:rFonts w:ascii="Times New Roman" w:eastAsia="Times New Roman" w:hAnsi="Times New Roman" w:cs="Times New Roman"/>
          <w:sz w:val="24"/>
          <w:szCs w:val="24"/>
        </w:rPr>
        <w:t>próbek osocza, jak i moczu, co jest istotne, gdyż w literaturze</w:t>
      </w:r>
      <w:r w:rsidR="2100169C" w:rsidRPr="00E11754">
        <w:rPr>
          <w:rFonts w:ascii="Times New Roman" w:eastAsia="Times New Roman" w:hAnsi="Times New Roman" w:cs="Times New Roman"/>
          <w:sz w:val="24"/>
          <w:szCs w:val="24"/>
        </w:rPr>
        <w:t xml:space="preserve"> brakuje danych</w:t>
      </w:r>
      <w:r w:rsidRPr="00E11754">
        <w:rPr>
          <w:rFonts w:ascii="Times New Roman" w:eastAsia="Times New Roman" w:hAnsi="Times New Roman" w:cs="Times New Roman"/>
          <w:sz w:val="24"/>
          <w:szCs w:val="24"/>
        </w:rPr>
        <w:t xml:space="preserve"> opisujących profil zmian stężeń </w:t>
      </w:r>
      <w:proofErr w:type="spellStart"/>
      <w:r w:rsidRPr="00E11754">
        <w:rPr>
          <w:rFonts w:ascii="Times New Roman" w:eastAsia="Times New Roman" w:hAnsi="Times New Roman" w:cs="Times New Roman"/>
          <w:sz w:val="24"/>
          <w:szCs w:val="24"/>
        </w:rPr>
        <w:t>doksorubicyny</w:t>
      </w:r>
      <w:proofErr w:type="spellEnd"/>
      <w:r w:rsidRPr="00E11754">
        <w:rPr>
          <w:rFonts w:ascii="Times New Roman" w:eastAsia="Times New Roman" w:hAnsi="Times New Roman" w:cs="Times New Roman"/>
          <w:sz w:val="24"/>
          <w:szCs w:val="24"/>
        </w:rPr>
        <w:t xml:space="preserve"> w tej drugiej matrycy biologicznej. To ważny aspekt z uwagi na wskazanie </w:t>
      </w:r>
      <w:r w:rsidR="2C092957" w:rsidRPr="00E11754">
        <w:rPr>
          <w:rFonts w:ascii="Times New Roman" w:eastAsia="Times New Roman" w:hAnsi="Times New Roman" w:cs="Times New Roman"/>
          <w:sz w:val="24"/>
          <w:szCs w:val="24"/>
        </w:rPr>
        <w:t>potencjalnego ryzyka nara</w:t>
      </w:r>
      <w:r w:rsidR="2C092957" w:rsidRPr="000D6A5E">
        <w:rPr>
          <w:rFonts w:ascii="Times New Roman" w:eastAsia="Times New Roman" w:hAnsi="Times New Roman" w:cs="Times New Roman"/>
          <w:sz w:val="24"/>
          <w:szCs w:val="24"/>
        </w:rPr>
        <w:t>żeni</w:t>
      </w:r>
      <w:r w:rsidR="2C092957" w:rsidRPr="00E11754">
        <w:rPr>
          <w:rFonts w:ascii="Times New Roman" w:eastAsia="Times New Roman" w:hAnsi="Times New Roman" w:cs="Times New Roman"/>
          <w:sz w:val="24"/>
          <w:szCs w:val="24"/>
        </w:rPr>
        <w:t>a</w:t>
      </w:r>
      <w:r w:rsidR="2C092957" w:rsidRPr="000D6A5E">
        <w:rPr>
          <w:rFonts w:ascii="Times New Roman" w:eastAsia="Times New Roman" w:hAnsi="Times New Roman" w:cs="Times New Roman"/>
          <w:sz w:val="24"/>
          <w:szCs w:val="24"/>
        </w:rPr>
        <w:t xml:space="preserve"> personelu medycznego, jak również opiekunów pacjentów przyjmujących </w:t>
      </w:r>
      <w:proofErr w:type="spellStart"/>
      <w:r w:rsidR="2C092957" w:rsidRPr="00E11754">
        <w:rPr>
          <w:rFonts w:ascii="Times New Roman" w:eastAsia="Times New Roman" w:hAnsi="Times New Roman" w:cs="Times New Roman"/>
          <w:sz w:val="24"/>
          <w:szCs w:val="24"/>
        </w:rPr>
        <w:t>doksorubicynę</w:t>
      </w:r>
      <w:proofErr w:type="spellEnd"/>
      <w:r w:rsidR="2C092957" w:rsidRPr="00E11754">
        <w:rPr>
          <w:rFonts w:ascii="Times New Roman" w:eastAsia="Times New Roman" w:hAnsi="Times New Roman" w:cs="Times New Roman"/>
          <w:sz w:val="24"/>
          <w:szCs w:val="24"/>
        </w:rPr>
        <w:t xml:space="preserve"> na negatywne skutki działania tego leku w kontakcie z moczem pacjenta po podaniu leku</w:t>
      </w:r>
      <w:r w:rsidR="2C092957" w:rsidRPr="000D6A5E">
        <w:rPr>
          <w:rFonts w:ascii="Times New Roman" w:eastAsia="Times New Roman" w:hAnsi="Times New Roman" w:cs="Times New Roman"/>
          <w:sz w:val="24"/>
          <w:szCs w:val="24"/>
        </w:rPr>
        <w:t>.</w:t>
      </w:r>
    </w:p>
    <w:p w14:paraId="634B8B32" w14:textId="77777777" w:rsidR="00E240A9" w:rsidRPr="00E240A9" w:rsidRDefault="00E240A9" w:rsidP="2100169C">
      <w:pPr>
        <w:spacing w:line="360" w:lineRule="auto"/>
        <w:jc w:val="both"/>
        <w:rPr>
          <w:rFonts w:ascii="Times New Roman" w:eastAsia="Times New Roman" w:hAnsi="Times New Roman" w:cs="Times New Roman"/>
          <w:sz w:val="24"/>
          <w:szCs w:val="24"/>
        </w:rPr>
      </w:pPr>
    </w:p>
    <w:p w14:paraId="75862CA5" w14:textId="77777777" w:rsidR="006C6CAA" w:rsidRPr="000D6A5E" w:rsidRDefault="006C6CAA" w:rsidP="006C6CAA">
      <w:pPr>
        <w:pStyle w:val="Nagwek2"/>
        <w:spacing w:before="240" w:after="120" w:line="360" w:lineRule="auto"/>
        <w:rPr>
          <w:rFonts w:ascii="Times New Roman" w:hAnsi="Times New Roman" w:cs="Times New Roman"/>
          <w:b/>
          <w:bCs/>
          <w:sz w:val="24"/>
          <w:szCs w:val="24"/>
          <w:lang w:val="en-GB"/>
        </w:rPr>
      </w:pPr>
      <w:bookmarkStart w:id="21" w:name="_Toc135306229"/>
      <w:bookmarkStart w:id="22" w:name="_Toc137702481"/>
      <w:r w:rsidRPr="000D6A5E">
        <w:rPr>
          <w:rFonts w:ascii="Times New Roman" w:hAnsi="Times New Roman" w:cs="Times New Roman"/>
          <w:b/>
          <w:bCs/>
          <w:sz w:val="24"/>
          <w:szCs w:val="24"/>
          <w:lang w:val="en-GB"/>
        </w:rPr>
        <w:t xml:space="preserve">3.2. </w:t>
      </w:r>
      <w:proofErr w:type="spellStart"/>
      <w:r w:rsidRPr="000D6A5E">
        <w:rPr>
          <w:rFonts w:ascii="Times New Roman" w:hAnsi="Times New Roman" w:cs="Times New Roman"/>
          <w:b/>
          <w:bCs/>
          <w:sz w:val="24"/>
          <w:szCs w:val="24"/>
          <w:lang w:val="en-GB"/>
        </w:rPr>
        <w:t>Publikacja</w:t>
      </w:r>
      <w:proofErr w:type="spellEnd"/>
      <w:r w:rsidRPr="000D6A5E">
        <w:rPr>
          <w:rFonts w:ascii="Times New Roman" w:hAnsi="Times New Roman" w:cs="Times New Roman"/>
          <w:b/>
          <w:bCs/>
          <w:sz w:val="24"/>
          <w:szCs w:val="24"/>
          <w:lang w:val="en-GB"/>
        </w:rPr>
        <w:t xml:space="preserve"> 2.</w:t>
      </w:r>
      <w:bookmarkEnd w:id="21"/>
      <w:bookmarkEnd w:id="22"/>
      <w:r w:rsidRPr="000D6A5E">
        <w:rPr>
          <w:rFonts w:ascii="Times New Roman" w:hAnsi="Times New Roman" w:cs="Times New Roman"/>
          <w:b/>
          <w:bCs/>
          <w:sz w:val="24"/>
          <w:szCs w:val="24"/>
          <w:lang w:val="en-GB"/>
        </w:rPr>
        <w:t xml:space="preserve"> </w:t>
      </w:r>
    </w:p>
    <w:p w14:paraId="121E1BCC" w14:textId="3A39A0DE" w:rsidR="00BC798E" w:rsidRPr="00E11754" w:rsidRDefault="13A8E3F4" w:rsidP="004265B2">
      <w:pPr>
        <w:spacing w:after="0" w:line="360" w:lineRule="auto"/>
        <w:rPr>
          <w:rFonts w:ascii="Times New Roman" w:hAnsi="Times New Roman" w:cs="Times New Roman"/>
          <w:sz w:val="24"/>
          <w:szCs w:val="24"/>
        </w:rPr>
      </w:pPr>
      <w:r w:rsidRPr="00E11754">
        <w:rPr>
          <w:rFonts w:ascii="Times New Roman" w:hAnsi="Times New Roman" w:cs="Times New Roman"/>
          <w:sz w:val="24"/>
          <w:szCs w:val="24"/>
          <w:lang w:val="en-US"/>
        </w:rPr>
        <w:t xml:space="preserve">N. </w:t>
      </w:r>
      <w:proofErr w:type="spellStart"/>
      <w:r w:rsidRPr="00E11754">
        <w:rPr>
          <w:rFonts w:ascii="Times New Roman" w:hAnsi="Times New Roman" w:cs="Times New Roman"/>
          <w:sz w:val="24"/>
          <w:szCs w:val="24"/>
          <w:lang w:val="en-US"/>
        </w:rPr>
        <w:t>Treder</w:t>
      </w:r>
      <w:proofErr w:type="spellEnd"/>
      <w:r w:rsidRPr="00E11754">
        <w:rPr>
          <w:rFonts w:ascii="Times New Roman" w:hAnsi="Times New Roman" w:cs="Times New Roman"/>
          <w:sz w:val="24"/>
          <w:szCs w:val="24"/>
          <w:lang w:val="en-US"/>
        </w:rPr>
        <w:t xml:space="preserve">, O. </w:t>
      </w:r>
      <w:proofErr w:type="spellStart"/>
      <w:r w:rsidRPr="00E11754">
        <w:rPr>
          <w:rFonts w:ascii="Times New Roman" w:hAnsi="Times New Roman" w:cs="Times New Roman"/>
          <w:sz w:val="24"/>
          <w:szCs w:val="24"/>
          <w:lang w:val="en-US"/>
        </w:rPr>
        <w:t>Maliszewska</w:t>
      </w:r>
      <w:proofErr w:type="spellEnd"/>
      <w:r w:rsidRPr="00E11754">
        <w:rPr>
          <w:rFonts w:ascii="Times New Roman" w:hAnsi="Times New Roman" w:cs="Times New Roman"/>
          <w:sz w:val="24"/>
          <w:szCs w:val="24"/>
          <w:lang w:val="en-US"/>
        </w:rPr>
        <w:t xml:space="preserve">, I. </w:t>
      </w:r>
      <w:proofErr w:type="spellStart"/>
      <w:r w:rsidRPr="00E11754">
        <w:rPr>
          <w:rFonts w:ascii="Times New Roman" w:hAnsi="Times New Roman" w:cs="Times New Roman"/>
          <w:sz w:val="24"/>
          <w:szCs w:val="24"/>
          <w:lang w:val="en-US"/>
        </w:rPr>
        <w:t>Olędzka</w:t>
      </w:r>
      <w:proofErr w:type="spellEnd"/>
      <w:r w:rsidRPr="00E11754">
        <w:rPr>
          <w:rFonts w:ascii="Times New Roman" w:hAnsi="Times New Roman" w:cs="Times New Roman"/>
          <w:sz w:val="24"/>
          <w:szCs w:val="24"/>
          <w:lang w:val="en-US"/>
        </w:rPr>
        <w:t xml:space="preserve">, P. Kowalski, N. </w:t>
      </w:r>
      <w:proofErr w:type="spellStart"/>
      <w:r w:rsidRPr="00E11754">
        <w:rPr>
          <w:rFonts w:ascii="Times New Roman" w:hAnsi="Times New Roman" w:cs="Times New Roman"/>
          <w:sz w:val="24"/>
          <w:szCs w:val="24"/>
          <w:lang w:val="en-US"/>
        </w:rPr>
        <w:t>Miękus</w:t>
      </w:r>
      <w:proofErr w:type="spellEnd"/>
      <w:r w:rsidRPr="00E11754">
        <w:rPr>
          <w:rFonts w:ascii="Times New Roman" w:hAnsi="Times New Roman" w:cs="Times New Roman"/>
          <w:sz w:val="24"/>
          <w:szCs w:val="24"/>
          <w:lang w:val="en-US"/>
        </w:rPr>
        <w:t xml:space="preserve">, T. </w:t>
      </w:r>
      <w:proofErr w:type="spellStart"/>
      <w:r w:rsidRPr="00E11754">
        <w:rPr>
          <w:rFonts w:ascii="Times New Roman" w:hAnsi="Times New Roman" w:cs="Times New Roman"/>
          <w:sz w:val="24"/>
          <w:szCs w:val="24"/>
          <w:lang w:val="en-US"/>
        </w:rPr>
        <w:t>Bączek</w:t>
      </w:r>
      <w:proofErr w:type="spellEnd"/>
      <w:r w:rsidRPr="00E11754">
        <w:rPr>
          <w:rFonts w:ascii="Times New Roman" w:hAnsi="Times New Roman" w:cs="Times New Roman"/>
          <w:sz w:val="24"/>
          <w:szCs w:val="24"/>
          <w:lang w:val="en-US"/>
        </w:rPr>
        <w:t xml:space="preserve">, E. </w:t>
      </w:r>
      <w:proofErr w:type="spellStart"/>
      <w:r w:rsidRPr="00E11754">
        <w:rPr>
          <w:rFonts w:ascii="Times New Roman" w:hAnsi="Times New Roman" w:cs="Times New Roman"/>
          <w:sz w:val="24"/>
          <w:szCs w:val="24"/>
          <w:lang w:val="en-US"/>
        </w:rPr>
        <w:t>Bień</w:t>
      </w:r>
      <w:proofErr w:type="spellEnd"/>
      <w:r w:rsidRPr="00E11754">
        <w:rPr>
          <w:rFonts w:ascii="Times New Roman" w:hAnsi="Times New Roman" w:cs="Times New Roman"/>
          <w:sz w:val="24"/>
          <w:szCs w:val="24"/>
          <w:lang w:val="en-US"/>
        </w:rPr>
        <w:t xml:space="preserve">, M.A. Krawczyk, E. </w:t>
      </w:r>
      <w:proofErr w:type="spellStart"/>
      <w:r w:rsidRPr="00E11754">
        <w:rPr>
          <w:rFonts w:ascii="Times New Roman" w:hAnsi="Times New Roman" w:cs="Times New Roman"/>
          <w:sz w:val="24"/>
          <w:szCs w:val="24"/>
          <w:lang w:val="en-US"/>
        </w:rPr>
        <w:t>Adamkiewicz-Drożyńska</w:t>
      </w:r>
      <w:proofErr w:type="spellEnd"/>
      <w:r w:rsidRPr="00E11754">
        <w:rPr>
          <w:rFonts w:ascii="Times New Roman" w:hAnsi="Times New Roman" w:cs="Times New Roman"/>
          <w:sz w:val="24"/>
          <w:szCs w:val="24"/>
          <w:lang w:val="en-US"/>
        </w:rPr>
        <w:t>,</w:t>
      </w:r>
      <w:r w:rsidRPr="00E11754">
        <w:rPr>
          <w:rFonts w:ascii="Times New Roman" w:hAnsi="Times New Roman" w:cs="Times New Roman"/>
          <w:color w:val="212121"/>
          <w:sz w:val="24"/>
          <w:szCs w:val="24"/>
          <w:lang w:val="en-GB"/>
        </w:rPr>
        <w:t xml:space="preserve"> A. </w:t>
      </w:r>
      <w:proofErr w:type="spellStart"/>
      <w:r w:rsidRPr="00E11754">
        <w:rPr>
          <w:rFonts w:ascii="Times New Roman" w:hAnsi="Times New Roman" w:cs="Times New Roman"/>
          <w:color w:val="212121"/>
          <w:sz w:val="24"/>
          <w:szCs w:val="24"/>
          <w:lang w:val="en-GB"/>
        </w:rPr>
        <w:t>Plenis</w:t>
      </w:r>
      <w:proofErr w:type="spellEnd"/>
      <w:r w:rsidRPr="00E11754">
        <w:rPr>
          <w:rFonts w:ascii="Times New Roman" w:hAnsi="Times New Roman" w:cs="Times New Roman"/>
          <w:color w:val="212121"/>
          <w:sz w:val="24"/>
          <w:szCs w:val="24"/>
          <w:lang w:val="en-GB"/>
        </w:rPr>
        <w:t>,</w:t>
      </w:r>
      <w:r w:rsidRPr="00E11754">
        <w:rPr>
          <w:rFonts w:ascii="Times New Roman" w:hAnsi="Times New Roman" w:cs="Times New Roman"/>
          <w:sz w:val="24"/>
          <w:szCs w:val="24"/>
          <w:lang w:val="en-US"/>
        </w:rPr>
        <w:t xml:space="preserve"> Development and validation of a high-</w:t>
      </w:r>
      <w:proofErr w:type="spellStart"/>
      <w:r w:rsidRPr="00E11754">
        <w:rPr>
          <w:rFonts w:ascii="Times New Roman" w:hAnsi="Times New Roman" w:cs="Times New Roman"/>
          <w:sz w:val="24"/>
          <w:szCs w:val="24"/>
          <w:lang w:val="en-US"/>
        </w:rPr>
        <w:t>performace</w:t>
      </w:r>
      <w:proofErr w:type="spellEnd"/>
      <w:r w:rsidRPr="00E11754">
        <w:rPr>
          <w:rFonts w:ascii="Times New Roman" w:hAnsi="Times New Roman" w:cs="Times New Roman"/>
          <w:sz w:val="24"/>
          <w:szCs w:val="24"/>
          <w:lang w:val="en-US"/>
        </w:rPr>
        <w:t xml:space="preserve"> liquid chromatographic method with a fluorescence detector for the analysis of </w:t>
      </w:r>
      <w:proofErr w:type="spellStart"/>
      <w:r w:rsidRPr="00E11754">
        <w:rPr>
          <w:rFonts w:ascii="Times New Roman" w:hAnsi="Times New Roman" w:cs="Times New Roman"/>
          <w:sz w:val="24"/>
          <w:szCs w:val="24"/>
          <w:lang w:val="en-US"/>
        </w:rPr>
        <w:t>epirubicin</w:t>
      </w:r>
      <w:proofErr w:type="spellEnd"/>
      <w:r w:rsidRPr="00E11754">
        <w:rPr>
          <w:rFonts w:ascii="Times New Roman" w:hAnsi="Times New Roman" w:cs="Times New Roman"/>
          <w:sz w:val="24"/>
          <w:szCs w:val="24"/>
          <w:lang w:val="en-US"/>
        </w:rPr>
        <w:t xml:space="preserve"> in human urine and plasma, and its application in drug monitoring, </w:t>
      </w:r>
      <w:r w:rsidRPr="00E11754">
        <w:rPr>
          <w:rFonts w:ascii="Times New Roman" w:hAnsi="Times New Roman" w:cs="Times New Roman"/>
          <w:i/>
          <w:iCs/>
          <w:sz w:val="24"/>
          <w:szCs w:val="24"/>
          <w:lang w:val="en-US"/>
        </w:rPr>
        <w:t xml:space="preserve">J. </w:t>
      </w:r>
      <w:proofErr w:type="spellStart"/>
      <w:r w:rsidRPr="00E11754">
        <w:rPr>
          <w:rFonts w:ascii="Times New Roman" w:hAnsi="Times New Roman" w:cs="Times New Roman"/>
          <w:i/>
          <w:iCs/>
          <w:sz w:val="24"/>
          <w:szCs w:val="24"/>
          <w:lang w:val="en-US"/>
        </w:rPr>
        <w:t>Chromatogr</w:t>
      </w:r>
      <w:proofErr w:type="spellEnd"/>
      <w:r w:rsidRPr="00E11754">
        <w:rPr>
          <w:rFonts w:ascii="Times New Roman" w:hAnsi="Times New Roman" w:cs="Times New Roman"/>
          <w:i/>
          <w:iCs/>
          <w:sz w:val="24"/>
          <w:szCs w:val="24"/>
          <w:lang w:val="en-US"/>
        </w:rPr>
        <w:t xml:space="preserve">. </w:t>
      </w:r>
      <w:r w:rsidRPr="00E11754">
        <w:rPr>
          <w:rFonts w:ascii="Times New Roman" w:hAnsi="Times New Roman" w:cs="Times New Roman"/>
          <w:i/>
          <w:iCs/>
          <w:sz w:val="24"/>
          <w:szCs w:val="24"/>
        </w:rPr>
        <w:t>B</w:t>
      </w:r>
      <w:r w:rsidRPr="00E11754">
        <w:rPr>
          <w:rFonts w:ascii="Times New Roman" w:hAnsi="Times New Roman" w:cs="Times New Roman"/>
          <w:sz w:val="24"/>
          <w:szCs w:val="24"/>
        </w:rPr>
        <w:t xml:space="preserve">., </w:t>
      </w:r>
      <w:r w:rsidRPr="00E11754">
        <w:rPr>
          <w:rFonts w:ascii="Times New Roman" w:hAnsi="Times New Roman" w:cs="Times New Roman"/>
          <w:b/>
          <w:bCs/>
          <w:sz w:val="24"/>
          <w:szCs w:val="24"/>
        </w:rPr>
        <w:t>2019</w:t>
      </w:r>
      <w:r w:rsidRPr="00E11754">
        <w:rPr>
          <w:rFonts w:ascii="Times New Roman" w:hAnsi="Times New Roman" w:cs="Times New Roman"/>
          <w:sz w:val="24"/>
          <w:szCs w:val="24"/>
        </w:rPr>
        <w:t>; vol. 1136, art. 121910, s. 1-8</w:t>
      </w:r>
    </w:p>
    <w:p w14:paraId="4C792FCE" w14:textId="6162F876" w:rsidR="5A1DC5BE" w:rsidRPr="00E11754" w:rsidRDefault="5A1DC5BE" w:rsidP="5A1DC5BE">
      <w:pPr>
        <w:spacing w:after="0" w:line="360" w:lineRule="auto"/>
        <w:rPr>
          <w:rFonts w:ascii="Times New Roman" w:hAnsi="Times New Roman" w:cs="Times New Roman"/>
          <w:sz w:val="24"/>
          <w:szCs w:val="24"/>
        </w:rPr>
      </w:pPr>
    </w:p>
    <w:p w14:paraId="757DF14E" w14:textId="23617AEC" w:rsidR="00BC798E" w:rsidRPr="00E11754" w:rsidRDefault="13A8E3F4" w:rsidP="00BC798E">
      <w:pPr>
        <w:spacing w:before="120" w:after="120" w:line="360" w:lineRule="auto"/>
        <w:rPr>
          <w:rFonts w:ascii="Times New Roman" w:hAnsi="Times New Roman" w:cs="Times New Roman"/>
          <w:b/>
          <w:bCs/>
          <w:i/>
          <w:iCs/>
          <w:sz w:val="24"/>
          <w:szCs w:val="24"/>
        </w:rPr>
      </w:pPr>
      <w:r w:rsidRPr="00E11754">
        <w:rPr>
          <w:rFonts w:ascii="Times New Roman" w:hAnsi="Times New Roman" w:cs="Times New Roman"/>
          <w:b/>
          <w:bCs/>
          <w:i/>
          <w:iCs/>
          <w:sz w:val="24"/>
          <w:szCs w:val="24"/>
        </w:rPr>
        <w:t>Wprowadzenie</w:t>
      </w:r>
    </w:p>
    <w:p w14:paraId="6EB854F3" w14:textId="599E5301" w:rsidR="006C6CAA" w:rsidRPr="00E11754" w:rsidRDefault="006C6CAA" w:rsidP="2100169C">
      <w:pPr>
        <w:spacing w:after="0" w:line="360" w:lineRule="auto"/>
        <w:jc w:val="both"/>
        <w:rPr>
          <w:rFonts w:ascii="Times New Roman" w:hAnsi="Times New Roman" w:cs="Times New Roman"/>
          <w:sz w:val="24"/>
          <w:szCs w:val="24"/>
        </w:rPr>
      </w:pPr>
      <w:r w:rsidRPr="00E11754">
        <w:rPr>
          <w:rFonts w:ascii="Times New Roman" w:eastAsia="CharisSIL" w:hAnsi="Times New Roman" w:cs="Times New Roman"/>
          <w:sz w:val="24"/>
          <w:szCs w:val="24"/>
        </w:rPr>
        <w:tab/>
      </w:r>
      <w:r w:rsidRPr="00E11754">
        <w:rPr>
          <w:rFonts w:ascii="Times New Roman" w:hAnsi="Times New Roman" w:cs="Times New Roman"/>
          <w:sz w:val="24"/>
          <w:szCs w:val="24"/>
        </w:rPr>
        <w:t xml:space="preserve">Literatura naukowa opisująca dotychczasowe metody monitorowania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w materiałach biologicznych skupiała się głównie na oznaczaniu tego leku w osoczu i surowicy </w:t>
      </w:r>
      <w:r w:rsidR="00534DDC">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{"citationItems":[{"id":"ITEM-1","itemData":{"DOI":"10.1007/BF00262773","ISSN":"03445704","PMID":"3162848","abstract":"A specific, sensitive and reliable HPLC method for the determination of doxorubicin (DX), epirubicin (epiDX) and their known fluorescent metabolites [doxorubicinol (DXol), epirubicinol (epiDXol) 7-deoxy-adriamycinone (metabolite C), adriamycinone (metabolite D), 7-deoxy-13-dihydro-adriamycinone (metabolite E), 13-dihydro-adriamycinone (metabolite F), 4'-O-β-d-glucuronyl-4'-epiDX (metabolite G) and 4'-O-β-d-glucuronly 13-dihydro-4'-epiDX (metabolite H)] in biological fluids (human plasma, bile and urine) has been developed and tested. Plasma samples were solid-phase-extracted (C18-bonded silica cartridges). Urine and bile samples were injected directly after the addition of the internal standard and dilution with 0.3 M phosphoric acid. Complete separation of unchanged drugs and metabolites was achieved with a mobile phase consisting of 75.6% 10 m M KH2PO4 and 24.4% CH3CN (the pH of the solution was adjusted to 4.3 with 0.03 M H3PO4) at a flow rate of 1.5 ml/min. For the analyses we used a cyanopropyl chromatographic column (25 cmx4.6 mm i.d.; particle size 5 μm) and fluorescence detection with excitation wavelength set at 470 nm and emission at 580 nm. Sensitivity was better than 0.3 ng/ml for all substances analysed. The mean absolute recovery of unchanged drugs and metabolites was between 88.3% (metabolite E) and 98.92% (metabolite G). Intraand interassay precisions (plasma samples) were better than 10.6% and 13.0%. © 1988 Springer-Verlag.","author":[{"dropping-particle":"","family":"Camaggi","given":"Carlo M.","non-dropping-particle":"","parse-names":false,"suffix":""},{"dropping-particle":"","family":"Comparsi","given":"Raffaella","non-dropping-particle":"","parse-names":false,"suffix":""},{"dropping-particle":"","family":"Strocchi","given":"Elena","non-dropping-particle":"","parse-names":false,"suffix":""},{"dropping-particle":"","family":"Testoni","given":"Fabio","non-dropping-particle":"","parse-names":false,"suffix":""},{"dropping-particle":"","family":"Pannuti","given":"Franco","non-dropping-particle":"","parse-names":false,"suffix":""}],"container-title":"Cancer Chemotherapy and Pharmacology","id":"ITEM-1","issue":"3","issued":{"date-parts":[["1988"]]},"page":"216-220","title":"HPLC analysis of doxorubicin, epirubicin and fluorescent metabolites in biological fluids","type":"article-journal","volume":"21"},"uris":["http://www.mendeley.com/documents/?uuid=3d70ba7e-0b26-4dfd-802b-6d8b1247b438"]},{"id":"ITEM-2","itemData":{"DOI":"10.1016/0378-4347(96)00030-8","ISSN":"15726495","PMID":"8811443","abstract":"In order to determine epirubicin and its metabolites at low concentrations (&lt; 38 ng/ml) in small plasma samples, a fast reliable method based on a precipitation pre-treatment and sensitive reversed-phase isocratic HPLC has been developed and validated for epirubicin in the range 5-100 ng/ml. The R.S.D. was 5-9% over this concentration range. For human serum containing 25 ng/ml of epirubicin, the inter- and intra-day variation was &lt; 10%. Recoveries of the metabolites epirubicinol, 7-deoxydoxorubicinone and 7-deoxydoxorubicinolone at 20 ng/ml ranged from 94-104%. The assay has been used to study human plasma samples taken during a 96-h infusion of epirubicin in a patient with multiple myeloma. The combined levels of the unseparated metabolites, epirubicin glucuronide and epirubicinol glucuronide, were semiquantitatively determined after treatment with β-glucuronidase. The metabolites epirubicinol and 7-deoxydoxorubicinolone, but not 7-deoxydoxorubicinone, were also detected and measured.","author":[{"dropping-particle":"","family":"Barker","given":"Ian K.","non-dropping-particle":"","parse-names":false,"suffix":""},{"dropping-particle":"","family":"Crawford","given":"S. Michael","non-dropping-particle":"","parse-names":false,"suffix":""},{"dropping-particle":"","family":"Fell","given":"Anthony F.","non-dropping-particle":"","parse-names":false,"suffix":""}],"container-title":"Journal of Chromatography B: Biomedical Applications","id":"ITEM-2","issue":"2","issued":{"date-parts":[["1996"]]},"page":"323-329","title":"Determination of plasma concentrations of epirubicin and its metabolites by high-performance liquid chromatography during a 96-h infusion in cancer chemotherapy","type":"article-journal","volume":"681"},"uris":["http://www.mendeley.com/documents/?uuid=ad692e3b-4ff8-4908-819c-194386926b67"]},{"id":"ITEM-3","itemData":{"DOI":"10.1080/10826070701465654","ISSN":"10826076","abstract":"An analytical method based on hydrophilic interaction chromatography (HILIC) using diode array detection was developed and validated for the determination of epirubicin in human plasma. Epirubicin and epidaunorubicin (internal standard) were collected from the plasma by solid-phase extraction (SPE) using Oasis HLB cartridges. The chromatographic separation was on a silica analytical column (250 × 4.6 mm I.D., 5 μm) with a mobile phase consisting of acetonitrile/40 mM ammonium formate buffer solution (pH 2.9) (90/10, v/v). The detection wavelength was 254 nm. Linearity of the method was in the concentration range of 0.050-2.5 μg/mL (r2=0.9991). The limit of quantification (LOQ) and limit of detection (LOD) were 0.050 and 0.030 μg/mL using 0.2 mL plasma sample, respectively. Recoveries of the analyte ranged from 89.4% to 101.2% with intra- and inter-day precision (RSD); less than 7.0% were obtained at the concentrations above the LOQ. The proposed method is simple, accurate, and its mobile phase is compatible for mass spectrometry. Copyright © Taylor &amp; Francis Group, LLC.","author":[{"dropping-particle":"","family":"Li","given":"Ruiping","non-dropping-particle":"","parse-names":false,"suffix":""},{"dropping-particle":"","family":"Dong","given":"Lili","non-dropping-particle":"","parse-names":false,"suffix":""},{"dropping-particle":"","family":"Huang","given":"Junxiong","non-dropping-particle":"","parse-names":false,"suffix":""}],"container-title":"Journal of Liquid Chromatography and Related Technologies","id":"ITEM-3","issue":"16","issued":{"date-parts":[["2007"]]},"page":"2409-2418","title":"Hydrophilic interaction chromatographic determination of epirubicin in human plasma using solid phase extraction for sample clean-up","type":"article-journal","volume":"30"},"uris":["http://www.mendeley.com/documents/?uuid=479105a8-db62-4271-b022-d6909d6ff568"]},{"id":"ITEM-4","itemData":{"DOI":"10.1016/j.jchromb.2009.08.054","ISSN":"15700232","PMID":"19783235","abstract":"Drug Eluting Microsphere-Transarterial Chemoembolization (DEM-TACE) is a new delivery system to administrate drugs in a controlled manner useful for application in the chemoembolization of colorectal cancer metastases to the liver. DEM-TACE is focused to obtain higher concentrations of the drug to the tumor with lower systemic concentrations than traditional cancer chemotherapy. Therefore a specific, precise and sensitive LC-ESI-MS/MS assay procedure was properly designed to detect and quantify epirubicin at the concentrations expected from a transarterial chemoembolization with microspheres. Serum samples were kept acidic (pH approximately of 3.5) and sample preparation consisted of a solid phase extraction (SPE) procedure with HLB OASIS® cartridges using a methylene chloride/2-propanol/methanol mixture solution to recover epirubicin. The analyses consisted of reversed-phase high-performance liquid chromatography (rp-HPLC) coupled with tandem mass spectrometry (MS/MS). Accuracy, precision and matrix effect of this procedure were carried out by analyzing four quality control samples (QCs) on five separate days. The validation parameters were assessed by recovery studies of spiked serum samples. Recoveries were found to vary between 92 and 98% at the QC levels (5, 40, 80 and 150 μg/L) with relative standard deviation (RSD) always less than 3.7%. The limit of detection (LOD) was set at 1 μg/L. The developed procedure has been also applied to investigate the different capability of two types of commercially available microspheres to release epirubicin into the human circulatory system. © 2009 Elsevier B.V. All rights reserved.","author":[{"dropping-particle":"","family":"Sottani","given":"Cristina","non-dropping-particle":"","parse-names":false,"suffix":""},{"dropping-particle":"","family":"Leoni","given":"Emanuela","non-dropping-particle":"","parse-names":false,"suffix":""},{"dropping-particle":"","family":"Porro","given":"Benedetta","non-dropping-particle":"","parse-names":false,"suffix":""},{"dropping-particle":"","family":"Montagna","given":"Benedetta","non-dropping-particle":"","parse-names":false,"suffix":""},{"dropping-particle":"","family":"Amatu","given":"Alessio","non-dropping-particle":"","parse-names":false,"suffix":""},{"dropping-particle":"","family":"Sottotetti","given":"Federico","non-dropping-particle":"","parse-names":false,"suffix":""},{"dropping-particle":"","family":"Quaretti","given":"Pietro","non-dropping-particle":"","parse-names":false,"suffix":""},{"dropping-particle":"","family":"Poggi","given":"Guido","non-dropping-particle":"","parse-names":false,"suffix":""},{"dropping-particle":"","family":"Minoia","given":"Claudio","non-dropping-particle":"","parse-names":false,"suffix":""}],"container-title":"Journal of Chromatography B: Analytical Technologies in the Biomedical and Life Sciences","id":"ITEM-4","issue":"29","issued":{"date-parts":[["2009"]]},"page":"3543-3548","title":"Validation of an LC-MS/MS method for the determination of epirubicin in human serum of patients undergoing Drug Eluting Microsphere-Transarterial Chemoembolization (DEM-TACE)","type":"article-journal","volume":"877"},"uris":["http://www.mendeley.com/documents/?uuid=266cdb72-871c-4062-a7af-053960bdc7f2"]},{"id":"ITEM-5","itemData":{"DOI":"10.1097/00007691-200308000-00003","ISSN":"01634356","PMID":"12883225","abstract":"We present a high-performance liquid chromatography (HPLC) method suitable for the analysis of epirubicin and its metabolite epirubicinol in saliva and plasma. Preparation of saliva and plasma samples was performed by extraction of analytes with a chloroform: 2-propanol mixture (6:1, vol/vol) and evaporation of the organic phase to dryness under vacuum at a temperature of approximately 45°C. The chromatographic analysis was carried out by reversed-phase isocratic elution of the anthracyclines with a Chromsep stainless steel HPLC column (150 x 4.6 mm I.D.) filled with Nucleosil 100 S C18 material, particle size 5 μm. The detection was accomplished by spectrofluorimetry at excitation and emission wavelengths of 474 and 551 nm, respectively. The anthracyclines eluted within 10 min of injection, and the method appeared to be specific. The method is linear over a concentration range of 5 to 1000 μg/L for epirubicin and 2 to 400 μg/L for epirubicinol (r &gt; 0.99) in both saliva and plasma. The recoveries from saliva and plasma of epirubicin, epirubicinol, and the internal standard doxorubicin were 88.9 and 69.0%, 87.6 and 77.3%, and 80 and 67.9%, respectively. The lower limit of quantification was 5 μg/L for epirubicin and 2 μg/L for epirubicinol. The method proved to be precise and accurate, as the within-day and between-day coefficients of variation were less than 10%. Overall results indicate that our method is suitable for the bioanalysis of epirubicin and epirubicinol in saliva as well as plasma.","author":[{"dropping-particle":"","family":"Dodde","given":"Wilma I.W.","non-dropping-particle":"","parse-names":false,"suffix":""},{"dropping-particle":"","family":"Maring","given":"Jan Gerard","non-dropping-particle":"","parse-names":false,"suffix":""},{"dropping-particle":"","family":"Hendriks","given":"Gert","non-dropping-particle":"","parse-names":false,"suffix":""},{"dropping-particle":"","family":"Wachters","given":"Floris M.","non-dropping-particle":"","parse-names":false,"suffix":""},{"dropping-particle":"","family":"Groen","given":"Harry J.M.","non-dropping-particle":"","parse-names":false,"suffix":""},{"dropping-particle":"","family":"Vries","given":"Elisabeth G.E.","non-dropping-particle":"De","parse-names":false,"suffix":""},{"dropping-particle":"","family":"Uges","given":"Donald R.A.","non-dropping-particle":"","parse-names":false,"suffix":""}],"container-title":"Therapeutic Drug Monitoring","id":"ITEM-5","issue":"4","issued":{"date-parts":[["2003"]]},"page":"433-440","title":"Determination of epirubicin and its metabolite epirubicinol in saliva and plasma by HPLC","type":"article-journal","volume":"25"},"uris":["http://www.mendeley.com/documents/?uuid=ae04d002-dba4-4093-9002-154d6d6bae90"]},{"id":"ITEM-6","itemData":{"DOI":"10.1016/S0378-4347(97)00610-5","ISSN":"15726495","PMID":"9613953","abstract":"A high-performance liquid chromatographic method with electrochemical detection has been developed for the simultaneous determination of epirubicin, 13-S-dihydroepirubicin, doxorubicin and 13-S-dihydrodoxorubicin in human plasma. An aliquot of 200 μl plasma, spiked with internal standard, was extracted by solid-phase extraction using polymeric adsorbent columns. Chromatography was performed using a C18 reversed-phase column with a mobile phase consisting of water-acetonitrile (71:29, v/v) containing 0.05 M Na2HPO4 and 0.05% v/v triethylamine adjusted to pH 4.6 with citric acid. Linearity of the method was obtained in the concentration range of 1-500 ng/ml for all the analytes. Analytical recoveries of the analytes ranged from 89 to 93%. The assay can be used for the simultaneous determination of the four analytes, or for epirubicin and its metabolite or doxorubicin and its metabolite, using the other parent drug as an internal standard. The method was applied to analyze human plasma samples from patients treated with epirubicin using doxorubicin as an internal standard.","author":[{"dropping-particle":"","family":"Ricciarello","given":"R.","non-dropping-particle":"","parse-names":false,"suffix":""},{"dropping-particle":"","family":"Pichini","given":"S.","non-dropping-particle":"","parse-names":false,"suffix":""},{"dropping-particle":"","family":"Pacifici","given":"R.","non-dropping-particle":"","parse-names":false,"suffix":""},{"dropping-particle":"","family":"Altieri","given":"I.","non-dropping-particle":"","parse-names":false,"suffix":""},{"dropping-particle":"","family":"Pellegrini","given":"M.","non-dropping-particle":"","parse-names":false,"suffix":""},{"dropping-particle":"","family":"Fattorossi","given":"A.","non-dropping-particle":"","parse-names":false,"suffix":""},{"dropping-particle":"","family":"Zuccaro","given":"P.","non-dropping-particle":"","parse-names":false,"suffix":""}],"container-title":"Journal of Chromatography B: Biomedical Applications","id":"ITEM-6","issue":"1-2","issued":{"date-parts":[["1998"]]},"page":"219-225","title":"Simultaneous determination of epirubicin, doxorubicin and their principal metabolites in human plasma by high-performance liquid chromatography and electrochemical detection","type":"article-journal","volume":"707"},"uris":["http://www.mendeley.com/documents/?uuid=ab0991fc-be51-4341-a25e-e1ecd9bad733"]},{"id":"ITEM-7","itemData":{"DOI":"10.1016/j.jchromb.2009.09.044","ISSN":"15700232","PMID":"19828385","abstract":"A quantitative HPLC method with fluorescence detection has been developed for the simultaneous determination of four anthracyclines (doxorubicin, epirubicin, daunorubicin and idarubicin) and their respective 13-S-dihydro metabolites (doxorubicinol, epirubicinol, daunorubicinol and idarubicinol) in plasma and saliva, using epidaunorubicin as internal standard. A progressive optimization matrix led to a two-step extraction based on a protein precipitation with ethanol followed by a liquid-liquid extraction with dichloromethane after pH adjustment to 8.5. The chromatographic separation was performed in 14 min on a C18 column, applying gradient elution with a mixture of 0.1% formic acid in water and 0.1% formic acid in acetonitrile. The analytes were detected and quantified at an excitation and emission wavelength of 480 and 555 nm, respectively. Limit of detection (LOD) and lower limit of quantification (LLOQ) were 0.3 or 0.75, and 1 or 2.5 ng/mL, respectively. Linearity by means of weighted (1/x) regression was obtained from the LLOQ up to 1000 or 2500 ng/mL for the parent drugs and up to 400 or 1000 ng/mL for the metabolites. Intra-assay and inter-assay relative standard deviation values were all less than 14% at low, medium and high levels, and below 17% at the LLOQ. Accuracy ranged between 91 and 113% at low, medium and high concentrations and between 83 and 118% at the LLOQ. Absolute recoveries were between 78 and 88% in plasma, and between 70 and 79% in saliva, respectively. Autosampler, benchtop, freeze-thaw and long-term stability samples fulfilled acceptance criteria. This selective method was applied successfully to the analysis of plasma and saliva samples from patients administered epirubicin intravenously. © 2009 Elsevier B.V. All rights reserved.","author":[{"dropping-particle":"","family":"Maudens","given":"Kristof E.","non-dropping-particle":"","parse-names":false,"suffix":""},{"dropping-particle":"","family":"Stove","given":"Christophe P.","non-dropping-particle":"","parse-names":false,"suffix":""},{"dropping-particle":"","family":"Cocquyt","given":"Veronique F J","non-dropping-particle":"","parse-names":false,"suffix":""},{"dropping-particle":"","family":"Denys","given":"Hannelore","non-dropping-particle":"","parse-names":false,"suffix":""},{"dropping-particle":"","family":"Lambert","given":"Willy E.","non-dropping-particle":"","parse-names":false,"suffix":""}],"container-title":"Journal of Chromatography B: Analytical Technologies in the Biomedical and Life Sciences","id":"ITEM-7","issue":"30","issued":{"date-parts":[["2009"]]},"page":"3907-3915","title":"Development and validation of a liquid chromatographic method for the simultaneous determination of four anthracyclines and their respective 13-S-dihydro metabolites in plasma and saliva","type":"article-journal","volume":"877"},"uris":["http://www.mendeley.com/documents/?uuid=ab0d83c5-972a-4e8b-bb30-2aa750d60b9f"]},{"id":"ITEM-8","itemData":{"DOI":"10.1016/0378-4347(91)80485-U","ISSN":"03784347","PMID":"1818055","abstract":"A sensitive and rapid method for measuring epidoxorubicin and its six metabolites by high-performance liquid chromatography using an advanced automated sample processor is described. Plasma samples (1 ml) were extracted using C2 cassettes, and reversed-phase chromatography was performed with an Apex II ODS column. The isocratic mobile phase of acetonitrile-0.019 M NaH2PO4 (pH 4.0) had a flow-rate of 1 ml/min and the fluorescence detector an excitation wavelength of 480 nm with an emission at 580 nm. Linear calibration curves were obtained which were reproducible both within-day and day-to-day (coefficients of variation &lt; 10%). The extraction efficacy of epidoxorubicin was 88% and ranged from 51 to 88% for the metabolites. This method has been successfully applied to measure the plasma levels of these compounds in patients receiving epidoxorubicin over a wide dose range (12-120 mg/m2) and in patients with disturbed liver biochemistry. © 1991.","author":[{"dropping-particle":"","family":"Dobbs","given":"Nicola A.","non-dropping-particle":"","parse-names":false,"suffix":""},{"dropping-particle":"","family":"Twelves","given":"Christopher J.","non-dropping-particle":"","parse-names":false,"suffix":""}],"container-title":"Journal of Chromatography B: Biomedical Sciences and Applications","id":"ITEM-8","issue":"1-2","issued":{"date-parts":[["1991"]]},"page":"211-217","title":"Measurement of epidoxorubicin and its metabolites by high-performance liquid chromatography using an advanced automated sample processor","type":"article-journal","volume":"572"},"uris":["http://www.mendeley.com/documents/?uuid=352e130b-735d-4771-ab9f-84acb750fbb4"]},{"id":"ITEM-9","itemData":{"DOI":"10.1002/bmc.1130040103","ISSN":"10990801","PMID":"2310837","a</w:instrText>
      </w:r>
      <w:r w:rsidR="004818CD">
        <w:rPr>
          <w:rFonts w:ascii="Times New Roman" w:hAnsi="Times New Roman" w:cs="Times New Roman" w:hint="eastAsia"/>
          <w:sz w:val="24"/>
          <w:szCs w:val="24"/>
        </w:rPr>
        <w:instrText>bstract":"A rapid sensitive and selective isocratic technique was developed for the analysis of plasma epirubicin and three of its known fluorescent metabolites epirubicinol,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epidoxorubicin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 1,3</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dihydro</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epidoxorubicin, with daunorubicin as an internal standard, by using high performance liquid chromatography (HPLC) with fluorescence detection and a </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Hypersil ODS</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 column. The drugs were easily and efficiently extracted with a Sep</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Pak C18 cartridge and the me</w:instrText>
      </w:r>
      <w:r w:rsidR="004818CD">
        <w:rPr>
          <w:rFonts w:ascii="Times New Roman" w:hAnsi="Times New Roman" w:cs="Times New Roman"/>
          <w:sz w:val="24"/>
          <w:szCs w:val="24"/>
        </w:rPr>
        <w:instrText>an recoveries were greater than 85%. Intraassay and Interassay coefficients of variation (plasma samples) were better than 8.25%. An example of pharmacokinetic study obtained in a cancer patient after intravenous injection of epirubicine is described. Copyright © 1990 John Wiley &amp; Sons, Ltd.","author":[{"dropping-particle":"","family":"Dine","given":"T.","non-dropping-particle":"","parse-names":false,"suffix":""},{"dropping-particle":"","family":"Brunet","given":"C.","non-dropping-particle":"","parse-names":false,"suffix":""},{"dropping-particle":"","family":"Luyckx","given":"M.","non-dropping-particle":"","parse-names":false,"suffix":""},{"dropping-particle":"","family":"Cazin","given":"M.","non-dropping-particle":"","parse-names":false,"suffix":""},{"dropping-particle":"","family":"Gosselin","given":"P.","non-dropping-particle":"","parse-names":false,"suffix":""},{"dropping-particle":"","family":"Cazin","given":"J. L.","non-dropping-particle":"","parse-names":false,"suffix":""}],"container-title":"Biomedical Chromatography","id":"ITEM-9","issue":"1","issued":{"date-parts":[["1990"]]},"page":"20-23","title":"Rapid quantitative determination of epirubicin and its metabolites in plasma using high performance liquid chromatography and fluorescence detection","type":"article-journal","volume":"4"},"uris":["http://www.mendeley.com/documents/?uuid=b79a8003-a681-4b27-9a46-161c3eee448a"]},{"id":"ITEM-10","itemData":{"DOI":"10.1016/j.talanta.2006.10.010","ISSN":"00399140","abstract":"A highly sensitive and selective liquid chromatography-mass spectrometry (LC-MS) method has been developed for the determination of epirubicin in serum and cell specimens using daunorubicin as an internal standard. Using atmospheric pressure chemical ionisation (APCI), the epirubicin metabolites were readily distinguishable by their fragmentation pattern in the mass spectrometer. Selected reaction monitoring (SRM) mode was employed for quantitation of epirubicin and the metabolites. Following extraction, chromatography was performed on a C18 column with a mobile phase consisting of water-acetonitrile-formic acid, pH 3.2, with a flow rate of 200 μl/min. The limit of detection (LOD) and the limit of quantitation (LOQ) of this method in serum were determined to be 1.0 and 2.5 ng/ml, respectively. Linearity of the method was verified over the concentration range of 2.5-2000 ng/ml, with a high correlation coefficient (R2 ≥ 0.998). For the extraction procedure, an aliquot of 500 μl serum, spiked with internal standard, was extracted using a chloroform-2-isopropanol (2:1, v/v) mixture. The method has been applied to the analysis of epirubicin in cancer cell samples and the identification of known and unknown metabolites in clinical trial patient serum samples. © 2006 Elsevier B.V. All rights reserved.","author":[{"dropping-particle":"","family":"Wall","given":"Rachel","non-dropping-particle":"","parse-names":false,"suffix":""},{"dropping-particle":"","family":"McMahon","given":"Gillian","non-dropping-particle":"","parse-names":false,"suffix":""},{"dropping-particle":"","family":"Crown","given":"John","non-dropping-particle":"","parse-names":false,"suffix":""},{"dropping-particle":"","family":"Clynes","given":"Martin","non-dropping-particle":"","parse-names":false,"suffix":""},{"dropping-particle":"","family":"O'Connor","given":"Robert","non-dropping-particle":"","parse-names":false,"suffix":""}],"container-title":"Talanta","id":"ITEM-10","issue":"1","issued":{"date-parts":[["2007"]]},"page":"145-154","title":"Rapid and sensitive liquid chromatography-tandem mass spectrometry for the quantitation of epirubicin and identification of metabolites in biological samples","type":"article-journal","volume":"72"},"uris":["http://www.mendeley.com/documents/?uuid=193119d9-9a11-4203-9d2a-3f55413df188"]},{"id":"ITEM-11","itemData":{"DOI":"10.1016/S0378-4347(99)00529-0","ISSN":"13872273","PMID":"10718646","abstract":"A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Applications","id":"ITEM-11","issue":"2","issued":{"date-parts":[["2000"]]},"page":"281-291","title":"Simultaneous determination of four anthracyclines and three metabolites in human serum by liquid chromatography-electrospray mass spectrometry","type":"article-journal","volume":"738"},"uris":["http://www.mendeley.com/documents/?uuid=8a2424d0-b5b2-4229-ad1b-96b4da3a7807"]},{"id":"ITEM-12","itemData":{"DOI":"10.1002/jssc.201000026","ISSN":"16159314","PMID":"20437415","abstract":"An online SPE-LC method that can determine both anthracyclines and taxanes simultaneously in human serum samples is reported. The entire method of extraction, separation and UV detection was achieved online by column switching between an SPE column (Biotrap 500 (20 x 4 mm)) and an analytical column (Zorbax XDB C18, 150 x 4.6 mm, 5 μm) with a 23 min total cycle time. The method is linear (r2&gt;0.998) over the range of 0.5-25 μg/mL. The analytes of interest are retained on the SPE column with good recovery (84-117%), while proteins and other serum components elute to waste. This online cleanup is much faster (150 s) and less manual than traditional off-line extraction methods. Using 0.1 mL spiked serum samples, the LOQ was 0.5 μg/mL. Intra- and inter-day precision were acceptable (≤15% RSD) at and above the LOQ. The method was applied to the analysis of serum samples from patients undergoing chemotherapy with these agents. © 2010 Wiley-VCH Verlag GmbH &amp; Co. KGaA.","author":[{"dropping-particle":"","family":"Bermingham","given":"Shane","non-dropping-particle":"","parse-names":false,"suffix":""},{"dropping-particle":"","family":"O'Connor","given":"Robert","non-dropping-particle":"","parse-names":false,"suffix":""},{"dropping-particle":"","family":"Regan","given":"Fiona","non-dropping-particle":"","parse-names":false,"suffix":""},{"dropping-particle":"","family":"McMahon","given":"Gillian P.","non-dropping-particle":"","parse-names":false,"suffix":""}],"container-title":"Journal of Separation Science","id":"ITEM-12","issue":"11","issued":{"date-parts":[["2010"]]},"page":"1571-1579","title":"Simultaneous determination of anthracyclines and taxanes in human serum using online sample extraction coupled to high performance liquid chromatography with UV detection","type":"article-journal","volume":"33"},"uris":["http://www.mendeley.com/documents/?uuid=96b0dd0d-c17e-4132-972e-a585589cd9de"]},{"id":"ITEM-13","itemData":{"DOI":"10.1097/00007691-199906000-00022","ISSN":"01634356","abstract":"A single high-performance liquid chromatography (HPLC) method, suitable for the analysis of daunorubicin, idarubicin, doxorubicin, epirubicin, and their 13-dihydro metabolites is validated in the present study. Preparation of plasma samples was performed by a first extraction of analytes with a chloroform/1-heptanol mixture (9:1) and reextraction with ortophosphoric acid 0.1 M. The chromatographic analysis was carried out by reversed-phase isocratic elution of anthracyclines with a Supelcosil LC-CN 5 mm column (25 cm x 4.6 mm internal diameter; Supelco) and detection was accomplished by spectrofluorimetry at excitation and emission wavelengths of 480 and 560 nm, respectively. All anthracyclines eluted within 15 minutes of injection and the method appeared to be specific, because the chromatographic assay did not show interferences at the retention time of analytes. The linearity, evaluated over a concentration range of 0.4-10,000 ng/mL, gave regression coefficients better than 0.999, with recoveries of doxorubicin-doxorubicinol and epirubicin-epirubicinol of 67%-109% and 61%-109% respectively, and 93%- 109% for the other compounds. The limits of detection and quantification were 0.4 ng/mL in a 50-mL sample (40 pg/injection) for all anthracyclines tested. The method proved to be precise and accurate, as the within-day and between- day coefficients of variation were less than 10% and the accuracy of the assay was in the range of 91%-107%. Overall results indicate that it is feasible to analyze all the anthracyclines used in clinical practice and their major metabolites with a single optimized method, thereby simplifying their monitoring in chemotherapeutic regimens of cancer patients.","author":[{"dropping-particle":"","family":"Fogli","given":"Stefano","non-dropping-particle":"","parse-names":false,"suffix":""},{"dropping-particle":"","family":"Danesi","given":"Romano","non-dropping-particle":"","parse-names":false,"suffix":""},{"dropping-particle":"","family":"Innocenti","given":"Federico","non-dropping-particle":"","parse-names":false,"suffix":""},{"dropping-particle":"","family":"Paolo","given":"Antonello","non-dropping-particle":"Di","parse-names":false,"suffix":""},{"dropping-particle":"","family":"Bocci","given":"Guido","non-dropping-particle":"","parse-names":false,"suffix":""},{"dropping-particle":"","family":"Barbara","given":"Cecilia","non-dropping-particle":"","parse-names":false,"suffix":""},{"dropping-particle":"","family":"Tacca","given":"Mario","non-dropping-particle":"Del","parse-names":false,"suffix":""}],"container-title":"Therapeutic Drug Monitoring","id":"ITEM-13","issue":"3","issued":{"date-parts":[["1999"]]},"page":"367-375","title":"An improved HPLC method for therapeutic drug monitoring of daunorubicin, idarubicin, doxorubicin, epirubicin, and their 13-dihydro metabolites in human plasma","type":"article-journal","volume":"21"},"uris":["http://www.mendeley.com/documents/?uuid=a35327cf-2860-463c-9627-2e1c15e26f01"]}],"mendeley":{"formattedCitation":"[58], [65]–[76]","plainTextFormattedCitation":"[58], [65]–[76]","previouslyFormattedCitation":"[58], [65]–[76]"},"properties":{"noteIndex":0},"schema":"https://github.com/citation-style-language/schema/raw/master/csl-citation.json"}</w:instrText>
      </w:r>
      <w:r w:rsidR="00534DDC">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[58], [65]–[76]</w:t>
      </w:r>
      <w:r w:rsidR="00534DDC">
        <w:rPr>
          <w:rFonts w:ascii="Times New Roman" w:hAnsi="Times New Roman" w:cs="Times New Roman"/>
          <w:sz w:val="24"/>
          <w:szCs w:val="24"/>
        </w:rPr>
        <w:fldChar w:fldCharType="end"/>
      </w:r>
      <w:r w:rsidRPr="00E11754">
        <w:rPr>
          <w:rFonts w:ascii="Times New Roman" w:hAnsi="Times New Roman" w:cs="Times New Roman"/>
          <w:sz w:val="24"/>
          <w:szCs w:val="24"/>
        </w:rPr>
        <w:t xml:space="preserve">, gdy od 2013 roku nie ukazała się żadna publikacja, która opisywałaby procedurę oznaczania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w moczu, a jej użyteczność</w:t>
      </w:r>
      <w:r w:rsidR="00E93CD5">
        <w:rPr>
          <w:rFonts w:ascii="Times New Roman" w:hAnsi="Times New Roman" w:cs="Times New Roman"/>
          <w:sz w:val="24"/>
          <w:szCs w:val="24"/>
        </w:rPr>
        <w:t xml:space="preserve"> została</w:t>
      </w:r>
      <w:r w:rsidRPr="00E11754">
        <w:rPr>
          <w:rFonts w:ascii="Times New Roman" w:hAnsi="Times New Roman" w:cs="Times New Roman"/>
          <w:sz w:val="24"/>
          <w:szCs w:val="24"/>
        </w:rPr>
        <w:t xml:space="preserve"> potwierdzona podczas analizy rzeczywistych próbek pochodzących od pacjentów onkologicznych. W związku z tym zdecydowano się opracować metodę LC-FL do oznaczania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w osoczu i moczu, a następnie ocenić jej przydatność w praktyce klinicznej. Na podstawie danych literaturowych ustalono, że wśród procedur przygotowania prób najczęściej stosowano </w:t>
      </w:r>
      <w:proofErr w:type="spellStart"/>
      <w:r w:rsidRPr="00E11754">
        <w:rPr>
          <w:rFonts w:ascii="Times New Roman" w:hAnsi="Times New Roman" w:cs="Times New Roman"/>
          <w:sz w:val="24"/>
          <w:szCs w:val="24"/>
        </w:rPr>
        <w:t>deproteinizację</w:t>
      </w:r>
      <w:proofErr w:type="spellEnd"/>
      <w:r w:rsidR="003A23A8">
        <w:rPr>
          <w:rFonts w:ascii="Times New Roman" w:hAnsi="Times New Roman" w:cs="Times New Roman"/>
          <w:sz w:val="24"/>
          <w:szCs w:val="24"/>
        </w:rPr>
        <w:t xml:space="preserve"> </w:t>
      </w:r>
      <w:r w:rsidR="003A23A8">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{"citationItems":[{"id":"ITEM-1","itemData":{"DOI":"10.1016/j.jchromb.2009.09.044","ISSN":"15700232","PMID":"19828385","abstract":"A quantitative HPLC method with fluorescence detection has been developed for the simultaneous determination of four anthracyclines (doxorubicin, epirubicin, daunorubicin and idarubicin) and their respective 13-S-dihydro metabolites (doxorubicinol, epirubicinol, daunorubicinol and idarubicinol) in plasma and saliva, using epidaunorubicin as internal standard. A progressive optimization matrix led to a two-step extraction based on a protein precipitation with ethanol followed by a liquid-liquid extraction with dichloromethane after pH adjustment to 8.5. The chromatographic separation was performed in 14 min on a C18 column, applying gradient elution with a mixture of 0.1% formic acid in water and 0.1% formic acid in acetonitrile. The analytes were detected and quantified at an excitation and emission wavelength of 480 and 555 nm, respectively. Limit of detection (LOD) and lower limit of quantification (LLOQ) were 0.3 or 0.75, and 1 or 2.5 ng/mL, respectively. Linearity by means of weighted (1/x) regression was obtained from the LLOQ up to 1000 or 2500 ng/mL for the parent drugs and up to 400 or 1000 ng/mL for the metabolites. Intra-assay and inter-assay relative standard deviation values were all less than 14% at low, medium and high levels, and below 17% at the LLOQ. Accuracy ranged between 91 and 113% at low, medium and high concentrations and between 83 and 118% at the LLOQ. Absolute recoveries were between 78 and 88% in plasma, and between 70 and 79% in saliva, respectively. Autosampler, benchtop, freeze-thaw and long-term stability samples fulfilled acceptance criteria. This selective method was applied successfully to the analysis of plasma and saliva samples from patients administered epirubicin intravenously. © 2009 Elsevier B.V. All rights reserved.","author":[{"dropping-particle":"","family":"Maudens","given":"Kristof E.","non-dropping-particle":"","parse-names":false,"suffix":""},{"dropping-particle":"","family":"Stove","given":"Christophe P.","non-dropping-particle":"","parse-names":false,"suffix":""},{"dropping-particle":"","family":"Cocquyt","given":"Veronique F J","non-dropping-particle":"","parse-names":false,"suffix":""},{"dropping-particle":"","family":"Denys","given":"Hannelore","non-dropping-particle":"","parse-names":false,"suffix":""},{"dropping-particle":"","family":"Lambert","given":"Willy E.","non-dropping-particle":"","parse-names":false,"suffix":""}],"container-title":"Journal of Chromatography B: Analytical Technologies in the Biomedical and Life Sciences","id":"ITEM-1","issue":"30","issued":{"date-parts":[["2009"]]},"page":"3907-3915","title":"Development and validation of a liquid chromatographic method for the simultaneous determination of four anthracyclines and their respective 13-S-dihydro metabolites in plasma and saliva","type":"article-journal","volume":"877"},"uris":["http://www.mendeley.com/documents/?uuid=ab0d83c5-972a-4e8b-bb30-2aa750d60b9f"]},{"id":"ITEM-2","itemData":{"DOI":"10.1016/0378-4347(96)00030-8","ISSN":"15726495","PMID":"8811443","abstract":"In order to determine epirubicin and its metabolites at low concentrations (&lt; 38 ng/ml) in small plasma samples, a fast reliable method based on a precipitation pre-treatment and sensitive reversed-phase isocratic HPLC has been developed and validated for epirubicin in the range 5-100 ng/ml. The R.S.D. was 5-9% over this concentration range. For human serum containing 25 ng/ml of epirubicin, the inter- and intra-day variation was &lt; 10%. Recoveries of the metabolites epirubicinol, 7-deoxydoxorubicinone and 7-deoxydoxorubicinolone at 20 ng/ml ranged from 94-104%. The assay has been used to study human plasma samples taken during a 96-h infusion of epirubicin in a patient with multiple myeloma. The combined levels of the unseparated metabolites, epirubicin glucuronide and epirubicinol glucuronide, were semiquantitatively determined after treatment with β-glucuronidase. The metabolites epirubicinol and 7-deoxydoxorubicinolone, but not 7-deoxydoxorubicinone, were also detected and measured.","author":[{"dropping-particle":"","family":"Barker","given":"Ian K.","non-dropping-particle":"","parse-names":false,"suffix":""},{"dropping-particle":"","family":"Crawford","given":"S. Michael","non-dropping-particle":"","parse-names":false,"suffix":""},{"dropping-particle":"","family":"Fell","given":"Anthony F.","non-dropping-particle":"","parse-names":false,"suffix":""}],"container-title":"Journal of Chromatography B: Biomedical Applications","id":"ITEM-2","issue":"2","issued":{"date-parts":[["1996"]]},"page":"323-329","title":"Determination of plasma concentrations of epirubicin and its metabolites by high-performance liquid chromatography during a 96-h infusion in cancer chemotherapy","type":"article-journal","volume":"681"},"uris":["http://www.mendeley.com/documents/?uuid=ad692e3b-4ff8-4908-819c-194386926b67"]},{"id":"ITEM-3","itemData":{"DOI":"10.1016/0378-4347(91)80485-U","ISSN":"03784347","PMID":"1818055","abstract":"A sensitive and rapid method for measuring epidoxorubicin and its six metabolites by high-performance liquid chromatography using an advanced automated sample processor is described. Plasma samples (1 ml) were extracted using C2 cassettes, and reversed-phase chromatography was performed with an Apex II ODS column. The isocratic mobile phase of acetonitrile-0.019 M NaH2PO4 (pH 4.0) had a flow-rate of 1 ml/min and the fluorescence detector an excitation wavelength of 480 nm with an emission at 580 nm. Linear calibration curves were obtained which were reproducible both within-day and day-to-day (coefficients of variation &lt; 10%). The extraction efficacy of epidoxorubicin was 88% and ranged from 51 to 88% for the metabolites. This method has been successfully applied to measure the plasma levels of these compounds in patients receiving epidoxorubicin over a wide dose range (12-120 mg/m2) and in patients with disturbed liver biochemistry. © 1991.","author":[{"dropping-particle":"","family":"Dobbs","given":"Nicola A.","non-dropping-particle":"","parse-names":false,"suffix":""},{"dropping-particle":"","family":"Twelves","given":"Christopher J.","non-dropping-particle":"","parse-names":false,"suffix":""}],"container-title":"Journal of Chromatography B: Biomedical Sciences and Applications","id":"ITEM-3","issue":"1-2","issued":{"date-parts":[["1991"]]},"page":"211-217","title":"Measurement of epidoxorubicin and its metabolites by high-performance liquid chromatography using an advanced automated sample processor","type":"article-journal","volume":"572"},"uris":["http://www.mendeley.com/documents/?uuid=352e130b-735d-4771-ab9f-84acb750fbb4"]}],"mendeley":{"formattedCitation":"[69], [73], [74]","plainTextFormattedCitation":"[69], [73], [74]","previouslyFormattedCitation":"[69], [73], [74]"},"properties":{"noteIndex":0},"schema":"https://github.com/citation-style-language/schema/raw/master/csl-citation.json"}</w:instrText>
      </w:r>
      <w:r w:rsidR="003A23A8">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[69], [73], [74]</w:t>
      </w:r>
      <w:r w:rsidR="003A23A8">
        <w:rPr>
          <w:rFonts w:ascii="Times New Roman" w:hAnsi="Times New Roman" w:cs="Times New Roman"/>
          <w:sz w:val="24"/>
          <w:szCs w:val="24"/>
        </w:rPr>
        <w:fldChar w:fldCharType="end"/>
      </w:r>
      <w:r w:rsidR="001E7CD6" w:rsidRPr="00E11754">
        <w:rPr>
          <w:rFonts w:ascii="Times New Roman" w:hAnsi="Times New Roman" w:cs="Times New Roman"/>
          <w:sz w:val="24"/>
          <w:szCs w:val="24"/>
        </w:rPr>
        <w:t xml:space="preserve">, LLE </w:t>
      </w:r>
      <w:r w:rsidR="00124DCC">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{"citationItems":[{"id":"ITEM-1","itemData":{"DOI":"10.1097/00007691-200308000-00003","ISSN":"01634356","PMID":"12883225","abstract":"We present a high-performance liquid chromatography (HPLC) method suitable for the analysis of epirubicin and its metabolite epirubicinol in saliva and plasma. Preparation of saliva and plasma samples was performed by extraction of analytes with a chloroform: 2-propanol mixture (6:1, vol/vol) and evaporation of the organic phase to dryness under vacuum at a temperature of approximately 45°C. The chromatographic analysis was carried out by reversed-phase isocratic elution of the anthracyclines with a Chromsep stainless steel HPLC column (150 x 4.6 mm I.D.) filled with Nucleosil 100 S C18 material, particle size 5 μm. The detection was accomplished by spectrofluorimetry at excitation and emission wavelengths of 474 and 551 nm, respectively. The anthracyclines eluted within 10 min of injection, and the method appeared to be specific. The method is linear over a concentration range of 5 to 1000 μg/L for epirubicin and 2 to 400 μg/L for epirubicinol (r &gt; 0.99) in both saliva and plasma. The recoveries from saliva and plasma of epirubicin, epirubicinol, and the internal standard doxorubicin were 88.9 and 69.0%, 87.6 and 77.3%, and 80 and 67.9%, respectively. The lower limit of quantification was 5 μg/L for epirubicin and 2 μg/L for epirubicinol. The method proved to be precise and accurate, as the within-day and between-day coefficients of variation were less than 10%. Overall results indicate that our method is suitable for the bioanalysis of epirubicin and epirubicinol in saliva as well as plasma.","author":[{"dropping-particle":"","family":"Dodde","given":"Wilma I.W.","non-dropping-particle":"","parse-names":false,"suffix":""},{"dropping-particle":"","family":"Maring","given":"Jan Gerard","non-dropping-particle":"","parse-names":false,"suffix":""},{"dropping-particle":"","family":"Hendriks","given":"Gert","non-dropping-particle":"","parse-names":false,"suffix":""},{"dropping-particle":"","family":"Wachters","given":"Floris M.","non-dropping-particle":"","parse-names":false,"suffix":""},{"dropping-particle":"","family":"Groen","given":"Harry J.M.","non-dropping-particle":"","parse-names":false,"suffix":""},{"dropping-particle":"","family":"Vries","given":"Elisabeth G.E.","non-dropping-particle":"De","parse-names":false,"suffix":""},{"dropping-particle":"","family":"Uges","given":"Donald R.A.","non-dropping-particle":"","parse-names":false,"suffix":""}],"container-title":"Therapeutic Drug Monitoring","id":"ITEM-1","issue":"4","issued":{"date-parts":[["2003"]]},"page":"433-440","title":"Determination of epirubicin and its metabolite epirubicinol in saliva and plasma by HPLC","type":"article-journal","volume":"25"},"uris":["http://www.mendeley.com/documents/?uuid=ae04d002-dba4-4093-9002-154d6d6bae90"]},{"id":"ITEM-2","itemData":{"DOI":"10.1016/j.jchromb.2009.09.044","ISSN":"15700232","PMID":"19828385","abstract":"A quantitative HPLC method with fluorescence detection has been developed for the simultaneous determination of four anthracyclines (doxorubicin, epirubicin, daunorubicin and idarubicin) and their respective 13-S-dihydro metabolites (doxorubicinol, epirubicinol, daunorubicinol and idarubicinol) in plasma and saliva, using epidaunorubicin as internal standard. A progressive optimization matrix led to a two-step extraction based on a protein precipitation with ethanol followed by a liquid-liquid extraction with dichloromethane after pH adjustment to 8.5. The chromatographic separation was performed in 14 min on a C18 column, applying gradient elution with a mixture of 0.1% formic acid in water and 0.1% formic acid in acetonitrile. The analytes were detected and quantified at an excitation and emission wavelength of 480 and 555 nm, respectively. Limit of detection (LOD) and lower limit of quantification (LLOQ) were 0.3 or 0.75, and 1 or 2.5 ng/mL, respectively. Linearity by means of weighted (1/x) regression was obtained from the LLOQ up to 1000 or 2500 ng/mL for the parent drugs and up to 400 or 1000 ng/mL for the metabolites. Intra-assay and inter-assay relative standard deviation values were all less than 14% at low, medium and high levels, and below 17% at the LLOQ. Accuracy ranged between 91 and 113% at low, medium and high concentrations and between 83 and 118% at the LLOQ. Absolute recoveries were between 78 and 88% in plasma, and between 70 and 79% in saliva, respectively. Autosampler, benchtop, freeze-thaw and long-term stability samples fulfilled acceptance criteria. This selective method was applied successfully to the analysis of plasma and saliva samples from patients administered epirubicin intravenously. © 2009 Elsevier B.V. All rights reserved.","author":[{"dropping-particle":"","family":"Maudens","given":"Kristof E.","non-dropping-particle":"","parse-names":false,"suffix":""},{"dropping-particle":"","family":"Stove","given":"Christophe P.","non-dropping-particle":"","parse-names":false,"suffix":""},{"dropping-particle":"","family":"Cocquyt","given":"Veronique F J","non-dropping-particle":"","parse-names":false,"suffix":""},{"dropping-particle":"","family":"Denys","given":"Hannelore","non-dropping-particle":"","parse-names":false,"suffix":""},{"dropping-particle":"","family":"Lambert","given":"Willy E.","non-dropping-particle":"","parse-names":false,"suffix":""}],"container-title":"Journal of Chromatography B: Analytical Technologies in the Biomedical and Life Sciences","id":"ITEM-2","issue":"30","issued":{"date-parts":[["2009"]]},"page":"3907-3915","title":"Development and validation of a liquid chromatographic method for the simultaneous determination of four anthracyclines and their respective 13-S-dihydro metabolites in plasma and saliva","type":"article-journal","volume":"877"},"uris":["http://www.mendeley.com/documents/?uuid=ab0d83c5-972a-4e8b-bb30-2aa750d60b9f"]},{"id":"ITEM-3","itemData":{"DOI":"10.1016/j.talanta.2006.10.010","ISSN":"00399140","abstract":"A highly sensitive and selective liquid chromatography-mass spectrometry (LC-MS) method has been developed for the determination of epirubicin in serum and cell specimens using daunorubicin as an internal standard. Using atmospheric pressure chemical ionisation (APCI), the epirubicin metabolites were readily distinguishable by their fragmentation pattern in the mass spectrometer. Selected reaction monitoring (SRM) mode was employed for quantitation of epirubicin and the metabolites. Following extraction, chromatography was performed on a C18 column with a mobile phase consisting of water-acetonitrile-formic acid, pH 3.2, with a flow rate of 200 μl/min. The limit of detection (LOD) and the limit of quantitation (LOQ) of this method in serum were determined to be 1.0 and 2.5 ng/ml, respectively. Linearity of the method was verified over the concentration range of 2.5-2000 ng/ml, with a high correlation coefficient (R2 ≥ 0.998). For the extraction procedure, an aliquot of 500 μl serum, spiked with internal standard, was extracted using a chloroform-2-isopropanol (2:1, v/v) mixture. The method has been applied to the analysis of epirubicin in cancer cell samples and the identification of known and unknown metabolites in clinical trial patient serum samples. © 2006 Elsevier B.V. All rights reserved.","author":[{"dropping-particle":"","family":"Wall","given":"Rachel","non-dropping-particle":"","parse-names":false,"suffix":""},{"dropping-particle":"","family":"McMahon","given":"Gillian","non-dropping-particle":"","parse-names":false,"suffix":""},{"dropping-particle":"","family":"Crown","given":"John","non-dropping-particle":"","parse-names":false,"suffix":""},{"dropping-particle":"","family":"Clynes","given":"Martin","non-dropping-particle":"","parse-names":false,"suffix":""},{"dropping-particle":"","family":"O'Connor","given":"Robert","non-dropping-particle":"","parse-names":false,"suffix":""}],"container-title":"Talanta","id":"ITEM-3","issue":"1","issued":{"date-parts":[["2007"]]},"page":"145-154","title":"Rapid and sensitive liquid chromatography-tandem mass spectrometry for the quantitation of epirubicin and identification of metabolites in biological samples","type":"article-journal","volume":"72"},"uris":["http://www.mendeley.com/documents/?uuid=193119d9-9a11-4203-9d2a-3f55413df188"]},{"id":"ITEM-4","itemData":{"DOI":"10.1097/00007691-199906000-00022","ISSN":"01634356","abstract":"A single high-performance liquid chromatography (HPLC) method, suitable for the analysis of daunorubicin, idarubicin, doxorubicin, epirubicin, and their 13-dihydro metabolites is validated in the present study. Preparation of plasma samples was performed by a first extraction of analytes with a chloroform/1-heptanol mixture (9:1) and reextraction with ortophosphoric acid 0.1 M. The chromatographic analysis was carried out by reversed-phase isocratic elution of anthracyclines with a Supelcosil LC-CN 5 mm column (25 cm x 4.6 mm internal diameter; Supelco) and detection was accomplished by spectrofluorimetry at excitation and emission wavelengths of 480 and 560 nm, respectively. All anthracyclines eluted within 15 minutes of injection and the method appeared to be specific, because the chromatographic assay did not show interferences at the retention time of analytes. The linearity, evaluated over a concentration range of 0.4-10,000 ng/mL, gave regression coefficients better than 0.999, with recoveries of doxorubicin-doxorubicinol and epirubicin-epirubicinol of 67%-109% and 61%-109% respectively, and 93%- 109% for the other compounds. The limits of detection and quantification were 0.4 ng/mL in a 50-mL sample (40 pg/injection) for all anthracyclines tested. The method proved to be precise and accurate, as the within-day and between- day coefficients of variation were less than 10% and the accuracy of the assay was in the range of 91%-107%. Overall results indicate that it is feasible to analyze all the anthracyclines used in clinical practice and their major metabolites with a single optimized method, thereby simplifying their monitoring in chemotherapeutic regimens of cancer patients.","author":[{"dropping-particle":"","family":"Fogli","given":"Stefano","non-dropping-particle":"","parse-names":false,"suffix":""},{"dropping-particle":"","family":"Danesi","given":"Romano","non-dropping-particle":"","parse-names":false,"suffix":""},{"dropping-particle":"","family":"Innocenti","given":"Federico","non-dropping-particle":"","parse-names":false,"suffix":""},{"dropping-particle":"","family":"Paolo","given":"Antonello","non-dropping-particle":"Di","parse-names":false,"suffix":""},{"dropping-particle":"","family":"Bocci","given":"Guido","non-dropping-particle":"","parse-names":false,"suffix":""},{"dropping-particle":"","family":"Barbara","given":"Cecilia","non-dropping-particle":"","parse-names":false,"suffix":""},{"dropping-particle":"","family":"Tacca","given":"Mario","non-dropping-particle":"Del","parse-names":false,"suffix":""}],"container-title":"Therapeutic Drug Monitoring","id":"ITEM-4","issue":"3","issued":{"date-parts":[["1999"]]},"page":"367-375","title":"An improved HPLC method for therapeutic drug monitoring of daunorubicin, idarubicin, doxorubicin, epirubicin, and their 13-dihydro metabolites in human plasma","type":"article-journal","volume":"21"},"uris":["http://www.mendeley.com/documents/?uuid=a35327cf-2860-463c-9627-2e1c15e26f01"]}],"mendeley":{"formattedCitation":"[68], [72], [73], [76]","plainTextFormattedCitation":"[68], [72], [73], [76]","previouslyFormattedCitation":"[68], [72], [73], [76]"},"properties":{"noteIndex":0},"schema":"https://github.com/citation-style-language/schema/raw/master/csl-citation.json"}</w:instrText>
      </w:r>
      <w:r w:rsidR="00124DCC">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[68], [72], [73], [76]</w:t>
      </w:r>
      <w:r w:rsidR="00124DCC">
        <w:rPr>
          <w:rFonts w:ascii="Times New Roman" w:hAnsi="Times New Roman" w:cs="Times New Roman"/>
          <w:sz w:val="24"/>
          <w:szCs w:val="24"/>
        </w:rPr>
        <w:fldChar w:fldCharType="end"/>
      </w:r>
      <w:r w:rsidR="00245889" w:rsidRPr="007700A8">
        <w:rPr>
          <w:rFonts w:ascii="Times New Roman" w:hAnsi="Times New Roman" w:cs="Times New Roman"/>
          <w:sz w:val="24"/>
          <w:szCs w:val="24"/>
        </w:rPr>
        <w:t xml:space="preserve"> </w:t>
      </w:r>
      <w:r w:rsidR="00245889" w:rsidRPr="00E11754">
        <w:rPr>
          <w:rFonts w:ascii="Times New Roman" w:hAnsi="Times New Roman" w:cs="Times New Roman"/>
          <w:sz w:val="24"/>
          <w:szCs w:val="24"/>
        </w:rPr>
        <w:t>a także SPE z kolumienkami</w:t>
      </w:r>
      <w:r w:rsidRPr="00E11754">
        <w:rPr>
          <w:rFonts w:ascii="Times New Roman" w:hAnsi="Times New Roman" w:cs="Times New Roman"/>
          <w:sz w:val="24"/>
          <w:szCs w:val="24"/>
        </w:rPr>
        <w:t xml:space="preserve"> C2</w:t>
      </w:r>
      <w:r w:rsidR="007700A8">
        <w:rPr>
          <w:rFonts w:ascii="Times New Roman" w:hAnsi="Times New Roman" w:cs="Times New Roman"/>
          <w:sz w:val="24"/>
          <w:szCs w:val="24"/>
        </w:rPr>
        <w:t xml:space="preserve"> </w:t>
      </w:r>
      <w:r w:rsidR="006C27C3">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{"citationItems":[{"id":"ITEM-1","itemData":{"DOI":"10.1016/0378-4347(91)80485-U","ISSN":"03784347","PMID":"1818055","abstract":"A sensitive and rapid method for measuring epidoxorubicin and its six metabolites by high-performance liquid chromatography using an advanced automated sample processor is described. Plasma samples (1 ml) were extracted using C2 cassettes, and reversed-phase chromatography was performed with an Apex II ODS column. The isocratic mobile phase of acetonitrile-0.019 M NaH2PO4 (pH 4.0) had a flow-rate of 1 ml/min and the fluorescence detector an excitation wavelength of 480 nm with an emission at 580 nm. Linear calibration curves were obtained which were reproducible both within-day and day-to-day (coefficients of variation &lt; 10%). The extraction efficacy of epidoxorubicin was 88% and ranged from 51 to 88% for the metabolites. This method has been successfully applied to measure the plasma levels of these compounds in patients receiving epidoxorubicin over a wide dose range (12-120 mg/m2) and in patients with disturbed liver biochemistry. © 1991.","author":[{"dropping-particle":"","family":"Dobbs","given":"Nicola A.","non-dropping-particle":"","parse-names":false,"suffix":""},{"dropping-particle":"","family":"Twelves","given":"Christopher J.","non-dropping-particle":"","parse-names":false,"suffix":""}],"container-title":"Journal of Chromatography B: Biomedical Sciences and Applications","id":"ITEM-1","issue":"1-2","issued":{"date-parts":[["1991"]]},"page":"211-217","title":"Measurement of epidoxorubicin and its metabolites by high-performance liquid chromatography using an advanced automated sample processor","type":"article-journal","volume":"572"},"uris":["http://www.mendeley.com/documents/?uuid=352e130b-735d-4771-ab9f-84acb750fbb4"]}],"mendeley":{"formattedCitation":"[74]","plainTextFormattedCitation":"[74]","previouslyFormattedCitation":"[74]"},"properties":{"noteIndex":0},"schema":"https://github.com/citation-style-language/schema/raw/master/csl-citation.json"}</w:instrText>
      </w:r>
      <w:r w:rsidR="006C27C3">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[74]</w:t>
      </w:r>
      <w:r w:rsidR="006C27C3">
        <w:rPr>
          <w:rFonts w:ascii="Times New Roman" w:hAnsi="Times New Roman" w:cs="Times New Roman"/>
          <w:sz w:val="24"/>
          <w:szCs w:val="24"/>
        </w:rPr>
        <w:fldChar w:fldCharType="end"/>
      </w:r>
      <w:r w:rsidR="000D2707" w:rsidRPr="00171BBD">
        <w:rPr>
          <w:rFonts w:ascii="Times New Roman" w:hAnsi="Times New Roman" w:cs="Times New Roman"/>
          <w:sz w:val="24"/>
          <w:szCs w:val="24"/>
        </w:rPr>
        <w:t xml:space="preserve">, </w:t>
      </w:r>
      <w:r w:rsidRPr="00E11754">
        <w:rPr>
          <w:rFonts w:ascii="Times New Roman" w:hAnsi="Times New Roman" w:cs="Times New Roman"/>
          <w:sz w:val="24"/>
          <w:szCs w:val="24"/>
        </w:rPr>
        <w:t>C8</w:t>
      </w:r>
      <w:r w:rsidRPr="38F9D99A">
        <w:rPr>
          <w:rFonts w:ascii="Times New Roman" w:hAnsi="Times New Roman" w:cs="Times New Roman"/>
          <w:sz w:val="24"/>
          <w:szCs w:val="24"/>
        </w:rPr>
        <w:t xml:space="preserve"> </w:t>
      </w:r>
      <w:r w:rsidR="00930DBB" w:rsidRPr="00036DE8">
        <w:rPr>
          <w:rFonts w:ascii="Times New Roman" w:hAnsi="Times New Roman" w:cs="Times New Roman"/>
          <w:sz w:val="24"/>
          <w:szCs w:val="24"/>
        </w:rPr>
        <w:fldChar w:fldCharType="begin" w:fldLock="1"/>
      </w:r>
      <w:r w:rsidR="00195DAD">
        <w:rPr>
          <w:rFonts w:ascii="Times New Roman" w:hAnsi="Times New Roman" w:cs="Times New Roman"/>
          <w:sz w:val="24"/>
          <w:szCs w:val="24"/>
        </w:rPr>
        <w:instrText>ADDIN CSL_CITATION {"citationItems":[{"id":"ITEM-1","itemData":{"DOI":"10.1016/0731-7085(91)80104-H","ISSN":"07317085","PMID":"1298402","abstract":"A reversed-phase isocratic high-performance liquid chromatographic method is described in which a formal st</w:instrText>
      </w:r>
      <w:r w:rsidR="00195DAD">
        <w:rPr>
          <w:rFonts w:ascii="Times New Roman" w:hAnsi="Times New Roman" w:cs="Times New Roman" w:hint="eastAsia"/>
          <w:sz w:val="24"/>
          <w:szCs w:val="24"/>
        </w:rPr>
        <w:instrText>ructured procedure was applied to predict the mobile phase composition giving optimal baseline resolution of the clinically important anticancer agents doxorubicin and 4</w:instrText>
      </w:r>
      <w:r w:rsidR="00195DAD">
        <w:rPr>
          <w:rFonts w:ascii="Times New Roman" w:hAnsi="Times New Roman" w:cs="Times New Roman" w:hint="eastAsia"/>
          <w:sz w:val="24"/>
          <w:szCs w:val="24"/>
        </w:rPr>
        <w:instrText>′</w:instrText>
      </w:r>
      <w:r w:rsidR="00195DAD">
        <w:rPr>
          <w:rFonts w:ascii="Times New Roman" w:hAnsi="Times New Roman" w:cs="Times New Roman" w:hint="eastAsia"/>
          <w:sz w:val="24"/>
          <w:szCs w:val="24"/>
        </w:rPr>
        <w:instrText>-epidoxorubicin (epirubicin), their principal metabolites, and daunorubicin (internal</w:instrText>
      </w:r>
      <w:r w:rsidR="00195DAD">
        <w:rPr>
          <w:rFonts w:ascii="Times New Roman" w:hAnsi="Times New Roman" w:cs="Times New Roman"/>
          <w:sz w:val="24"/>
          <w:szCs w:val="24"/>
        </w:rPr>
        <w:instrText xml:space="preserve"> standard). These formal statistical procedures included the simultaneous techniques of solvent selectivity triangle and factorial design for range-finding preliminary studies, followed by use of the modified simplex, a sequential procedure. These were used to select the parameters of organic modifier, buffer strength and pH necessary for use with a Spherisorb ODS 1 column, to achieve optimal separation of eight anthracycline solutes. Ultraviolet and fluorescence detection was used (λex = 254 nm, λem = 560 nm), and the latter gave a low detection limit for doxorubicin in serum of 1 ng ml-1. The optimal mobile phase composition was determined to be acetonitrile-0.06 M Na2 HPO4 containing 0.05% (v/v) triethylamine adjusted to pH 4.6 with 0.03 M citric acid (35:65, v/v). A solid-phase extraction method was developed to enable the selective isolation of anthracyclines by adsorption onto C8 Bond-Elut cartridges, and is based on extraction of serum spiked with a mixture of the anthracycline solutes. The anthracyclines were eluted using acetonitrile-0.2 M Na2 HPO4 containing 0.05% (v/v) triethylamine adjusted to pH 3.6 with 0.1 M citric acid (67.5:32.5, v/v). Reproducible recoveries for doxorubicin (94 ± 8%) and for epirubicin (96 ± 8%) were obtained (n = 5). In particular, recoveries for the 7-deoxyaglycone metabolite (99%) were higher than other extraction methods cited. The solid-phase extraction method described enables rapid and reproducible determinations of these anthracyclines and their metabolites in biological matrices regardless of their disparate physicochemical properties. © 1992.","author":[{"dropping-particle":"","family":"Nicholls","given":"G.","non-dropping-particle":"","parse-names":false,"suffix":""},{"dropping-particle":"","family":"Clark","given":"B. J.","non-dropping-particle":"","parse-names":false,"suffix":""},{"dropping-particle":"","family":"Brown","given":"J. E.","non-dropping-particle":"","parse-names":false,"suffix":""}],"container-title":"Journal of Pharmaceutical and Biomedical Analysis","id":"ITEM-1","issue":"10-12","issued":{"date-parts":[["1992"]]},"page":"949-957","title":"Solid-phase extraction and optimized separation of doxorubicin, epirubicin and their metabolites using reversed-phase high-performance liquid chromatography","type":"article-journal","volume":"10"},"uris":["http://www.mendeley.com/documents/?uuid=d146dded-71cb-4148-b655-5b2a32301582"]}],"mendeley":{"formattedCitation":"[77]","plainTextFormattedCitation":"[77]","previouslyFormattedCitation":"[77]"},"properties":{"noteIndex":0},"schema":"https://github.com/citation-style-language/schema/raw/master/csl-citation.json"}</w:instrText>
      </w:r>
      <w:r w:rsidR="00930DBB" w:rsidRPr="00036DE8">
        <w:rPr>
          <w:rFonts w:ascii="Times New Roman" w:hAnsi="Times New Roman" w:cs="Times New Roman"/>
          <w:sz w:val="24"/>
          <w:szCs w:val="24"/>
        </w:rPr>
        <w:fldChar w:fldCharType="separate"/>
      </w:r>
      <w:r w:rsidR="00446FEF" w:rsidRPr="00446FEF">
        <w:rPr>
          <w:rFonts w:ascii="Times New Roman" w:hAnsi="Times New Roman" w:cs="Times New Roman"/>
          <w:noProof/>
          <w:sz w:val="24"/>
          <w:szCs w:val="24"/>
        </w:rPr>
        <w:t>[77]</w:t>
      </w:r>
      <w:r w:rsidR="00930DBB" w:rsidRPr="00036DE8">
        <w:rPr>
          <w:rFonts w:ascii="Times New Roman" w:hAnsi="Times New Roman" w:cs="Times New Roman"/>
          <w:sz w:val="24"/>
          <w:szCs w:val="24"/>
        </w:rPr>
        <w:fldChar w:fldCharType="end"/>
      </w:r>
      <w:r w:rsidR="00036DE8" w:rsidRPr="00036DE8">
        <w:rPr>
          <w:rFonts w:ascii="Times New Roman" w:hAnsi="Times New Roman" w:cs="Times New Roman"/>
          <w:sz w:val="24"/>
          <w:szCs w:val="24"/>
        </w:rPr>
        <w:t xml:space="preserve"> </w:t>
      </w:r>
      <w:r w:rsidR="00033918" w:rsidRPr="00036DE8">
        <w:rPr>
          <w:rFonts w:ascii="Times New Roman" w:hAnsi="Times New Roman" w:cs="Times New Roman"/>
          <w:sz w:val="24"/>
          <w:szCs w:val="24"/>
        </w:rPr>
        <w:t xml:space="preserve">i </w:t>
      </w:r>
      <w:r w:rsidR="00033918" w:rsidRPr="00E11754">
        <w:rPr>
          <w:rFonts w:ascii="Times New Roman" w:hAnsi="Times New Roman" w:cs="Times New Roman"/>
          <w:sz w:val="24"/>
          <w:szCs w:val="24"/>
        </w:rPr>
        <w:t xml:space="preserve">C18 </w:t>
      </w:r>
      <w:r w:rsidR="00BA571F">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{"citationItems":[{"id":"ITEM-1","itemData":{"DOI":"10.1007/BF00262773","ISSN":"03445704","PMID":"3162848","abstract":"A specific, sensitive and reliable HPLC method for the determination of doxorubicin (DX), epirubicin (epiDX) and their known fluorescent metabolites [doxorubicinol (DXol), epirubicinol (epiDXol) 7-deoxy-adriamycinone (metabolite C), adriamycinone (metabolite D), 7-deoxy-13-dihydro-adriamycinone (metabolite E), 13-dihydro-adriamycinone (metabolite F), 4'-O-β-d-glucuronyl-4'-epiDX (metabolite G) and 4'-O-β-d-glucuronly 13-dihydro-4'-epiDX (metabolite H)] in biological fluids (human plasma, bile and urine) has been developed and tested. Plasma samples were solid-phase-extracted (C18-bonded silica cartridges). Urine and bile samples were injected directly after the addition of the internal standard and dilution with 0.3 M phosphoric acid. Complete separation of unchanged drugs and metabolites was achieved with a mobile phase consisting of 75.6% 10 m M KH2PO4 and 24.4% CH3CN (the pH of the solution was adjusted to 4.3 with 0.03 M H3PO4) at a flow rate of 1.5 ml/min. For the analyses we used a cyanopropyl chromatographic column (25 cmx4.6 mm i.d.; particle size 5 μm) and fluorescence detection with excitation wavelength set at 470 nm and emission at 580 nm. Sensitivity was better than 0.3 ng/ml for all substances analysed. The mean absolute recovery of unchanged drugs and metabolites was between 88.3% (metabolite E) and 98.92% (metabolite G). Intraand interassay precisions (plasma samples) were better than 10.6% and 13.0%. © 1988 Springer-Verlag.","author":[{"dropping-particle":"","family":"Camaggi","given":"Carlo M.","non-dropping-particle":"","parse-names":false,"suffix":""},{"dropping-particle":"","family":"Comparsi","given":"Raffaella","non-dropping-particle":"","parse-names":false,"suffix":""},{"dropping-particle":"","family":"Strocchi","given":"Elena","non-dropping-particle":"","parse-names":false,"suffix":""},{"dropping-particle":"","family":"Testoni","given":"Fabio","non-dropping-particle":"","parse-names":false,"suffix":""},{"dropping-particle":"","family":"Pannuti","given":"Franco","non-dropping-particle":"","parse-names":false,"suffix":""}],"container-title":"Cancer Chemotherapy and Pharmacology","id":"ITEM-1","issue":"3","issued":{"date-parts":[["1988"]]},"page":"216-220","title":"HPLC analysis of doxorubicin, epirubicin and fluorescent metabolites in biological fluids","type":"article-journal","volume":"21"},"uris":["http://www.mendeley.com/documents/?uuid=3d70ba7e-0b26-4dfd-802b-6d8b1247b438"]},{"id":"ITEM-2","itemData":{"DOI":"10.1002/bmc.1130040103","ISSN":"10990801","PMID":"2310837","abstract":"A rapid sensitive and selective isocratic technique was developed for the analysis of plasma epirubicin and three of</w:instrText>
      </w:r>
      <w:r w:rsidR="004818CD">
        <w:rPr>
          <w:rFonts w:ascii="Times New Roman" w:hAnsi="Times New Roman" w:cs="Times New Roman" w:hint="eastAsia"/>
          <w:sz w:val="24"/>
          <w:szCs w:val="24"/>
        </w:rPr>
        <w:instrText xml:space="preserve"> its known fluorescent metabolites epirubicinol,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epidoxorubicin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 1,3</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dihydro</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epidoxorubicin, with daunorubicin as an internal standard, by using high performance liquid chromatography (HPLC) with fluorescence detection and a </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Hypersil ODS</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 column. The drugs were easily and efficiently extracted with a Sep</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Pak C18 cartridge and the mean recoveries were greater than 85%. Intraassay and Interassay coefficients of variation (plasma samples) were better than 8.2</w:instrText>
      </w:r>
      <w:r w:rsidR="004818CD">
        <w:rPr>
          <w:rFonts w:ascii="Times New Roman" w:hAnsi="Times New Roman" w:cs="Times New Roman"/>
          <w:sz w:val="24"/>
          <w:szCs w:val="24"/>
        </w:rPr>
        <w:instrText>5%. An example of pharmacokinetic study obtained in a cancer patient after intravenous injection of epirubicine is described. Copyright © 1990 John Wiley &amp; Sons, Ltd.","author":[{"dropping-particle":"","family":"Dine","given":"T.","non-dropping-particle":"","parse-names":false,"suffix":""},{"dropping-particle":"","family":"Brunet","given":"C.","non-dropping-particle":"","parse-names":false,"suffix":""},{"dropping-particle":"","family":"Luyckx","given":"M.","non-dropping-particle":"","parse-names":false,"suffix":""},{"dropping-particle":"","family":"Cazin","given":"M.","non-dropping-particle":"","parse-names":false,"suffix":""},{"dropping-particle":"","family":"Gosselin","given":"P.","non-dropping-particle":"","parse-names":false,"suffix":""},{"dropping-particle":"","family":"Cazin","given":"J. L.","non-dropping-particle":"","parse-names":false,"suffix":""}],"container-title":"Biomedical Chromatography","id":"ITEM-2","issue":"1","issued":{"date-parts":[["1990"]]},"page":"20-23","title":"Rapid quantitative determination of epirubicin and its metabolites in plasma using high performance liquid chromatography and fluorescence detection","type":"article-journal","volume":"4"},"uris":["http://www.mendeley.com/documents/?uuid=b79a8003-a681-4b27-9a46-161c3eee448a"]},{"id":"ITEM-3","itemData":{"DOI":"10.1016/S0378-4347(99)00529-0","ISSN":"13872273","PMID":"10718646","abstract":"A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Applications","id":"ITEM-3","issue":"2","issued":{"date-parts":[["2000"]]},"page":"281-291","title":"Simultaneous determination of four anthracyclines and three metabolites in human serum by liquid chromatography-electrospray mass spectrometry","type":"article-journal","volume":"738"},"uris":["http://www.mendeley.com/documents/?uuid=8a2424d0-b5b2-4229-ad1b-96b4da3a7807"]},{"id":"ITEM-4","itemData":{"DOI":"10.1002/bmc.3684","ISSN":"10990801","PMID":"26762960","abstract":"A fast and easy tailored dispersive solid-phase extraction (d-SPE) procedure has been developed for the determination of 13 cytostatic drugs. Combined with a rapid and simultaneous ultra performance liquid chromatography/tandem mass spectrometry method for residue identification and quantification in urine, it has been fully validated and tested to study a realistic situation in working environment. The target compounds were chosen from the most common classes used in hospitals. The d-SPE adsorbent was obtained mixing Oasis HLB® with C18 and applied to a large volume of sample (10 mL). The electrospray ionization-mass spectrometry acquisition was conducted in a mixed period mode: six acquisition windows were in positive ionization and one in negative (for 5-fluorouracil). The lowest limit of quantification was found at 0.04 μg/L urine for methotrexate. The absolute recovery of cytotoxic drugs was assessed at two concentrations levels and ranged from 67.1% (cytarabine) to 102.3% (etoposide) and from 65.3% (cytarabine) to 101.2% (methotrexate) for the lower and higher levels, respectively, with the relative standard deviation always &lt;12%. This method gives the opportunity to analyze drugs in a wide molecular weight range (from 130 to 853 a.m.u.) and in a complex matrix, such as urine, without losing any of the features that a method intended for trace quantification must have. Copyright © 2016 John Wiley &amp; Sons, Ltd.","author":[{"dropping-particle":"","family":"Fabrizi","given":"Giovanni","non-dropping-particle":"","parse-names":false,"suffix":""},{"dropping-particle":"","family":"Fioretti","given":"Marzia","non-dropping-particle":"","parse-names":false,"suffix":""},{"dropping-particle":"","family":"Mainero Rocca","given":"Lucia","non-dropping-particle":"","parse-names":false,"suffix":""}],"container-title":"Biomedical Chromatography","id":"ITEM-4","issue":"8","issued":{"date-parts":[["2016"]]},"page":"1297-1308","title":"Dispersive solid-phase extraction procedure coupled to UPLC-ESI-MS/MS analysis for the simultaneous determination of thirteen cytotoxic drugs in human urine","type":"article-journal","volume":"30"},"uris":["http://www.mendeley.com/documents/?uuid=e19fd307-dc8b-4fc1-a7fa-2d7f9bf7e261"]},{"id":"ITEM-5","itemData":{"DOI":"10.1002/rcm.1642","ISSN":"09514198","abstract":"Health-care workers handling antineoplastic agents may be exposed to extremely low doses of these drugs. Very sensitive and specific analytical methods are therefore needed for biological monitoring. The aim of this study was to develop and validate a method for trace level determination of doxorubicin, epirubicin, daunorubicin and idarubicin in human urine, using epi-daunorubicin as an internal standard. Solid-phase extraction (SPE) was used for sample preparation. Urine samples were loaded onto Bond Elut C18 cartridges. The analytes were eluted in methylene chloride/2-propanol (1:1, v/v) and then evaporated to dryness. The residue was reconstituted with the mobile phase prior to high-performance liquid chromatography/tandem mass spectrometry (HPLC/MS/ MS) analysis. Quantitation of each analyte was performed using the multiple reaction monitoring (MRM) method. The urine assay was linear over the range 0.1-2.0 μg/L, with a lower limit of quantification (LLOQ) of 0.10 μg/L for doxorubicin and epirubicin, and 0.03 μg/L for daunorubicin and idarubicin. The respective limits of detection (LODs) were 0.04 and 0.01 μg/L. The precision and accuracy of the assay were determined on three different days. The within-series precision was found to be always less than 13.9% for all the analytes. The overall precision expressed as relative standard deviation (RSD) was always less than 10.6%. The recovery of anthracyclines was assessed at two concentrations of the range tested (0.1 and 2.0 μg/L) and it ranged from 87.7% (daunorubicin) to 102.0% (doxorubicin) and from 79.1% (daunorubicin) to 90.7% (idarubicin) for the lower and the higher level, respectively, with a RSD always less than 9.1%. The uncertainty of the present assay was also evaluated and the combined uncertainty was always less than 20% over all the days of the validation study. This is the first method that makes use of LC/MS/MS for the biological monitoring of occupational exposure to anthracyclines. Copyright © 2004 John Wiley &amp; Sons, Ltd.","author":[{"dropping-particle":"","family":"Sottani","given":"Cristina","non-dropping-particle":"","parse-names":false,"suffix":""},{"dropping-particle":"","family":"Tranfo","given":"Giovanna","non-dropping-particle":"","parse-names":false,"suffix":""},{"dropping-particle":"","family":"Bettinelli","given":"Maurizio","non-dropping-particle":"","parse-names":false,"suffix":""},{"dropping-particle":"","family":"Faranda","given":"Paolo","non-dropping-particle":"","parse-names":false,"suffix":""},{"dropping-particle":"","family":"Spagnoli","given":"Mariangela","non-dropping-particle":"","parse-names":false,"suffix":""},{"dropping-particle":"","family":"Minoia","given":"Claudio","non-dropping-particle":"","parse-names":false,"suffix":""}],"container-title":"Rapid Communications in Mass Spectrometry","id":"ITEM-5","issue":"20","issued":{"date-parts":[["2004"]]},"page":"2426-2436","title":"Trace determination of anthracyclines in urine: A new high-performance liquid chromatography/tandem mass spectrometry method for assessing exposure of hospital personnel","type":"article-journal","volume":"18"},"uris":["http://www.mendeley.com/documents/?uuid=c2101765-022b-47e8-8beb-c12cf909e5b3"]},{"id":"ITEM-6","itemData":{"DOI":"10.1002/rcm","abstract":"We have determined d13C, d2H and d18O isotopic abundances in Andalusian olive oils. In addition, the fatty acid composition and the distribution of isomers at positions 1,3 and 2 of glycerol were determined by 1H and 13C nuclear magnetic resonance (NMR) spectroscopy, respectively. Isotopic results obtained for four series of oil samples extracted from olives harvested in the 2004/05 and 2005/06 seasons are discussed in terms of olive variety, ripeness, geographical origin, fatty acid composition and growing altitude. A distinction was also established between olives grown in irrigated and in dry land by studying selected samples of the previous series and others from the 2005/06, 2006/07, 2007/08 and 2008/09 seasons. The results showed that olive ripeness does not influence the abundance of any of the three isotopes studied. On the other hand, the olive variety influences the abundance of the oxygen and hydrogen isotopes, and also, less markedly, that of carbon. No clear-cut effect of height or latitude on isotope values is observed, probably because the olive variety also changes with height and latitude, thus masking such influences. The oil samples from dryland-grown olives had increased d13C values relative to irrigation-grown olives. In addition, no definite relationship appears to exist between isotope distribution and fatty acid composition. Finally, oil samples from olives harvested in the 2005/06 season in Italy could be distinguished from those from Spain in terms of their isotopic values (d2H mainly). Copyright # 2010 John Wiley &amp; Sons, Ltd.","author":[{"dropping-particle":"","family":"Cristina Sottani, Paola Rinaldi, Emanuela Leoni, Guido Poggi, Cristina Teragni","given":"","non-dropping-particle":"","parse-names":false,"suffix":""},{"dropping-particle":"","family":"Minoia","given":"Angelo Delmonte and Claudio","non-dropping-particle":"","parse-names":false,"suffix":""}],"container-title":"RAPID COMMUNICATIONS IN MASS SPECTROMETRY","id":"ITEM-6","issued":{"date-parts":[["2008"]]},"page":"2645–2659","title":"Simultaneous determination of cyclophosphamide, ifosfamide, doxorubicin, epirubicin and daunorubicin in human urine using high-performance liquid chromatography/electrospray ionization tandem mass spectrometry: bioanalytical method validation","type":"article-journal","volume":"22"},"uris":["http://www.mendeley.com/documents/?uuid=3f42e645-4d3c-462e-ae10-469720fb91f8"]}],"mendeley":{"formattedCitation":"[54], [55], [65], [66], [75], [78]","plainTextFormattedCitation":"[54], [55], [65], [66], [75], [78]","previouslyFormattedCitation":"[54], [55], [65], [66], [75], [78]"},"properties":{"noteIndex":0},"schema":"https://github.com/citation-style-language/schema/raw/master/csl-citation.json"}</w:instrText>
      </w:r>
      <w:r w:rsidR="00BA571F">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[54], [55], [65], [66], [75], [78]</w:t>
      </w:r>
      <w:r w:rsidR="00BA571F">
        <w:rPr>
          <w:rFonts w:ascii="Times New Roman" w:hAnsi="Times New Roman" w:cs="Times New Roman"/>
          <w:sz w:val="24"/>
          <w:szCs w:val="24"/>
        </w:rPr>
        <w:fldChar w:fldCharType="end"/>
      </w:r>
      <w:r w:rsidR="00FE7547">
        <w:rPr>
          <w:rFonts w:ascii="Times New Roman" w:hAnsi="Times New Roman" w:cs="Times New Roman"/>
          <w:sz w:val="24"/>
          <w:szCs w:val="24"/>
        </w:rPr>
        <w:t xml:space="preserve"> </w:t>
      </w:r>
      <w:r w:rsidRPr="00E11754">
        <w:rPr>
          <w:rFonts w:ascii="Times New Roman" w:hAnsi="Times New Roman" w:cs="Times New Roman"/>
          <w:sz w:val="24"/>
          <w:szCs w:val="24"/>
        </w:rPr>
        <w:t>oraz HLB</w:t>
      </w:r>
      <w:r w:rsidR="00D056F8">
        <w:rPr>
          <w:rFonts w:ascii="Times New Roman" w:hAnsi="Times New Roman" w:cs="Times New Roman"/>
          <w:sz w:val="24"/>
          <w:szCs w:val="24"/>
        </w:rPr>
        <w:t xml:space="preserve"> </w:t>
      </w:r>
      <w:r w:rsidR="00D056F8">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{"citationItems":[{"id":"ITEM-1","itemData":{"DOI":"10.1016/j.aca.2005.04.073","ISSN":"00032670","abstract":"A novel method has been developed for the determination of epirubicin in human plasma by ultra performance liquid chromatography combined with tandem mass spectrometry (UPLC-MS/MS). Epirubicin and internal standard epidaunorubicin were achieved from plasma via solid-phase extraction (SPE) using Oasis HLB cartridge. The analysis was performed on an AcQuity UPLC™ BEH C 18 column (1.7 μm, 50 mm × 1 mm i.d.) utilizing a gradient elution profile and a mobile phase consisting of 0.1% formic acid in water and acetonitrile. The analytes were detected using an electrospray ionization tandem mass spectrometry in positive ion mode with multiple reaction monitoring (MRM). This method combines both advantages of UPLC and MS/MS, producing superior reliability, sensitivity and accuracy to previously published methods. The calibration curve was linear (r2 = 0.998) over the concentration range of 0.50-100.0 ng/ml. The limits of detection (LOD) and quantification (LOQ) for epirubicin were 0.10 and 0.50 ng/ml using 0.2 ml plasma sample, respectively. Recoveries of greater than 89% with intra- and inter-day precision (R.S.D.) less than 12% were obtained at concentrations above the LOQ. The present method has been successfully applied to analyze human plasma samples taken from patients administered epirubicin intravenously. Also, the principal metabolite epirubicinol was detected in all the patient plasma samples under investigation. The proposed method is very rapid, reliable and sensitive, and can be applicable to therapeutical drug monitoring and pharmacokinetic studies of epirubicin. © 2005 Elsevier B.V. All rights reserved.","author":[{"dropping-particle":"","family":"Li","given":"Ruiping","non-dropping-particle":"","parse-names":false,"suffix":""},{"dropping-particle":"","family":"Dong","given":"Lili","non-dropping-particle":"","parse-names":false,"suffix":""},{"dropping-particle":"","family":"Huang","given":"Junxiong","non-dropping-particle":"","parse-names":false,"suffix":""}],"container-title":"Analytica Chimica Acta","id":"ITEM-1","issue":"2","issued":{"date-parts":[["2005"]]},"page":"167-173","title":"Ultra performance liquid chromatography-tandem mass spectrometry for the determination of epirubicin in human plasma","type":"article-journal","volume":"546"},"uris":["http://www.mendeley.com/documents/?uuid=3b71cff3-35e7-4beb-ad21-7eb88efdfe4f"]},{"id":"ITEM-2","itemData":{"DOI":"10.1016/j.jchromb.2009.08.054","ISSN":"15700232","PMID":"19783235","abstract":"Drug Eluting Microsphere-Transarterial Chemoembolization (DEM-TACE) is a new delivery system to administrate drugs in a controlled manner useful for application in the chemoembolization of colorectal cancer metastases to the liver. DEM-TACE is focused to obtain higher concentrations of the drug to the tumor with lower systemic concentrations than traditional cancer chemotherapy. Therefore a specific, precise and sensitive LC-ESI-MS/MS assay procedure was properly designed to detect and quantify epirubicin at the concentrations expected from a transarterial chemoembolization with microspheres. Serum samples were kept acidic (pH approximately of 3.5) and sample preparation consisted of a solid phase extraction (SPE) procedure with HLB OASIS® cartridges using a methylene chloride/2-propanol/methanol mixture solution to recover epirubicin. The analyses consisted of reversed-phase high-performance liquid chromatography (rp-HPLC) coupled with tandem mass spectrometry (MS/MS). Accuracy, precision and matrix effect of this procedure were carried out by analyzing four quality control samples (QCs) on five separate days. The validation parameters were assessed by recovery studies of spiked serum samples. Recoveries were found to vary between 92 and 98% at the QC levels (5, 40, 80 and 150 μg/L) with relative standard deviation (RSD) always less than 3.7%. The limit of detection (LOD) was set at 1 μg/L. The developed procedure has been also applied to investigate the different capability of two types of commercially available microspheres to release epirubicin into the human circulatory system. © 2009 Elsevier B.V. All rights reserved.","author":[{"dropping-particle":"","family":"Sottani","given":"Cristina","non-dropping-particle":"","parse-names":false,"suffix":""},{"dropping-particle":"","family":"Leoni","given":"Emanuela","non-dropping-particle":"","parse-names":false,"suffix":""},{"dropping-particle":"","family":"Porro","given":"Benedetta","non-dropping-particle":"","parse-names":false,"suffix":""},{"dropping-particle":"","family":"Montagna","given":"Benedetta","non-dropping-particle":"","parse-names":false,"suffix":""},{"dropping-particle":"","family":"Amatu","given":"Alessio","non-dropping-particle":"","parse-names":false,"suffix":""},{"dropping-particle":"","family":"Sottotetti","given":"Federico","non-dropping-particle":"","parse-names":false,"suffix":""},{"dropping-particle":"","family":"Quaretti","given":"Pietro","non-dropping-particle":"","parse-names":false,"suffix":""},{"dropping-particle":"","family":"Poggi","given":"Guido","non-dropping-particle":"","parse-names":false,"suffix":""},{"dropping-particle":"","family":"Minoia","given":"Claudio","non-dropping-particle":"","parse-names":false,"suffix":""}],"container-title":"Journal of Chromatography B: Analytical Technologies in the Biomedical and Life Sciences","id":"ITEM-2","issue":"29","issued":{"date-parts":[["2009"]]},"page":"3543-3548","title":"Validation of an LC-MS/MS method for the determination of epirubicin in human serum of patients undergoing Drug Eluting Microsphere-Transarterial Chemoembolization (DEM-TACE)","type":"article-journal","volume":"877"},"uris":["http://www.mendeley.com/documents/?uuid=266cdb72-871c-4062-a7af-053960bdc7f2"]},{"id":"ITEM-3","itemData":{"DOI":"10.1080/10826070701465654","ISSN":"10826076","abstract":"An analytical method based on hydrophilic interaction chromatography (HILIC) using diode array detection was developed and validated for the determination of epirubicin in human plasma. Epirubicin and epidaunorubicin (internal standard) were collected from the plasma by solid-phase extraction (SPE) using Oasis HLB cartridges. The chromatographic separation was on a silica analytical column (250 × 4.6 mm I.D., 5 μm) with a mobile phase consisting of acetonitrile/40 mM ammonium formate buffer solution (pH 2.9) (90/10, v/v). The detection wavelength was 254 nm. Linearity of the method was in the concentration range of 0.050-2.5 μg/mL (r2=0.9991). The limit of quantification (LOQ) and limit of detection (LOD) were 0.050 and 0.030 μg/mL using 0.2 mL plasma sample, respectively. Recoveries of the analyte ranged from 89.4% to 101.2% with intra- and inter-day precision (RSD); less than 7.0% were obtained at the concentrations above the LOQ. The proposed method is simple, accurate, and its mobile phase is compatible for mass spectrometry. Copyright © Taylor &amp; Francis Group, LLC.","author":[{"dropping-particle":"","family":"Li","given":"Ruiping","non-dropping-particle":"","parse-names":false,"suffix":""},{"dropping-particle":"","family":"Dong","given":"Lili","non-dropping-particle":"","parse-names":false,"suffix":""},{"dropping-particle":"","family":"Huang","given":"Junxiong","non-dropping-particle":"","parse-names":false,"suffix":""}],"container-title":"Journal of Liquid Chromatography and Related Technologies","id":"ITEM-3","issue":"16","issued":{"date-parts":[["2007"]]},"page":"2409-2418","title":"Hydrophilic interaction chromatographic determination of epirubicin in human plasma using solid phase extraction for sample clean-up","type":"article-journal","volume":"30"},"uris":["http://www.mendeley.com/documents/?uuid=479105a8-db62-4271-b022-d6909d6ff568"]},{"id":"ITEM-4","itemData":{"DOI":"10.1016/S0378-4347(97)00610-5","ISSN":"15726495","PMID":"9613953","abstract":"A high-performance liquid chromatographic method with electrochemical detection has been developed for the simultaneous determination of epirubicin, 13-S-dihydroepirubicin, doxorubicin and 13-S-dihydrodoxorubicin in human plasma. An aliquot of 200 μl plasma, spiked with internal standard, was extracted by solid-phase extraction using polymeric adsorbent columns. Chromatography was performed using a C18 reversed-phase column with a mobile phase consisting of water-acetonitrile (71:29, v/v) containing 0.05 M Na2HPO4 and 0.05% v/v triethylamine adjusted to pH 4.6 with citric acid. Linearity of the method was obtained in the concentration range of 1-500 ng/ml for all the analytes. Analytical recoveries of the analytes ranged from 89 to 93%. The assay can be used for the simultaneous determination of the four analytes, or for epirubicin and its metabolite or doxorubicin and its metabolite, using the other parent drug as an internal standard. The method was applied to analyze human plasma samples from patients treated with epirubicin using doxorubicin as an internal standard.","author":[{"dropping-particle":"","family":"Ricciarello","given":"R.","non-dropping-particle":"","parse-names":false,"suffix":""},{"dropping-particle":"","family":"Pichini","given":"S.","non-dropping-particle":"","parse-names":false,"suffix":""},{"dropping-particle":"","family":"Pacifici","given":"R.","non-dropping-particle":"","parse-names":false,"suffix":""},{"dropping-particle":"","family":"Altieri","given":"I.","non-dropping-particle":"","parse-names":false,"suffix":""},{"dropping-particle":"","family":"Pellegrini","given":"M.","non-dropping-particle":"","parse-names":false,"suffix":""},{"dropping-particle":"","family":"Fattorossi","given":"A.","non-dropping-particle":"","parse-names":false,"suffix":""},{"dropping-particle":"","family":"Zuccaro","given":"P.","non-dropping-particle":"","parse-names":false,"suffix":""}],"container-title":"Journal of Chromatography B: Biomedical Applications","id":"ITEM-4","issue":"1-2","issued":{"date-parts":[["1998"]]},"page":"219-225","title":"Simultaneous determination of epirubicin, doxorubicin and their principal metabolites in human plasma by high-performance liquid chromatography and electrochemical detection","type":"article-journal","volume":"707"},"uris":["http://www.mendeley.com/documents/?uuid=ab0991fc-be51-4341-a25e-e1ecd9bad733"]}],"mendeley":{"formattedCitation":"[58], [70], [71], [79]","plainTextFormattedCitation":"[58], [70], [71], [79]","previouslyFormattedCitation":"[58], [70], [71], [79]"},"properties":{"noteIndex":0},"schema":"https://github.com/citation-style-language/schema/raw/master/csl-citation.json"}</w:instrText>
      </w:r>
      <w:r w:rsidR="00D056F8">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[58], [70], [71], [79]</w:t>
      </w:r>
      <w:r w:rsidR="00D056F8">
        <w:rPr>
          <w:rFonts w:ascii="Times New Roman" w:hAnsi="Times New Roman" w:cs="Times New Roman"/>
          <w:sz w:val="24"/>
          <w:szCs w:val="24"/>
        </w:rPr>
        <w:fldChar w:fldCharType="end"/>
      </w:r>
      <w:r w:rsidR="00B22223">
        <w:rPr>
          <w:rFonts w:ascii="Times New Roman" w:hAnsi="Times New Roman" w:cs="Times New Roman"/>
          <w:sz w:val="24"/>
          <w:szCs w:val="24"/>
        </w:rPr>
        <w:t xml:space="preserve">. </w:t>
      </w:r>
      <w:r w:rsidR="2100169C" w:rsidRPr="00E11754">
        <w:rPr>
          <w:rFonts w:ascii="Times New Roman" w:hAnsi="Times New Roman" w:cs="Times New Roman"/>
          <w:sz w:val="24"/>
          <w:szCs w:val="24"/>
        </w:rPr>
        <w:t xml:space="preserve">Separację chromatograficzną prowadzono </w:t>
      </w:r>
      <w:r w:rsidRPr="00E11754">
        <w:rPr>
          <w:rFonts w:ascii="Times New Roman" w:hAnsi="Times New Roman" w:cs="Times New Roman"/>
          <w:sz w:val="24"/>
          <w:szCs w:val="24"/>
        </w:rPr>
        <w:t xml:space="preserve">w odwróconym układzie faz, a </w:t>
      </w:r>
      <w:proofErr w:type="spellStart"/>
      <w:r w:rsidRPr="00E11754">
        <w:rPr>
          <w:rFonts w:ascii="Times New Roman" w:hAnsi="Times New Roman" w:cs="Times New Roman"/>
          <w:sz w:val="24"/>
          <w:szCs w:val="24"/>
        </w:rPr>
        <w:t>epirubicynę</w:t>
      </w:r>
      <w:proofErr w:type="spellEnd"/>
      <w:r w:rsidRPr="00E11754">
        <w:rPr>
          <w:rFonts w:ascii="Times New Roman" w:hAnsi="Times New Roman" w:cs="Times New Roman"/>
          <w:sz w:val="24"/>
          <w:szCs w:val="24"/>
        </w:rPr>
        <w:t xml:space="preserve"> monitorowano za pomocą detektora UV-VIS </w:t>
      </w:r>
      <w:r w:rsidR="00B22223">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{"citationItems":[{"id":"ITEM-1","itemData":{"DOI":"10.1080/10826070701465654","ISSN":"10826076","abstract":"An analytical method based on hydrophilic interaction chromatography (HILIC) using diode array detection was developed and validated for the determination of epirubicin in human plasma. Epirubicin and epidaunorubicin (internal standard) were collected from the plasma by solid-phase extraction (SPE) using Oasis HLB cartridges. The chromatographic separation was on a silica analytical column (250 × 4.6 mm I.D., 5 μm) with a mobile phase consisting of acetonitrile/40 mM ammonium formate buffer solution (pH 2.9) (90/10, v/v). The detection wavelength was 254 nm. Linearity of the method was in the concentration range of 0.050-2.5 μg/mL (r2=0.9991). The limit of quantification (LOQ) and limit of detection (LOD) were 0.050 and 0.030 μg/mL using 0.2 mL plasma sample, respectively. Recoveries of the analyte ranged from 89.4% to 101.2% with intra- and inter-day precision (RSD); less than 7.0% were obtained at the concentrations above the LOQ. The proposed method is simple, accurate, and its mobile phase is compatible for mass spectrometry. Copyright © Taylor &amp; Francis Group, LLC.","author":[{"dropping-particle":"","family":"Li","given":"Ruiping","non-dropping-particle":"","parse-names":false,"suffix":""},{"dropping-particle":"","family":"Dong","given":"Lili","non-dropping-particle":"","parse-names":false,"suffix":""},{"dropping-particle":"","family":"Huang","given":"Junxiong","non-dropping-particle":"","parse-names":false,"suffix":""}],"container-title":"Journal of Liquid Chromatography and Related Technologies","id":"ITEM-1","issue":"16","issued":{"date-parts":[["2007"]]},"page":"2409-2418","title":"Hydrophilic interaction chromatographic determination of epirubicin in human plasma using solid phase extraction for sample clean-up","type":"article-journal","volume":"30"},"uris":["http://www.mendeley.com/documents/?uuid=479105a8-db62-4271-b022-d6909d6ff568"]},{"id":"ITEM-2","itemData":{"DOI":"10.1002/jssc.201000026","ISSN":"16159314","PMID":"20437415","abstract":"An online SPE-LC method that can determine both anthracyclines and taxanes simultaneously in human serum samples is reported. The entire method of extraction, separation and UV detection was achieved online by column switching between an SPE column (Biotrap 500 (20 x 4 mm)) and an analytical column (Zorbax XDB C18, 150 x 4.6 mm, 5 μm) with a 23 min total cycle time. The method is linear (r2&gt;0.998) over the range of 0.5-25 μg/mL. The analytes of interest are retained on the SPE column with good recovery (84-117%), while proteins and other serum components elute to waste. This online cleanup is much faster (150 s) and less manual than traditional off-line extraction methods. Using 0.1 mL spiked serum samples, the LOQ was 0.5 μg/mL. Intra- and inter-day precision were acceptable (≤15% RSD) at and above the LOQ. The method was applied to the analysis of serum samples from patients undergoing chemotherapy with these agents. © 2010 Wiley-VCH Verlag GmbH &amp; Co. KGaA.","author":[{"dropping-particle":"","family":"Bermingham","given":"Shane","non-dropping-particle":"","parse-names":false,"suffix":""},{"dropping-particle":"","family":"O'Connor","given":"Robert","non-dropping-particle":"","parse-names":false,"suffix":""},{"dropping-particle":"","family":"Regan","given":"Fiona","non-dropping-particle":"","parse-names":false,"suffix":""},{"dropping-particle":"","family":"McMahon","given":"Gillian P.","non-dropping-particle":"","parse-names":false,"suffix":""}],"container-title":"Journal of Separation Science","id":"ITEM-2","issue":"11","issued":{"date-parts":[["2010"]]},"page":"1571-1579","title":"Simultaneous determination of anthracyclines and taxanes in human serum using online sample extraction coupled to high performance liquid chromatography with UV detection","type":"article-journal","volume":"33"},"uris":["http://www.mendeley.com/documents/?uuid=96b0dd0d-c17e-4132-972e-a585589cd9de"]}],"mendeley":{"formattedCitation":"[67], [70]","plainTextFormattedCitation":"[67], [70]","previouslyFormattedCitation":"[67], [70]"},"properties":{"noteIndex":0},"schema":"https://github.com/citation-style-language/schema/raw/master/csl-citation.json"}</w:instrText>
      </w:r>
      <w:r w:rsidR="00B22223">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[67], [70]</w:t>
      </w:r>
      <w:r w:rsidR="00B22223">
        <w:rPr>
          <w:rFonts w:ascii="Times New Roman" w:hAnsi="Times New Roman" w:cs="Times New Roman"/>
          <w:sz w:val="24"/>
          <w:szCs w:val="24"/>
        </w:rPr>
        <w:fldChar w:fldCharType="end"/>
      </w:r>
      <w:r w:rsidR="00AE003A">
        <w:rPr>
          <w:rFonts w:ascii="Times New Roman" w:hAnsi="Times New Roman" w:cs="Times New Roman"/>
          <w:sz w:val="24"/>
          <w:szCs w:val="24"/>
        </w:rPr>
        <w:t xml:space="preserve">, </w:t>
      </w:r>
      <w:r w:rsidRPr="00E11754">
        <w:rPr>
          <w:rFonts w:ascii="Times New Roman" w:hAnsi="Times New Roman" w:cs="Times New Roman"/>
          <w:sz w:val="24"/>
          <w:szCs w:val="24"/>
        </w:rPr>
        <w:t xml:space="preserve">FL </w:t>
      </w:r>
      <w:r w:rsidR="00124DCC">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{"citationItems":[{"id":"ITEM-1","itemData":{"DOI":"10.1016/0378-4347(96)00030-8","ISSN":"15726495","PMID":"8811443","abstract":"In order to determine epirubicin and its metabolites at low concentrations (&lt; 38 ng/ml) in small plasma samples, a fast reliable method based on a precipitation pre-treatment and sensitive reversed-phase isocratic HPLC has been developed and validated for epirubicin in the range 5-100 ng/ml. The R.S.D. was 5-9% over this concentration range. For human serum containing 25 ng/ml of epirubicin, the inter- and intra-day variation was &lt; 10%. Recoveries of the metabolites epirubicinol, 7-deoxydoxorubicinone and 7-deoxydoxorubicinolone at 20 ng/ml ranged from 94-104%. The assay has been used to study human plasma samples taken during a 96-h infusion of epirubicin in a patient with multiple myeloma. The combined levels of the unseparated metabolites, epirubicin glucuronide and epirubicinol glucuronide, were semiquantitatively determined after treatment with β-glucuronidase. The metabolites epirubicinol and 7-deoxydoxorubicinolone, but not 7-deoxydoxorubicinone, were also detected and measured.","author":[{"dropping-particle":"","family":"Barker","given":"Ian K.","non-dropping-particle":"","parse-names":false,"suffix":""},{"dropping-particle":"","family":"Crawford","given":"S. Michael","non-dropping-particle":"","parse-names":false,"suffix":""},{"dropping-particle":"","family":"Fell","given":"Anthony F.","non-dropping-particle":"","parse-names":false,"suffix":""}],"container-title":"Journal of Chromatography B: Biomedical Applications","id":"ITEM-1","issue":"2","issued":{"date-parts":[["1996"]]},"page":"323-329","title":"Determination of plasma concentrations of epirubicin and its metabolites by high-performance liquid chromatography during a 96-h infusion in cancer chemotherapy","type":"article-journal","volume":"681"},"uris":["http://www.mendeley.com/documents/?uuid=ad692e3b-4ff8-4908-819c-194386926b67"]},{"id":"ITEM-2","itemData":{"DOI":"10.1097/00007691-200308000-00003","ISSN":"01634356","PMID":"12883225","abstract":"We present a high-performance liquid chromatography (HPLC) method suitable for the analysis of epirubicin and its metabolite epirubicinol in saliva and plasma. Preparation of saliva and plasma samples was performed by extraction of analytes with a chloroform: 2-propanol mixture (6:1, vol/vol) and evaporation of the organic phase to dryness under vacuum at a temperature of approximately 45°C. The chromatographic analysis was carried out by reversed-phase isocratic elution of the anthracyclines with a Chromsep stainless steel HPLC column (150 x 4.6 mm I.D.) filled with Nucleosil 100 S C18 material, particle size 5 μm. The detection was accomplished by spectrofluorimetry at excitation and emission wavelengths of 474 and 551 nm, respectively. The anthracyclines eluted within 10 min of injection, and the method appeared to be specific. The method is linear over a concentration range of 5 to 1000 μg/L for epirubicin and 2 to 400 μg/L for epirubicinol (r &gt; 0.99) in both saliva and plasma. The recoveries from saliva and plasma of epirubicin, epirubicinol, and the internal standard doxorubicin were 88.9 and 69.0%, 87.6 and 77.3%, and 80 and 67.9%, respectively. The lower limit of quantification was 5 μg/L for epirubicin and 2 μg/L for epirubicinol. The method proved to be precise and accurate, as the within-day and between-day coefficients of variation were less than 10%. Overall results indicate that our method is suitable for the bioanalysis of epirubicin and epirubicinol in saliva as well as plasma.","author":[{"dropping-particle":"","family":"Dodde","given":"Wilma I.W.","non-dropping-particle":"","parse-names":false,"suffix":""},{"dropping-particle":"","family":"Maring","given":"Jan Gerard","non-dropping-particle":"","parse-names":false,"suffix":""},{"dropping-particle":"","family":"Hendriks","given":"Gert","non-dropping-particle":"","parse-names":false,"suffix":""},{"dropping-particle":"","family":"Wachters","given":"Floris M.","non-dropping-particle":"","parse-names":false,"suffix":""},{"dropping-particle":"","family":"Groen","given":"Harry J.M.","non-dropping-particle":"","parse-names":false,"suffix":""},{"dropping-particle":"","family":"Vries","given":"Elisabeth G.E.","non-dropping-particle":"De","parse-names":false,"suffix":""},{"dropping-particle":"","family":"Uges","given":"Donald R.A.","non-dropping-particle":"","parse-names":false,"suffix":""}],"container-title":"Therapeutic Drug Monitoring","id":"ITEM-2","issue":"4","issued":{"date-parts":[["2003"]]},"page":"433-440","title":"Determination of epirubicin and its metabolite epirubicinol in saliva and plasma by HPLC","type":"article-journal","volume":"25"},"uris":["http://www.mendeley.com/documents/?uuid=ae04d002-dba4-4093-9002-154d6d6bae90"]},{"id":"ITEM-3","itemData":{"DOI":"10.1016/j.jchromb.2009.09.044","ISSN":"15700232","PMID":"19828385","abstract":"A quantitative HPLC method with fluorescence detection has been developed for the simultaneous determination of four anthracyclines (doxorubicin, epirubicin, daunorubicin and idarubicin) and their respective 13-S-dihydro metabolites (doxorubicinol, epirubicinol, daunorubicinol and idarubicinol) in plasma and saliva, using epidaunorubicin as internal standard. A progressive optimization matrix led to a two-step extraction based on a protein precipitation with ethanol followed by a liquid-liquid extraction with dichloromethane after pH adjustment to 8.5. The chromatographic separation was performed in 14 min on a C18 column, applying gradient elution with a mixture of 0.1% formic acid in water and 0.1% formic acid in acetonitrile. The analytes were detected and quantified at an excitation and emission wavelength of 480 and 555 nm, respectively. Limit of detection (LOD) and lower limit of quantification (LLOQ) were 0.3 or 0.75, and 1 or 2.5 ng/mL, respectively. Linearity by means of weighted (1/x) regression was obtained from the LLOQ up to 1000 or 2500 ng/mL for the parent drugs and up to 400 or 1000 ng/mL for the metabolites. Intra-assay and inter-assay relative standard deviation values were all less than 14% at low, medium and high levels, and below 17% at the LLOQ. Accuracy ranged between 91 and 113% at low, medium and high concentrations and between 83 and 118% at the LLOQ. Absolute recoveries were between 78 and 88% in plasma, and between 70 and 79% in saliva, respectively. Autosampler, benchtop, freeze-thaw and long-term stability samples fulfilled acceptance criteria. This selective method was applied successfully to the analysis of plasma and saliva samples from patients administered epirubicin intravenously. © 2009 Elsevier B.V. All rights reserved.","author":[{"dropping-particle":"","family":"Maudens","given":"Kristof E.","non-dropping-particle":"","parse-names":false,"suffix":""},{"dropping-particle":"","family":"Stove","given":"Christophe P.","non-dropping-particle":"","parse-names":false,"suffix":""},{"dropping-particle":"","family":"Cocquyt","given":"Veronique F J","non-dropping-particle":"","parse-names":false,"suffix":""},{"dropping-particle":"","family":"Denys","given":"Hannelore","non-dropping-particle":"","parse-names":false,"suffix":""},{"dropping-particle":"","family":"Lambert","given":"Willy E.","non-dropping-particle":"","parse-names":false,"suffix":""}],"container-title":"Journal of Chromatography B: Analytical Technologies in the Biomedical and Life Sciences","id":"ITEM-3","issue":"30","issued":{"date-parts":[["2009"]]},"page":"3907-3915","title":"Development and validation of a liquid chromatographic method for the simultaneous determination of four anthracyclines and their respective 13-S-dihydro metabolites in plasma and saliva","type":"article-journal","volume":"877"},"uris":["http://www.mendeley.com/documents/?uuid=ab0d83c5-972a-4e8b-bb30-2aa750d60b9f"]},{"id":"ITEM-4","itemData":{"DOI":"10.1016/0378-4347(91)80485-U","ISSN":"03784347","PMID":"1818055","abstract":"A sensitive and rapid method for measuring epidoxorubicin and its six metabolites by high-performance liquid chromatography using an advanced automated sample processor is described. Plasma samples (1 ml) were extracted using C2 cassettes, and reversed-phase chromatography was performed with an Apex II ODS column. The isocratic mobile phase of acetonitrile-0.019 M NaH2PO4 (pH 4.0) had a flow-rate of 1 ml/min and the fluorescence detector an excitation wavelength of 480 nm with an emission at 580 nm. Linear calibration curves were obtained which were reproducible both within-day and day-to-day (coefficients of variation &lt; 10%). The extraction efficacy of epidoxorubicin was 88% and ranged from 51 to 88% for the metabolites. This method has been successfully applied to measure the plasma levels of these compounds in patients receiving epidoxorubicin over a wide dose range (12-120 mg/m2) and in patients with disturbed liver biochemistry. © 1991.","author":[{"dropping-particle":"","family":"Dobbs","given":"Nicola A.","non-dropping-particle":"","parse-names":false,"suffix":""},{"dropping-particle":"","family":"Twelves","given":"Christopher J.","non-dropping-particle":"","parse-names":false,"suffix":""}],"container-title":"Journal of Chromatography B: Biomedical Sciences and Applications","id":"ITEM-4","issue":"1-2","issued":{"date-parts":[["1991"]]},"page":"211-217","title":"Measurement of epidoxorubicin and its metabolites by high-performance liquid chromatography using an advanced automated sample processor","type":"article-journal","volume":"572"},"uris":["http://www.mendeley.com/documents/?uuid=352e130b-735d-4771-ab9f-84acb750fbb4"]},{"id":"ITEM-5","itemData":{"DOI":"10.1016/0731-7085(91)80104-H","ISSN":"07317085","PMID":"1298402","abstract":"A reversed-phase isocratic high-performance liquid chromatographic method is described in which a formal structured procedure was applied to predict the mobile phase compositi</w:instrText>
      </w:r>
      <w:r w:rsidR="004818CD">
        <w:rPr>
          <w:rFonts w:ascii="Times New Roman" w:hAnsi="Times New Roman" w:cs="Times New Roman" w:hint="eastAsia"/>
          <w:sz w:val="24"/>
          <w:szCs w:val="24"/>
        </w:rPr>
        <w:instrText>on giving optimal baseline resolution of the clinically important anticancer agents 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-epidoxorubicin (epirubicin), their principal metabolites, and daunorubicin (internal standard). These formal statistical procedures included the simulta</w:instrText>
      </w:r>
      <w:r w:rsidR="004818CD">
        <w:rPr>
          <w:rFonts w:ascii="Times New Roman" w:hAnsi="Times New Roman" w:cs="Times New Roman"/>
          <w:sz w:val="24"/>
          <w:szCs w:val="24"/>
        </w:rPr>
        <w:instrText>neous techniques of solvent selectivity triangle and factorial design for range-finding preliminary studies, followed by use of the modified simplex, a sequential procedure. These were used to select the parameters of organic modifier, buffer strength and pH necessary for use with a Spherisorb ODS 1 column, to achieve optimal separation of eight anthracycline solutes. Ultraviolet and fluorescence detection was used (λex = 254 nm, λem = 560 nm), and the latter gave a low detection limit for doxorubicin in serum of 1 ng ml-1. The optimal mobile phase composition was determined to be acetonitrile-0.06 M Na2 HPO4 containing 0.05% (v/v) triethylamine adjusted to pH 4.6 with 0.03 M citric acid (35:65, v/v). A solid-phase extraction method was developed to enable the selective isolation of anthracyclines by adsorption onto C8 Bond-Elut cartridges, and is based on extraction of serum spiked with a mixture of the anthracycline solutes. The anthracyclines were eluted using acetonitrile-0.2 M Na2 HPO4 containing 0.05% (v/v) triethylamine adjusted to pH 3.6 with 0.1 M citric acid (67.5:32.5, v/v). Reproducible recoveries for doxorubicin (94 ± 8%) and for epirubicin (96 ± 8%) were obtained (n = 5). In particular, recoveries for the 7-deoxyaglycone metabolite (99%) were higher than other extraction methods cited. The solid-phase extraction method described enables rapid and reproducible determinations of these anthracyclines and their metabolites in biological matrices regardless of their disparate physicochemical properties. © 1992.","author":[{"dropping-particle":"","family":"Nicholls","given":"G.","non-dropping-particle":"","parse-names":false,"suffix":""},{"dropping-particle":"","family":"Clark","given":"B. J.","non-dropping-particle":"","parse-names":false,"suffix":""},{"dropping-particle":"","family":"Brown","given":"J. E.","non-dropping-particle":"","parse-names":false,"suffix":""}],"container-title":"Journal of Pharmaceutical and Biomedical Analysis","id":"ITEM-5","issue":"10-12","issued":{"date-parts":[["1992"]]},"page":"949-957","title":"Solid-phase extraction and optimized separation of doxorubicin, epirubicin and their metabolites using reversed-phase high-performance liquid chromatography","type":"article-journal","volume":"10"},"uris":["http://www.mendeley.com/documents/?uuid=d146dded-71cb-4148-b655-5b2a32301582"]},{"id":"ITEM-6","itemData":{"DOI":"10.1007/s40005-013-0076-1","ISSN":"20935552","abstract":"We investigated the pharmacokinetics of epirubicin, an anthracycline derivative antibiotics, after intravenous (i.v.) bolus administration in rats. To analyze epirubicin levels in the plasma, bile, urine and tissue samples, we developed an high-performance liqid chromatography (HPLC)-based method which was validated for a pharmacokinetic study by suitable criteria. The plasma concentration of epirubicin after i.v. bolus administration was rapidly disappeared within 10 min from the blood circulation. The mean plasma half-lives at α phase (t1/2α) when administered at the dose of 2, 5, 10, 25 and 50 mg/kg were 2.14-2.61 min. The values of t1/2β at the corresponding doses increased two folds (from 150 to 291 min) with increasing doses. The CLt values significantly decreased with the increase in dose. In contrast, Vdss values increased about 1.5 times with the increase in dose from 2 to 50 mg/kg. Of the various tissues, epirubicin mainly distributed to the kidney, lung, heart and liver after i.v. bolus administration. The epirubicin concentrations in various tissues at 24 h after i.v. bolus administration were below 1.0 μg/g tissue. Epirubicin was excreted largely in the bile after i.v. bolus administration at the dose of 2, 10 and 50 mg/kg. The cumulative amount of epirubicin in the urine 72 h after dosage represented 20 % of the amount excreted in the bile 12 h after high dosage, indicating that i.v. administered epirubicin was mainly excreted in the bile. In conclusion, epirubicin was rapidly cleared from the blood circulation and transferred to tissues such as the kidney and liver 2 h after i.v. bolus administration. Moreover, the majority of epirubicin appears to be excreted in the bile by 12 h after i.v. bolus administration. © 2013 The Korean Society of Pharmaceutical Sciences and Technology.","author":[{"dropping-particle":"","family":"Shin","given":"Dae Hwan","non-dropping-particle":"","parse-names":false,"suffix":""},{"dropping-particle":"","family":"Park","given":"Seong Hyeok","non-dropping-particle":"","parse-names":false,"suffix":""},{"dropping-particle":"","family":"Kwon","given":"Oh Seung","non-dropping-particle":"","parse-names":false,"suffix":""},{"dropping-particle":"","family":"Park","given":"Chun Woong","non-dropping-particle":"","parse-names":false,"suffix":""},{"dropping-particle":"","family":"Han","given":"Kun","non-dropping-particle":"","parse-names":false,"suffix":""},{"dropping-particle":"","family":"Chung","given":"Youn Bok","non-dropping-particle":"","parse-names":false,"suffix":""}],"container-title":"Journal of Pharmaceutical Investigation","id":"ITEM-6","issue":"3","issued":{"date-parts":[["2013"]]},"page":"243-249","title":"Validation of high-performance liqid chromatography method to determine epirubicin and its pharmacokinetics after intravenous bolus administration in rats","type":"article-journal","volume":"43"},"uris":["http://www.mendeley.com/documents/?uuid=15cc30ab-9471-4b96-8e70-ea8019cc0c08"]},{"id":"ITEM-7","itemData":{"DOI":"10.1097/00007691-199906000-00022","ISSN":"01634356","abstract":"A single high-performance liquid chromatography (HPLC) method, suitable for the analysis of daunorubicin, idarubicin, doxorubicin, epirubicin, and their 13-dihydro metabolites is validated in the present study. Preparation of plasma samples was performed by a first extraction of analytes with a chloroform/1-heptanol mixture (9:1) and reextraction with ortophosphoric acid 0.1 M. The chromatographic analysis was carried out by reversed-phase isocratic elution of anthracyclines with a Supelcosil LC-CN 5 mm column (25 cm x 4.6 mm internal diameter; Supelco) and detection was accomplished by spectrofluorimetry at excitation and emission wavelengths of 480 and 560 nm, respectively. All anthracyclines eluted within 15 minutes of injection and the method appeared to be specific, because the chromatographic assay did not show interferences at the retention time of analytes. The linearity, evaluated over a concentration range of 0.4-10,000 ng/mL, gave regression coefficients better than 0.999, with recoveries of doxorubicin-doxorubicinol and epirubicin-epirubicinol of 67%-109% and 61%-109% respectively, and 93%- 109% for the other compounds. The limits of detection and quantification were 0.4 ng/mL in a 50-mL sample (40 pg/injection) for all anthracyclines tested. The method proved to be precise and accurate, as the within-day and between- day coefficients of variation were less than 10% and the accuracy of the assay was in the range of 91%-107%. Overall results indicate that it is feasible to analyze all the anthracyclines used in clinical practice and their major metabolites with a single optimized method, thereby simplifying their monitoring in chemotherapeutic regimens of cancer patients.","author":[{"dropping-particle":"","family":"Fogli","given":"Stefano","non-dropping-particle":"","parse-names":false,"suffix":""},{"dropping-particle":"","family":"Danesi","given":"Romano","non-dropping-particle":"","parse-names":false,"suffix":""},{"dropping-particle":"","family":"Innocenti","given":"Federico","non-dropping-particle":"","parse-names":false,"suffix":""},{"dropping-particle":"","family":"Paolo","given":"Antonello","non-dropping-particle":"Di","parse-names":false,"suffix":""},{"dropping-particle":"","family":"Bocci","given":"Guido","non-dropping-particle":"","parse-names":false,"suffix":""},{"dropping-particle":"","family":"Barbara","given":"Cecilia","non-dropping-particle":"","parse-names":false,"suffix":""},{"dropping-particle":"","family":"Tacca","given":"Mario","non-dropping-particle":"Del","parse-names":false,"suffix":""}],"container-title":"Therapeutic Drug Monitoring","id":"ITEM-7","issue":"3","issued":{"date-parts":[["1999"]]},"page":"367-375","title":"An improved HPLC method for therapeutic drug monitoring of daunorubicin, idarubicin, doxorubicin, epirubicin, and their 13-dihydro metabolites in human plasma","type":"article-journal","volume":"21"},"uris":["http://www.mendeley.com/documents/?uuid=a35327cf-2860-463c-9627-2e1c15e26f01"]}],"mendeley":{"formattedCitation":"[68], [69], [72]–[74], [77], [80]","plainTextFormattedCitation":"[68], [69], [72]–[74], [77], [80]","previouslyFormattedCitation":"[68], [69], [72]–[74], [77], [80]"},"properties":{"noteIndex":0},"schema":"https://github.com/citation-style-language/schema/raw/master/csl-citation.json"}</w:instrText>
      </w:r>
      <w:r w:rsidR="00124DCC">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[68], [69], [72]–[74], [77], [80]</w:t>
      </w:r>
      <w:r w:rsidR="00124DCC">
        <w:rPr>
          <w:rFonts w:ascii="Times New Roman" w:hAnsi="Times New Roman" w:cs="Times New Roman"/>
          <w:sz w:val="24"/>
          <w:szCs w:val="24"/>
        </w:rPr>
        <w:fldChar w:fldCharType="end"/>
      </w:r>
      <w:r w:rsidR="2C092957" w:rsidRPr="00E11754">
        <w:rPr>
          <w:rFonts w:ascii="Times New Roman" w:hAnsi="Times New Roman" w:cs="Times New Roman"/>
          <w:sz w:val="24"/>
          <w:szCs w:val="24"/>
        </w:rPr>
        <w:t xml:space="preserve"> bądź MS(</w:t>
      </w:r>
      <w:r w:rsidRPr="00E11754">
        <w:rPr>
          <w:rFonts w:ascii="Times New Roman" w:hAnsi="Times New Roman" w:cs="Times New Roman"/>
          <w:sz w:val="24"/>
          <w:szCs w:val="24"/>
        </w:rPr>
        <w:t>MS</w:t>
      </w:r>
      <w:r w:rsidR="2C092957" w:rsidRPr="00E11754">
        <w:rPr>
          <w:rFonts w:ascii="Times New Roman" w:hAnsi="Times New Roman" w:cs="Times New Roman"/>
          <w:sz w:val="24"/>
          <w:szCs w:val="24"/>
        </w:rPr>
        <w:t xml:space="preserve">) </w:t>
      </w:r>
      <w:r w:rsidR="00CF6DD2">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{"citationItems":[{"id":"ITEM-1","itemData":{"DOI":"10.1016/j.jchromb.2009.08.054","ISSN":"15700232","PMID":"19783235","abstract":"Drug Eluting Microsphere-Transarterial Chemoembolization (DEM-TACE) is a new delivery system to administrate drugs in a controlled manner useful for application in the chemoembolization of colorectal cancer metastases to the liver. DEM-TACE is focused to obtain higher concentrations of the drug to the tumor with lower systemic concentrations than traditional cancer chemotherapy. Therefore a specific, precise and sensitive LC-ESI-MS/MS assay procedure was properly designed to detect and quantify epirubicin at the concentrations expected from a transarterial chemoembolization with microspheres. Serum samples were kept acidic (pH approximately of 3.5) and sample preparation consisted of a solid phase extraction (SPE) procedure with HLB OASIS® cartridges using a methylene chloride/2-propanol/methanol mixture solution to recover epirubicin. The analyses consisted of reversed-phase high-performance liquid chromatography (rp-HPLC) coupled with tandem mass spectrometry (MS/MS). Accuracy, precision and matrix effect of this procedure were carried out by analyzing four quality control samples (QCs) on five separate days. The validation parameters were assessed by recovery studies of spiked serum samples. Recoveries were found to vary between 92 and 98% at the QC levels (5, 40, 80 and 150 μg/L) with relative standard deviation (RSD) always less than 3.7%. The limit of detection (LOD) was set at 1 μg/L. The developed procedure has been also applied to investigate the different capability of two types of commercially available microspheres to release epirubicin into the human circulatory system. © 2009 Elsevier B.V. All rights reserved.","author":[{"dropping-particle":"","family":"Sottani","given":"Cristina","non-dropping-particle":"","parse-names":false,"suffix":""},{"dropping-particle":"","family":"Leoni","given":"Emanuela","non-dropping-particle":"","parse-names":false,"suffix":""},{"dropping-particle":"","family":"Porro","given":"Benedetta","non-dropping-particle":"","parse-names":false,"suffix":""},{"dropping-particle":"","family":"Montagna","given":"Benedetta","non-dropping-particle":"","parse-names":false,"suffix":""},{"dropping-particle":"","family":"Amatu","given":"Alessio","non-dropping-particle":"","parse-names":false,"suffix":""},{"dropping-particle":"","family":"Sottotetti","given":"Federico","non-dropping-particle":"","parse-names":false,"suffix":""},{"dropping-particle":"","family":"Quaretti","given":"Pietro","non-dropping-particle":"","parse-names":false,"suffix":""},{"dropping-particle":"","family":"Poggi","given":"Guido","non-dropping-particle":"","parse-names":false,"suffix":""},{"dropping-particle":"","family":"Minoia","given":"Claudio","non-dropping-particle":"","parse-names":false,"suffix":""}],"container-title":"Journal of Chromatography B: Analytical Technologies in the Biomedical and Life Sciences","id":"ITEM-1","issue":"29","issued":{"date-parts":[["2009"]]},"page":"3543-3548","title":"Validation of an LC-MS/MS method for the determination of epirubicin in human serum of patients undergoing Drug Eluting Microsphere-Transarterial Chemoembolization (DEM-TACE)","type":"article-journal","volume":"877"},"uris":["http://www.mendeley.com/documents/?uuid=266cdb72-871c-4062-a7af-053960bdc7f2"]},{"id":"ITEM-2","itemData":{"DOI":"10.1016/j.aca.2005.04.073","ISSN":"00032670","abstract":"A novel method has been developed for the determination of epirubicin in human plasma by ultra performance liquid chromatography combined with tandem mass spectrometry (UPLC-MS/MS). Epirubicin and internal standard epidaunorubicin were achieved from plasma via solid-phase extraction (SPE) using Oasis HLB cartridge. The analysis was performed on an AcQuity UPLC™ BEH C 18 column (1.7 μm, 50 mm × 1 mm i.d.) utilizing a gradient elution profile and a mobile phase consisting of 0.1% formic acid in water and acetonitrile. The analytes were detected using an electrospray ionization tandem mass spectrometry in positive ion mode with multiple reaction monitoring (MRM). This method combines both advantages of UPLC and MS/MS, producing superior reliability, sensitivity and accuracy to previously published methods. The calibration curve was linear (r2 = 0.998) over the concentration range of 0.50-100.0 ng/ml. The limits of detection (LOD) and quantification (LOQ) for epirubicin were 0.10 and 0.50 ng/ml using 0.2 ml plasma sample, respectively. Recoveries of greater than 89% with intra- and inter-day precision (R.S.D.) less than 12% were obtained at concentrations above the LOQ. The present method has been successfully applied to analyze human plasma samples taken from patients administered epirubicin intravenously. Also, the principal metabolite epirubicinol was detected in all the patient plasma samples under investigation. The proposed method is very rapid, reliable and sensitive, and can be applicable to therapeutical drug monitoring and pharmacokinetic studies of epirubicin. © 2005 Elsevier B.V. All rights reserved.","author":[{"dropping-particle":"","family":"Li","given":"Ruiping","non-dropping-particle":"","parse-names":false,"suffix":""},{"dropping-particle":"","family":"Dong","given":"Lili","non-dropping-particle":"","parse-names":false,"suffix":""},{"dropping-particle":"","family":"Huang","given":"Junxiong","non-dropping-particle":"","parse-names":false,"suffix":""}],"container-title":"Analytica Chimica Acta","id":"ITEM-2","issue":"2","issued":{"date-parts":[["2005"]]},"page":"167-173","title":"Ultra performance liquid chromatography-tandem mass spectrometry for the determination of epirubicin in human plasma","type":"article-journal","volume":"546"},"uris":["http://www.mendeley.com/documents/?uuid=3b71cff3-35e7-4beb-ad21-7eb88efdfe4f"]},{"id":"ITEM-3","itemData":{"DOI":"10.1016/S0378-4347(99)00529-0","ISSN":"13872273","PMID":"10718646","abstract":"A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Applications","id":"ITEM-3","issue":"2","issued":{"date-parts":[["2000"]]},"page":"281-291","title":"Simultaneous determination of four anthracyclines and three metabolites in human serum by liquid chromatography-electrospray mass spectrometry","type":"article-journal","volume":"738"},"uris":["http://www.mendeley.com/documents/?uuid=8a2424d0-b5b2-4229-ad1b-96b4da3a7807"]},{"id":"ITEM-4","itemData":{"DOI":"10.1002/bmc.3684","ISSN":"10990801","PMID":"26762960","abstract":"A fast and easy tailored dispersive solid-phase extraction (d-SPE) procedure has been developed for the determination of 13 cytostatic drugs. Combined with a rapid and simultaneous ultra performance liquid chromatography/tandem mass spectrometry method for residue identification and quantification in urine, it has been fully validated and tested to study a realistic situation in working environment. The target compounds were chosen from the most common classes used in hospitals. The d-SPE adsorbent was obtained mixing Oasis HLB® with C18 and applied to a large volume of sample (10 mL). The electrospray ionization-mass spectrometry acquisition was conducted in a mixed period mode: six acquisition windows were in positive ionization and one in negative (for 5-fluorouracil). The lowest limit of quantification was found at 0.04 μg/L urine for methotrexate. The absolute recovery of cytotoxic drugs was assessed at two concentrations levels and ranged from 67.1% (cytarabine) to 102.3% (etoposide) and from 65.3% (cytarabine) to 101.2% (methotrexate) for the lower and higher levels, respectively, with the relative standard deviation always &lt;12%. This method gives the opportunity to analyze drugs in a wide molecular weight range (from 130 to 853 a.m.u.) and in a complex matrix, such as urine, without losing any of the features that a method intended for trace quantification must have. Copyright © 2016 John Wiley &amp; Sons, Ltd.","author":[{"dropping-particle":"","family":"Fabrizi","given":"Giovanni","non-dropping-particle":"","parse-names":false,"suffix":""},{"dropping-particle":"","family":"Fioretti","given":"Marzia","non-dropping-particle":"","parse-names":false,"suffix":""},{"dropping-particle":"","family":"Mainero Rocca","given":"Lucia","non-dropping-particle":"","parse-names":false,"suffix":""}],"container-title":"Biomedical Chromatography","id":"ITEM-4","issue":"8","issued":{"date-parts":[["2016"]]},"page":"1297-1308","title":"Dispersive solid-phase extraction procedure coupled to UPLC-ESI-MS/MS analysis for the simultaneous determination of thirteen cytotoxic drugs in human urine","type":"article-journal","volume":"30"},"uris":["http://www.mendeley.com/documents/?uuid=e19fd307-dc8b-4fc1-a7fa-2d7f9bf7e261"]},{"id":"ITEM-5","itemData":{"DOI":"10.1002/rcm.1642","ISSN":"09514198","abstract":"Health-care workers handling antineoplastic agents may be exposed to extremely low doses of these drugs. Very sensitive and specific analytical methods are therefore needed for biological monitoring. The aim of this study was to develop and validate a method for trace level determination of doxorubicin, epirubicin, daunorubicin and idarubicin in human urine, using epi-daunorubicin as an internal standard. Solid-phase extraction (SPE) was used for sample preparation. Urine samples were loaded onto Bond Elut C18 cartridges. The analytes were eluted in methylene chloride/2-propanol (1:1, v/v) and then evaporated to dryness. The residue was reconstituted with the mobile phase prior to high-performance liquid chromatography/tandem mass spectrometry (HPLC/MS/ MS) analysis. Quantitation of each analyte was performed using the multiple reaction monitoring (MRM) method. The urine assay was linear over the range 0.1-2.0 μg/L, with a lower limit of quantification (LLOQ) of 0.10 μg/L for doxorubicin and epirubicin, and 0.03 μg/L for daunorubicin and idarubicin. The respective limits of detection (LODs) were 0.04 and 0.01 μg/L. The precision and accuracy of the assay were determined on three different days. The within-series precision was found to be always less than 13.9% for all the analytes. The overall precision expressed as relative standard deviation (RSD) was always less than 10.6%. The recovery of anthracyclines was assessed at two concentrations of the range tested (0.1 and 2.0 μg/L) and it ranged from 87.7% (daunorubicin) to 102.0% (doxorubicin) and from 79.1% (daunorubicin) to 90.7% (idarubicin) for the lower and the higher level, respectively, with a RSD always less than 9.1%. The uncertainty of the present assay was also evaluated and the combined uncertainty was always less than 20% over all the days of the validation study. This is the first method that makes use of LC/MS/MS for the biological monitoring of occupational exposure to anthracyclines. Copyright © 2004 John Wiley &amp; Sons, Ltd.","author":[{"dropping-particle":"","family":"Sottani","given":"Cristina","non-dropping-particle":"","parse-names":false,"suffix":""},{"dropping-particle":"","family":"Tranfo","given":"Giovanna","non-dropping-particle":"","parse-names":false,"suffix":""},{"dropping-particle":"","family":"Bettinelli","given":"Maurizio","non-dropping-particle":"","parse-names":false,"suffix":""},{"dropping-particle":"","family":"Faranda","given":"Paolo","non-dropping-particle":"","parse-names":false,"suffix":""},{"dropping-particle":"","family":"Spagnoli","given":"Mariangela","non-dropping-particle":"","parse-names":false,"suffix":""},{"dropping-particle":"","family":"Minoia","given":"Claudio","non-dropping-particle":"","parse-names":false,"suffix":""}],"container-title":"Rapid Communications in Mass Spectrometry","id":"ITEM-5","issue":"20","issued":{"date-parts":[["2004"]]},"page":"2426-2436","title":"Trace determination of anthracyclines in urine: A new high-performance liquid chromatography/tandem mass spectrometry method for assessing exposure of hospital personnel","type":"article-journal","volume":"18"},"uris":["http://www.mendeley.com/documents/?uuid=c2101765-022b-47e8-8beb-c12cf909e5b3"]},{"id":"ITEM-6","itemData":{"DOI":"10.1002/rcm","abstract":"We have determined d13C, d2H and d18O isotopic abundances in Andalusian olive oils. In addition, the fatty acid composition and the distribution of isomers at positions 1,3 and 2 of glycerol were determined by 1H and 13C nuclear magnetic resonance (NMR) spectroscopy, respectively. Isotopic results obtained for four series of oil samples extracted from olives harvested in the 2004/05 and 2005/06 seasons are discussed in terms of olive variety, ripeness, geographical origin, fatty acid composition and growing altitude. A distinction was also established between olives grown in irrigated and in dry land by studying selected samples of the previous series and others from the 2005/06, 2006/07, 2007/08 and 2008/09 seasons. The results showed that olive ripeness does not influence the abundance of any of the three isotopes studied. On the other hand, the olive variety influences the abundance of the oxygen and hydrogen isotopes, and also, less markedly, that of carbon. No clear-cut effect of height or latitude on isotope values is observed, probably because the olive variety also changes with height and latitude, thus masking such influences. The oil samples from dryland-grown olives had increased d13C values relative to irrigation-grown olives. In addition, no definite relationship appears to exist between isotope distribution and fatty acid composition. Finally, oil samples from olives harvested in the 2005/06 season in Italy could be distinguished from those from Spain in terms of their isotopic values (d2H mainly). Copyright # 2010 John Wiley &amp; Sons, Ltd.","author":[{"dropping-particle":"","family":"Cristina Sottani, Paola Rinaldi, Emanuela Leoni, Guido Poggi, Cristina Teragni","given":"","non-dropping-particle":"","parse-names":false,"suffix":""},{"dropping-particle":"","family":"Minoia","given":"Angelo Delmonte and Claudio","non-dropping-particle":"","parse-names":false,"suffix":""}],"container-title":"RAPID COMMUNICATIONS IN MASS SPECTROMETRY","id":"ITEM-6","issued":{"date-parts":[["2008"]]},"page":"2645–2659","title":"Simultaneous determination of cyclophosphamide, ifosfamide, doxorubicin, epirubicin and daunorubicin in human urine using high-performance liquid chromatography/electrospray ionization tandem mass spectrometry: bioanalytical method validation","type":"article-journal","volume":"22"},"uris":["http://www.mendeley.com/documents/?uuid=3f42e645-4d3c-462e-ae10-469720fb91f8"]}],"mendeley":{"formattedCitation":"[54], [55], [66], [71], [78], [79]","plainTextFormattedCitation":"[54], [55], [66], [71], [78], [79]","previouslyFormattedCitation":"[54], [55], [66], [71], [78], [79]"},"properties":{"noteIndex":0},"schema":"https://github.com/citation-style-language/schema/raw/master/csl-citation.json"}</w:instrText>
      </w:r>
      <w:r w:rsidR="00CF6DD2">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[54], [55], [66], [71], [78], [79]</w:t>
      </w:r>
      <w:r w:rsidR="00CF6DD2">
        <w:rPr>
          <w:rFonts w:ascii="Times New Roman" w:hAnsi="Times New Roman" w:cs="Times New Roman"/>
          <w:sz w:val="24"/>
          <w:szCs w:val="24"/>
        </w:rPr>
        <w:fldChar w:fldCharType="end"/>
      </w:r>
      <w:r w:rsidR="2C092957" w:rsidRPr="00E11754">
        <w:rPr>
          <w:rFonts w:ascii="Times New Roman" w:hAnsi="Times New Roman" w:cs="Times New Roman"/>
          <w:sz w:val="24"/>
          <w:szCs w:val="24"/>
        </w:rPr>
        <w:t>.</w:t>
      </w:r>
      <w:r w:rsidRPr="00E11754">
        <w:rPr>
          <w:rFonts w:ascii="Times New Roman" w:hAnsi="Times New Roman" w:cs="Times New Roman"/>
          <w:sz w:val="24"/>
          <w:szCs w:val="24"/>
        </w:rPr>
        <w:t xml:space="preserve"> Jednakże, ograniczeniami tych metod </w:t>
      </w:r>
      <w:r w:rsidR="2C092957" w:rsidRPr="00E11754">
        <w:rPr>
          <w:rFonts w:ascii="Times New Roman" w:hAnsi="Times New Roman" w:cs="Times New Roman"/>
          <w:sz w:val="24"/>
          <w:szCs w:val="24"/>
        </w:rPr>
        <w:t>był długi czas analizy LC (≥ 14 min)</w:t>
      </w:r>
      <w:r w:rsidR="00AE003A">
        <w:rPr>
          <w:rFonts w:ascii="Times New Roman" w:hAnsi="Times New Roman" w:cs="Times New Roman"/>
          <w:sz w:val="24"/>
          <w:szCs w:val="24"/>
        </w:rPr>
        <w:t xml:space="preserve"> </w:t>
      </w:r>
      <w:r w:rsidR="00E839F3">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{"citationItems":[{"id":"ITEM-1","itemData":{"DOI":"10.1016/0378-4347(96)00030-8","ISSN":"15726495","PMID":"8811443","abstract":"In order to determine epirubicin and its metabolites at low concentrations (&lt; 38 ng/ml) in small plasma samples, a fast reliable method based on a precipitation pre-treatment and sensitive reversed-phase isocratic HPLC has been developed and validated for epirubicin in the range 5-100 ng/ml. The R.S.D. was 5-9% over this concentration range. For human serum containing 25 ng/ml of epirubicin, the inter- and intra-day variation was &lt; 10%. Recoveries of the metabolites epirubicinol, 7-deoxydoxorubicinone and 7-deoxydoxorubicinolone at 20 ng/ml ranged from 94-104%. The assay has been used to study human plasma samples taken during a 96-h infusion of epirubicin in a patient with multiple myeloma. The combined levels of the unseparated metabolites, epirubicin glucuronide and epirubicinol glucuronide, were semiquantitatively determined after treatment with β-glucuronidase. The metabolites epirubicinol and 7-deoxydoxorubicinolone, but not 7-deoxydoxorubicinone, were also detected and measured.","author":[{"dropping-particle":"","family":"Barker","given":"Ian K.","non-dropping-particle":"","parse-names":false,"suffix":""},{"dropping-particle":"","family":"Crawford","given":"S. Michael","non-dropping-particle":"","parse-names":false,"suffix":""},{"dropping-particle":"","family":"Fell","given":"Anthony F.","non-dropping-particle":"","parse-names":false,"suffix":""}],"container-title":"Journal of Chromatography B: Biomedical Applications","id":"ITEM-1","issue":"2","issued":{"date-parts":[["1996"]]},"page":"323-329","title":"Determination of plasma concentrations of epirubicin and its metabolites by high-performance liquid chromatography during a 96-h infusion in cancer chemotherapy","type":"article-journal","volume":"681"},"uris":["http://www.mendeley.com/documents/?uuid=ad692e3b-4ff8-4908-819c-194386926b67"]},{"id":"ITEM-2","itemData":{"DOI":"10.1016/j.jchromb.2009.08.054","ISSN":"15700232","PMID":"19783235","abstract":"Drug Eluting Microsphere-Transarterial Chemoembolization (DEM-TACE) is a new delivery system to administrate drugs in a controlled manner useful for application in the chemoembolization of colorectal cancer metastases to the liver. DEM-TACE is focused to obtain higher concentrations of the drug to the tumor with lower systemic concentrations than traditional cancer chemotherapy. Therefore a specific, precise and sensitive LC-ESI-MS/MS assay procedure was properly designed to detect and quantify epirubicin at the concentrations expected from a transarterial chemoembolization with microspheres. Serum samples were kept acidic (pH approximately of 3.5) and sample preparation consisted of a solid phase extraction (SPE) procedure with HLB OASIS® cartridges using a methylene chloride/2-propanol/methanol mixture solution to recover epirubicin. The analyses consisted of reversed-phase high-performance liquid chromatography (rp-HPLC) coupled with tandem mass spectrometry (MS/MS). Accuracy, precision and matrix effect of this procedure were carried out by analyzing four quality control samples (QCs) on five separate days. The validation parameters were assessed by recovery studies of spiked serum samples. Recoveries were found to vary between 92 and 98% at the QC levels (5, 40, 80 and 150 μg/L) with relative standard deviation (RSD) always less than 3.7%. The limit of detection (LOD) was set at 1 μg/L. The developed procedure has been also applied to investigate the different capability of two types of commercially available microspheres to release epirubicin into the human circulatory system. © 2009 Elsevier B.V. All rights reserved.","author":[{"dropping-particle":"","family":"Sottani","given":"Cristina","non-dropping-particle":"","parse-names":false,"suffix":""},{"dropping-particle":"","family":"Leoni","given":"Emanuela","non-dropping-particle":"","parse-names":false,"suffix":""},{"dropping-particle":"","family":"Porro","given":"Benedetta","non-dropping-particle":"","parse-names":false,"suffix":""},{"dropping-particle":"","family":"Montagna","given":"Benedetta","non-dropping-particle":"","parse-names":false,"suffix":""},{"dropping-particle":"","family":"Amatu","given":"Alessio","non-dropping-particle":"","parse-names":false,"suffix":""},{"dropping-particle":"","family":"Sottotetti","given":"Federico","non-dropping-particle":"","parse-names":false,"suffix":""},{"dropping-particle":"","family":"Quaretti","given":"Pietro","non-dropping-particle":"","parse-names":false,"suffix":""},{"dropping-particle":"","family":"Poggi","given":"Guido","non-dropping-particle":"","parse-names":false,"suffix":""},{"dropping-particle":"","family":"Minoia","given":"Claudio","non-dropping-particle":"","parse-names":false,"suffix":""}],"container-title":"Journal of Chromatography B: Analytical Technologies in the Biomedical and Life Sciences","id":"ITEM-2","issue":"29","issued":{"date-parts":[["2009"]]},"page":"3543-3548","title":"Validation of an LC-MS/MS method for the determination of epirubicin in human serum of patients undergoing Drug Eluting Microsphere-Transarterial Chemoembolization (DEM-TACE)","type":"article-journal","volume":"877"},"uris":["http://www.mendeley.com/documents/?uuid=266cdb72-871c-4062-a7af-053960bdc7f2"]},{"id":"ITEM-3","itemData":{"DOI":"10.1097/00007691-200308000-00003","ISSN":"01634356","PMID":"12883225","abstract":"We present a high-performance liquid chromatography (HPLC) method suitable for the analysis of epirubicin and its metabolite epirubicinol in saliva and plasma. Preparation of saliva and plasma samples was performed by extraction of analytes with a chloroform: 2-propanol mixture (6:1, vol/vol) and evaporation of the organic phase to dryness under vacuum at a temperature of approximately 45°C. The chromatographic analysis was carried out by reversed-phase isocratic elution of the anthracyclines with a Chromsep stainless steel HPLC column (150 x 4.6 mm I.D.) filled with Nucleosil 100 S C18 material, particle size 5 μm. The detection was accomplished by spectrofluorimetry at excitation and emission wavelengths of 474 and 551 nm, respectively. The anthracyclines eluted within 10 min of injection, and the method appeared to be specific. The method is linear over a concentration range of 5 to 1000 μg/L for epirubicin and 2 to 400 μg/L for epirubicinol (r &gt; 0.99) in both saliva and plasma. The recoveries from saliva and plasma of epirubicin, epirubicinol, and the internal standard doxorubicin were 88.9 and 69.0%, 87.6 and 77.3%, and 80 and 67.9%, respectively. The lower limit of quantification was 5 μg/L for epirubicin and 2 μg/L for epirubicinol. The method proved to be precise and accurate, as the within-day and between-day coefficients of variation were less than 10%. Overall results indicate that our method is suitable for the bioanalysis of epirubicin and epirubicinol in saliva as well as plasma.","author":[{"dropping-particle":"","family":"Dodde","given":"Wilma I.W.","non-dropping-particle":"","parse-names":false,"suffix":""},{"dropping-particle":"","family":"Maring","given":"Jan Gerard","non-dropping-particle":"","parse-names":false,"suffix":""},{"dropping-particle":"","family":"Hendriks","given":"Gert","non-dropping-particle":"","parse-names":false,"suffix":""},{"dropping-particle":"","family":"Wachters","given":"Floris M.","non-dropping-particle":"","parse-names":false,"suffix":""},{"dropping-particle":"","family":"Groen","given":"Harry J.M.","non-dropping-particle":"","parse-names":false,"suffix":""},{"dropping-particle":"","family":"Vries","given":"Elisabeth G.E.","non-dropping-particle":"De","parse-names":false,"suffix":""},{"dropping-particle":"","family":"Uges","given":"Donald R.A.","non-dropping-particle":"","parse-names":false,"suffix":""}],"container-title":"Therapeutic Drug Monitoring","id":"ITEM-3","issue":"4","issued":{"date-parts":[["2003"]]},"page":"433-440","title":"Determination of epirubicin and its metabolite epirubicinol in saliva and plasma by HPLC","type":"article-journal","volume":"25"},"uris":["http://www.mendeley.com/documents/?uuid=ae04d002-dba4-4093-9002-154d6d6bae90"]},{"id":"ITEM-4","itemData":{"DOI":"10.1016/j.jchromb.2009.09.044","ISSN":"15700232","PMID":"19828385","abstract":"A quantitative HPLC method with fluorescence detection has been developed for the simultaneous determination of four anthracyclines (doxorubicin, epirubicin, daunorubicin and idarubicin) and their respective 13-S-dihydro metabolites (doxorubicinol, epirubicinol, daunorubicinol and idarubicinol) in plasma and saliva, using epidaunorubicin as internal standard. A progressive optimization matrix led to a two-step extraction based on a protein precipitation with ethanol followed by a liquid-liquid extraction with dichloromethane after pH adjustment to 8.5. The chromatographic separation was performed in 14 min on a C18 column, applying gradient elution with a mixture of 0.1% formic acid in water and 0.1% formic acid in acetonitrile. The analytes were detected and quantified at an excitation and emission wavelength of 480 and 555 nm, respectively. Limit of detection (LOD) and lower limit of quantification (LLOQ) were 0.3 or 0.75, and 1 or 2.5 ng/mL, respectively. Linearity by means of weighted (1/x) regression was obtained from the LLOQ up to 1000 or 2500 ng/mL for the parent drugs and up to 400 or 1000 ng/mL for the metabolites. Intra-assay and inter-assay relative standard deviation values were all less than 14% at low, medium and high levels, and below 17% at the LLOQ. Accuracy ranged between 91 and 113% at low, medium and high concentrations and between 83 and 118% at the LLOQ. Absolute recoveries were between 78 and 88% in plasma, and between 70 and 79% in saliva, respectively. Autosampler, benchtop, freeze-thaw and long-term stability samples fulfilled acceptance criteria. This selective method was applied successfully to the analysis of plasma and saliva samples from patients administered epirubicin intravenously. © 2009 Elsevier B.V. All rights reserved.","author":[{"dropping-particle":"","family":"Maudens","given":"Kristof E.","non-dropping-particle":"","parse-names":false,"suffix":""},{"dropping-particle":"","family":"Stove","given":"Christophe P.","non-dropping-particle":"","parse-names":false,"suffix":""},{"dropping-particle":"","family":"Cocquyt","given":"Veronique F J","non-dropping-particle":"","parse-names":false,"suffix":""},{"dropping-particle":"","family":"Denys","given":"Hannelore","non-dropping-particle":"","parse-names":false,"suffix":""},{"dropping-particle":"","family":"Lambert","given":"Willy E.","non-dropping-particle":"","parse-names":false,"suffix":""}],"container-title":"Journal of Chromatography B: Analytical Technologies in the Biomedical and Life Sciences","id":"ITEM-4","issue":"30","issued":{"date-parts":[["2009"]]},"page":"3907-3915","title":"Development and validation of a liquid chromatographic method for the simultaneous determination of four anthracyclines and their respective 13-S-dihydro metabolites in plasma and saliva","type":"article-journal","volume":"877"},"uris":["http://www.mendeley.com/documents/?uuid=ab0d83c5-972a-4e8b-bb30-2aa750d60b9f"]},{"id":"ITEM-5","itemData":{"DOI":"10.1016/0378-4347(91)80485-U","ISSN":"03784347","PMID":"1818055","abstract":"A sensitive and rapid method for measuring epidoxorubicin and its six metabolites by high-performance liquid chromatography using an advanced automated sample processor is described. Plasma samples (1 ml) were extracted using C2 cassettes, and reversed-phase chromatography was performed with an Apex II ODS column. The isocratic mobile phase of acetonitrile-0.019 M NaH2PO4 (pH 4.0) had a flow-rate of 1 ml/min and the fluorescence detector an excitation wavelength of 480 nm with an emission at 580 nm. Linear calibration curves were obtained which were reproducible both within-day and day-to-day (coefficients of variation &lt; 10%). The extraction efficacy of epidoxorubicin was 88% and ranged from 51 to 88% for the metabolites. This method has been successfully applied to measure the plasma levels of these compounds in patients receiving epidoxorubicin over a wide dose range (12-120 mg/m2) and in patients with disturbed liver biochemistry. © 1991.","author":[{"dropping-particle":"","family":"Dobbs","given":"Nicola A.","non-dropping-particle":"","parse-names":false,"suffix":""},{"dropping-particle":"","family":"Twelves","given":"Christopher J.","non-dropping-particle":"","parse-names":false,"suffix":""}],"container-title":"Journal of Chromatography B: Biomedical Sciences and Applications","id":"ITEM-5","issue":"1-2","issued":{"date-parts":[["1991"]]},"page":"211-217","title":"Measurement of epidoxorubicin and its metabolites by high-performance liquid chromatography using an advanced automated sample processor","type":"article-journal","volume":"572"},"uris":["http://www.mendeley.com/documents/?uuid=352e130b-735d-4771-ab9f-84acb750fbb4"]},{"id":"ITEM-6","itemData":{"DOI":"10.1002/bmc.1130040103","ISSN":"10990801","PMID":"2310837","abstract":"A rapid sensitive and selective isocratic technique was developed for the analysis of plasma epirubicin and three of its know</w:instrText>
      </w:r>
      <w:r w:rsidR="004818CD">
        <w:rPr>
          <w:rFonts w:ascii="Times New Roman" w:hAnsi="Times New Roman" w:cs="Times New Roman" w:hint="eastAsia"/>
          <w:sz w:val="24"/>
          <w:szCs w:val="24"/>
        </w:rPr>
        <w:instrText>n fluorescent metabolites epirubicinol,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epidoxorubicin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 1,3</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dihydro</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epidoxorubicin, with daunorubicin as an internal standard, by using high performance liquid chromatography (HPLC) with fluorescence detection and a </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Hypersil ODS</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 column. The drugs were easily and efficiently extracted with a Sep</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Pak C18 cartridge and the mean recoveries were greater than 85%. Intraassay and Interassay coefficients of variation (plasma samples) were better than 8.25%. An ex</w:instrText>
      </w:r>
      <w:r w:rsidR="004818CD">
        <w:rPr>
          <w:rFonts w:ascii="Times New Roman" w:hAnsi="Times New Roman" w:cs="Times New Roman"/>
          <w:sz w:val="24"/>
          <w:szCs w:val="24"/>
        </w:rPr>
        <w:instrText>ample of pharmacokinetic study obtained in a cancer patient after intravenous injection of epirubicine is described. Copyright © 1990 John Wiley &amp; Sons, Ltd.","author":[{"dropping-particle":"","family":"Dine","given":"T.","non-dropping-particle":"","parse-names":false,"suffix":""},{"dropping-particle":"","family":"Brunet","given":"C.","non-dropping-particle":"","parse-names":false,"suffix":""},{"dropping-particle":"","family":"Luyckx","given":"M.","non-dropping-particle":"","parse-names":false,"suffix":""},{"dropping-particle":"","family":"Cazin","given":"M.","non-dropping-particle":"","parse-names":false,"suffix":""},{"dropping-particle":"","family":"Gosselin","given":"P.","non-dropping-particle":"","parse-names":false,"suffix":""},{"dropping-particle":"","family":"Cazin","given":"J. L.","non-dropping-particle":"","parse-names":false,"suffix":""}],"container-title":"Biomedical Chromatography","id":"ITEM-6","issue":"1","issued":{"date-parts":[["1990"]]},"page":"20-23","title":"Rapid quantitative determination of epirubicin and its metabolites in plasma using high performance liquid chromatography and fluorescence detection","type":"article-journal","volume":"4"},"uris":["http://www.mendeley.com/documents/?uuid=b79a8003-a681-4b27-9a46-161c3eee448a"]},{"id":"ITEM-7","itemData":{"DOI":"10.1016/j.talanta.2006.10.010","ISSN":"00399140","abstract":"A highly sensitive and selective liquid chromatography-mass spectrometry (LC-MS) method has been developed for the determination of epirubicin in serum and cell specimens using daunorubicin as an internal standard. Using atmospheric pressure chemical ionisation (APCI), the epirubicin metabolites were readily distinguishable by their fragmentation pattern in the mass spectrometer. Selected reaction monitoring (SRM) mode was employed for quantitation of epirubicin and the metabolites. Following extraction, chromatography was performed on a C18 column with a mobile phase consisting of water-acetonitrile-formic acid, pH 3.2, with a flow rate of 200 μl/min. The limit of detection (LOD) and the limit of quantitation (LOQ) of this method in serum were determined to be 1.0 and 2.5 ng/ml, respectively. Linearity of the method was verified over the concentration range of 2.5-2000 ng/ml, with a high correlation coefficient (R2 ≥ 0.998). For the extraction procedure, an aliquot of 500 μl serum, spiked with internal standard, was extracted using a chloroform-2-isopropanol (2:1, v/v) mixture. The method has been applied to the analysis of epirubicin in cancer cell samples and the identification of known and unknown metabolites in clinical trial patient serum samples. © 2006 Elsevier B.V. All rights reserved.","author":[{"dropping-particle":"","family":"Wall","given":"Rachel","non-dropping-particle":"","parse-names":false,"suffix":""},{"dropping-particle":"","family":"McMahon","given":"Gillian","non-dropping-particle":"","parse-names":false,"suffix":""},{"dropping-particle":"","family":"Crown","given":"John","non-dropping-particle":"","parse-names":false,"suffix":""},{"dropping-particle":"","family":"Clynes","given":"Martin","non-dropping-particle":"","parse-names":false,"suffix":""},{"dropping-particle":"","family":"O'Connor","given":"Robert","non-dropping-particle":"","parse-names":false,"suffix":""}],"container-title":"Talanta","id":"ITEM-7","issue":"1","issued":{"date-parts":[["2007"]]},"page":"145-154","title":"Rapid and sensitive liquid chromatography-tandem mass spectrometry for the quantitation of epirubicin and identification of metabolites in biological samples","type":"article-journal","volume":"72"},"uris":["http://www.mendeley.com/documents/?uuid=193119d9-9a11-4203-9d2a-3f55413df188"]},{"id":"ITEM-8","itemData":{"DOI":"10.1016/S0378-4347(99)00529-0","ISSN":"13872273","PMID":"10718646","abstract":"A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Applications","id":"ITEM-8","issue":"2","issued":{"date-parts":[["2000"]]},"page":"281-291","title":"Simultaneous determination of four anthracyclines and three metabolites in human serum by liquid chromatography-electrospray mass spectrometry","type":"article-journal","volume":"738"},"uris":["http://www.mendeley.com/documents/?uuid=8a2424d0-b5b2-4229-ad1b-96b4da3a7807"]},{"id":"ITEM-9","itemData":{"DOI":"10.1002/jssc.201000026","ISSN":"16159314","PMID":"20437415","abstract":"An online SPE-LC method that can determine both anthracyclines and taxanes simultaneously in human serum samples is reported. The entire method of extraction, separation and UV detection was achieved online by column switching between an SPE column (Biotrap 500 (20 x 4 mm)) and an analytical column (Zorbax XDB C18, 150 x 4.6 mm, 5 μm) with a 23 min total cycle time. The method is linear (r2&gt;0.998) over the range of 0.5-25 μg/mL. The analytes of interest are retained on the SPE column with good recovery (84-117%), while proteins and other serum components elute to waste. This online cleanup is much faster (150 s) and less manual than traditional off-line extraction methods. Using 0.1 mL spiked serum samples, the LOQ was 0.5 μg/mL. Intra- and inter-day precision were acceptable (≤15% RSD) at and above the LOQ. The method was applied to the analysis of serum samples from patients undergoing chemotherapy with these agents. © 2010 Wiley-VCH Verlag GmbH &amp; Co. KGaA.","author":[{"dropping-particle":"","family":"Bermingham","given":"Shane","non-dropping-particle":"","parse-names":false,"suffix":""},{"dropping-particle":"","family":"O'Connor","given":"Robert","non-dropping-particle":"","parse-names":false,"suffix":""},{"dropping-particle":"","family":"Regan","given":"Fiona","non-dropping-particle":"","parse-names":false,"suffix":""},{"dropping-particle":"","family":"McMahon","given":"Gillian P.","non-dropping-particle":"","parse-names":false,"suffix":""}],"container-title":"Journal of Separation Science","id":"ITEM-9","issue":"11","issued":{"date-parts":[["2010"]]},"page":"1571-1579","title":"Simultaneous determination of anthracyclines and taxanes in human serum using online sample extraction coupled to high performance liquid chromatography with UV detection","type":"article-journal","volume":"33"},"uris":["http://www.mendeley.com/documents/?uuid=96b0dd0d-c17e-4132-972e-a585589cd9de"]}],"mendeley":{"formattedCitation":"[66], [67], [69], [71]–[76]","plainTextFormattedCitation":"[66], [67], [69], [71]–[76]","previouslyFormattedCitation":"[66], [67], [69], [71]–[76]"},"properties":{"noteIndex":0},"schema":"https://github.com/citation-style-language/schema/raw/master/csl-citation.json"}</w:instrText>
      </w:r>
      <w:r w:rsidR="00E839F3">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[66], [67], [69], [71]–[76]</w:t>
      </w:r>
      <w:r w:rsidR="00E839F3">
        <w:rPr>
          <w:rFonts w:ascii="Times New Roman" w:hAnsi="Times New Roman" w:cs="Times New Roman"/>
          <w:sz w:val="24"/>
          <w:szCs w:val="24"/>
        </w:rPr>
        <w:fldChar w:fldCharType="end"/>
      </w:r>
      <w:r w:rsidR="2C092957" w:rsidRPr="00E11754">
        <w:rPr>
          <w:rFonts w:ascii="Times New Roman" w:hAnsi="Times New Roman" w:cs="Times New Roman"/>
          <w:sz w:val="24"/>
          <w:szCs w:val="24"/>
        </w:rPr>
        <w:t xml:space="preserve">, wysokie wartości LOD </w:t>
      </w:r>
      <w:r w:rsidR="00885CED">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{"citationItems":[{"id":"ITEM-1","itemData":{"DOI":"10.1016/0378-4347(96)00030-8","ISSN":"15726495","PMID":"8811443","abstract":"In order to determine epirubicin and its metabolites at low concentrations (&lt; 38 ng/ml) in small plasma samples, a fast reliable method based on a precipitation pre-treatment and sensitive reversed-phase isocratic HPLC has been developed and validated for epirubicin in the range 5-100 ng/ml. The R.S.D. was 5-9% over this concentration range. For human serum containing 25 ng/ml of epirubicin, the inter- and intra-day variation was &lt; 10%. Recoveries of the metabolites epirubicinol, 7-deoxydoxorubicinone and 7-deoxydoxorubicinolone at 20 ng/ml ranged from 94-104%. The assay has been used to study human plasma samples taken during a 96-h infusion of epirubicin in a patient with multiple myeloma. The combined levels of the unseparated metabolites, epirubicin glucuronide and epirubicinol glucuronide, were semiquantitatively determined after treatment with β-glucuronidase. The metabolites epirubicinol and 7-deoxydoxorubicinolone, but not 7-deoxydoxorubicinone, were also detected and measured.","author":[{"dropping-particle":"","family":"Barker","given":"Ian K.","non-dropping-particle":"","parse-names":false,"suffix":""},{"dropping-particle":"","family":"Crawford","given":"S. Michael","non-dropping-particle":"","parse-names":false,"suffix":""},{"dropping-particle":"","family":"Fell","given":"Anthony F.","non-dropping-particle":"","parse-names":false,"suffix":""}],"container-title":"Journal of Chromatography B: Biomedical Applications","id":"ITEM-1","issue":"2","issued":{"date-parts":[["1996"]]},"page":"323-329","title":"Determination of plasma concentrations of epirubicin and its metabolites by high-performance liquid chromatography during a 96-h infusion in cancer chemotherapy","type":"article-journal","volume":"681"},"uris":["http://www.mendeley.com/documents/?uuid=ad692e3b-4ff8-4908-819c-194386926b67"]},{"id":"ITEM-2","itemData":{"DOI":"10.1016/j.jchromb.2009.08.054","ISSN":"15700232","PMID":"19783235","abstract":"Drug Eluting Microsphere-Transarterial Chemoembolization (DEM-TACE) is a new delivery system to administrate drugs in a controlled manner useful for application in the chemoembolization of colorectal cancer metastases to the liver. DEM-TACE is focused to obtain higher concentrations of the drug to the tumor with lower systemic concentrations than traditional cancer chemotherapy. Therefore a specific, precise and sensitive LC-ESI-MS/MS assay procedure was properly designed to detect and quantify epirubicin at the concentrations expected from a transarterial chemoembolization with microspheres. Serum samples were kept acidic (pH approximately of 3.5) and sample preparation consisted of a solid phase extraction (SPE) procedure with HLB OASIS® cartridges using a methylene chloride/2-propanol/methanol mixture solution to recover epirubicin. The analyses consisted of reversed-phase high-performance liquid chromatography (rp-HPLC) coupled with tandem mass spectrometry (MS/MS). Accuracy, precision and matrix effect of this procedure were carried out by analyzing four quality control samples (QCs) on five separate days. The validation parameters were assessed by recovery studies of spiked serum samples. Recoveries were found to vary between 92 and 98% at the QC levels (5, 40, 80 and 150 μg/L) with relative standard deviation (RSD) always less than 3.7%. The limit of detection (LOD) was set at 1 μg/L. The developed procedure has been also applied to investigate the different capability of two types of commercially available microspheres to release epirubicin into the human circulatory system. © 2009 Elsevier B.V. All rights reserved.","author":[{"dropping-particle":"","family":"Sottani","given":"Cristina","non-dropping-particle":"","parse-names":false,"suffix":""},{"dropping-particle":"","family":"Leoni","given":"Emanuela","non-dropping-particle":"","parse-names":false,"suffix":""},{"dropping-particle":"","family":"Porro","given":"Benedetta","non-dropping-particle":"","parse-names":false,"suffix":""},{"dropping-particle":"","family":"Montagna","given":"Benedetta","non-dropping-particle":"","parse-names":false,"suffix":""},{"dropping-particle":"","family":"Amatu","given":"Alessio","non-dropping-particle":"","parse-names":false,"suffix":""},{"dropping-particle":"","family":"Sottotetti","given":"Federico","non-dropping-particle":"","parse-names":false,"suffix":""},{"dropping-particle":"","family":"Quaretti","given":"Pietro","non-dropping-particle":"","parse-names":false,"suffix":""},{"dropping-particle":"","family":"Poggi","given":"Guido","non-dropping-particle":"","parse-names":false,"suffix":""},{"dropping-particle":"","family":"Minoia","given":"Claudio","non-dropping-particle":"","parse-names":false,"suffix":""}],"container-title":"Journal of Chromatography B: Analytical Technologies in the Biomedical and Life Sciences","id":"ITEM-2","issue":"29","issued":{"date-parts":[["2009"]]},"page":"3543-3548","title":"Validation of an LC-MS/MS method for the determination of epirubicin in human serum of patients undergoing Drug Eluting Microsphere-Transarterial Chemoembolization (DEM-TACE)","type":"article-journal","volume":"877"},"uris":["http://www.mendeley.com/documents/?uuid=266cdb72-871c-4062-a7af-053960bdc7f2"]},{"id":"ITEM-3","itemData":{"DOI":"10.1080/10826070701465654","ISSN":"10826076","abstract":"An analytical method based on hydrophilic interaction chromatography (HILIC) using diode array detection was developed and validated for the determination of epirubicin in human plasma. Epirubicin and epidaunorubicin (internal standard) were collected from the plasma by solid-phase extraction (SPE) using Oasis HLB cartridges. The chromatographic separation was on a silica analytical column (250 × 4.6 mm I.D., 5 μm) with a mobile phase consisting of acetonitrile/40 mM ammonium formate buffer solution (pH 2.9) (90/10, v/v). The detection wavelength was 254 nm. Linearity of the method was in the concentration range of 0.050-2.5 μg/mL (r2=0.9991). The limit of quantification (LOQ) and limit of detection (LOD) were 0.050 and 0.030 μg/mL using 0.2 mL plasma sample, respectively. Recoveries of the analyte ranged from 89.4% to 101.2% with intra- and inter-day precision (RSD); less than 7.0% were obtained at the concentrations above the LOQ. The proposed method is simple, accurate, and its mobile phase is compatible for mass spectrometry. Copyright © Taylor &amp; Francis Group, LLC.","author":[{"dropping-particle":"","family":"Li","given":"Ruiping","non-dropping-particle":"","parse-names":false,"suffix":""},{"dropping-particle":"","family":"Dong","given":"Lili","non-dropping-particle":"","parse-names":false,"suffix":""},{"dropping-particle":"","family":"Huang","given":"Junxiong","non-dropping-particle":"","parse-names":false,"suffix":""}],"container-title":"Journal of Liquid Chromatography and Related Technologies","id":"ITEM-3","issue":"16","issued":{"date-parts":[["2007"]]},"page":"2409-2418","title":"Hydrophilic interaction chromatographic determination of epirubicin in human plasma using solid phase extraction for sample clean-up","type":"article-journal","volume":"30"},"uris":["http://www.mendeley.com/documents/?uuid=479105a8-db62-4271-b022-d6909d6ff568"]},{"id":"ITEM-4","itemData":{"DOI":"10.1016/j.jchromb.2009.09.044","ISSN":"15700232","PMID":"19828385","abstract":"A quantitative HPLC method with fluorescence detection has been developed for the simultaneous determination of four anthracyclines (doxorubicin, epirubicin, daunorubicin and idarubicin) and their respective 13-S-dihydro metabolites (doxorubicinol, epirubicinol, daunorubicinol and idarubicinol) in plasma and saliva, using epidaunorubicin as internal standard. A progressive optimization matrix led to a two-step extraction based on a protein precipitation with ethanol followed by a liquid-liquid extraction with dichloromethane after pH adjustment to 8.5. The chromatographic separation was performed in 14 min on a C18 column, applying gradient elution with a mixture of 0.1% formic acid in water and 0.1% formic acid in acetonitrile. The analytes were detected and quantified at an excitation and emission wavelength of 480 and 555 nm, respectively. Limit of detection (LOD) and lower limit of quantification (LLOQ) were 0.3 or 0.75, and 1 or 2.5 ng/mL, respectively. Linearity by means of weighted (1/x) regression was obtained from the LLOQ up to 1000 or 2500 ng/mL for the parent drugs and up to 400 or 1000 ng/mL for the metabolites. Intra-assay and inter-assay relative standard deviation values were all less than 14% at low, medium and high levels, and below 17% at the LLOQ. Accuracy ranged between 91 and 113% at low, medium and high concentrations and between 83 and 118% at the LLOQ. Absolute recoveries were between 78 and 88% in plasma, and between 70 and 79% in saliva, respectively. Autosampler, benchtop, freeze-thaw and long-term stability samples fulfilled acceptance criteria. This selective method was applied successfully to the analysis of plasma and saliva samples from patients administered epirubicin intravenously. © 2009 Elsevier B.V. All rights reserved.","author":[{"dropping-particle":"","family":"Maudens","given":"Kristof E.","non-dropping-particle":"","parse-names":false,"suffix":""},{"dropping-particle":"","family":"Stove","given":"Christophe P.","non-dropping-particle":"","parse-names":false,"suffix":""},{"dropping-particle":"","family":"Cocquyt","given":"Veronique F J","non-dropping-particle":"","parse-names":false,"suffix":""},{"dropping-particle":"","family":"Denys","given":"Hannelore","non-dropping-particle":"","parse-names":false,"suffix":""},{"dropping-particle":"","family":"Lambert","given":"Willy E.","non-dropping-particle":"","parse-names":false,"suffix":""}],"container-title":"Journal of Chromatography B: Analytical Technologies in the Biomedical and Life Sciences","id":"ITEM-4","issue":"30","issued":{"date-parts":[["2009"]]},"page":"3907-3915","title":"Development and validation of a liquid chromatographic method for the simultaneous determination of four anthracyclines and their respective 13-S-dihydro metabolites in plasma and saliva","type":"article-journal","volume":"877"},"uris":["http://www.mendeley.com/documents/?uuid=ab0d83c5-972a-4e8b-bb30-2aa750d60b9f"]},{"id":"ITEM-5","itemData":{"DOI":"10.1016/0378-4347(91)80485-U","ISSN":"03784347","PMID":"1818055","abstract":"A sensitive and rapid method for measuring epidoxorubicin and its six metabolites by high-performance liquid chromatography using an advanced automated sample processor is described. Plasma samples (1 ml) were extracted using C2 cassettes, and reversed-phase chromatography was performed with an Apex II ODS column. The isocratic mobile phase of acetonitrile-0.019 M NaH2PO4 (pH 4.0) had a flow-rate of 1 ml/min and the fluorescence detector an excitation wavelength of 480 nm with an emission at 580 nm. Linear calibration curves were obtained which were reproducible both within-day and day-to-day (coefficients of variation &lt; 10%). The extraction efficacy of epidoxorubicin was 88% and ranged from 51 to 88% for the metabolites. This method has been successfully applied to measure the plasma levels of these compounds in patients receiving epidoxorubicin over a wide dose range (12-120 mg/m2) and in patients with disturbed liver biochemistry. © 1991.","author":[{"dropping-particle":"","family":"Dobbs","given":"Nicola A.","non-dropping-particle":"","parse-names":false,"suffix":""},{"dropping-particle":"","family":"Twelves","given":"Christopher J.","non-dropping-particle":"","parse-names":false,"suffix":""}],"container-title":"Journal of Chromatography B: Biomedical Sciences and Applications","id":"ITEM-5","issue":"1-2","issued":{"date-parts":[["1991"]]},"page":"211-217","title":"Measurement of epidoxorubicin and its metabolites by high-performance liquid chromatography using an advanced automated sample processor","type":"article-journal","volume":"572"},"uris":["http://www.mendeley.com/documents/?uuid=352e130b-735d-4771-ab9f-84acb750fbb4"]},{"id":"ITEM-6","itemData":{"DOI":"10.1002/bmc.1130040103","ISSN":"10990801","PMID":"2310837","abstr</w:instrText>
      </w:r>
      <w:r w:rsidR="004818CD">
        <w:rPr>
          <w:rFonts w:ascii="Times New Roman" w:hAnsi="Times New Roman" w:cs="Times New Roman" w:hint="eastAsia"/>
          <w:sz w:val="24"/>
          <w:szCs w:val="24"/>
        </w:rPr>
        <w:instrText>act":"A rapid sensitive and selective isocratic technique was developed for the analysis of plasma epirubicin and three of its known fluorescent metabolites epirubicinol,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epidoxorubicin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 1,3</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dihydro</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epidoxorubicin, with daunorubicin as an internal standard, by using high performance liquid chromatography (HPLC) with fluorescence detection and a </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Hypersil ODS</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 column. The drugs were easily and efficiently extracted with a Sep</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Pak C18 cartridge and the mean r</w:instrText>
      </w:r>
      <w:r w:rsidR="004818CD">
        <w:rPr>
          <w:rFonts w:ascii="Times New Roman" w:hAnsi="Times New Roman" w:cs="Times New Roman"/>
          <w:sz w:val="24"/>
          <w:szCs w:val="24"/>
        </w:rPr>
        <w:instrText>ecoveries were greater than 85%. Intraassay and Interassay coefficients of variation (plasma samples) were better than 8.25%. An example of pharmacokinetic study obtained in a cancer patient after intravenous injection of epirubicine is described. Copyright © 1990 John Wiley &amp; Sons, Ltd.","author":[{"dropping-particle":"","family":"Dine","given":"T.","non-dropping-particle":"","parse-names":false,"suffix":""},{"dropping-particle":"","family":"Brunet","given":"C.","non-dropping-particle":"","parse-names":false,"suffix":""},{"dropping-particle":"","family":"Luyckx","given":"M.","non-dropping-particle":"","parse-names":false,"suffix":""},{"dropping-particle":"","family":"Cazin","given":"M.","non-dropping-particle":"","parse-names":false,"suffix":""},{"dropping-particle":"","family":"Gosselin","given":"P.","non-dropping-particle":"","parse-names":false,"suffix":""},{"dropping-particle":"","family":"Cazin","given":"J. L.","non-dropping-particle":"","parse-names":false,"suffix":""}],"container-title":"Biomedical Chromatography","id":"ITEM-6","issue":"1","issued":{"date-parts":[["1990"]]},"page":"20-23","title":"Rapid quantitative determination of epirubicin and its metabolites in plasma using high performance liquid chromatography and fluorescence detection","type":"article-journal","volume":"4"},"uris":["http://www.mendeley.com/documents/?uuid=b79a8003-a681-4b27-9a46-161c3eee448a"]},{"id":"ITEM-7","itemData":{"DOI":"10.1016/j.talanta.2006.10.010","ISSN":"00399140","abstract":"A highly sensitive and selective liquid chromatography-mass spectrometry (LC-MS) method has been developed for the determination of epirubicin in serum and cell specimens using daunorubicin as an internal standard. Using atmospheric pressure chemical ionisation (APCI), the epirubicin metabolites were readily distinguishable by their fragmentation pattern in the mass spectrometer. Selected reaction monitoring (SRM) mode was employed for quantitation of epirubicin and the metabolites. Following extraction, chromatography was performed on a C18 column with a mobile phase consisting of water-acetonitrile-formic acid, pH 3.2, with a flow rate of 200 μl/min. The limit of detection (LOD) and the limit of quantitation (LOQ) of this method in serum were determined to be 1.0 and 2.5 ng/ml, respectively. Linearity of the method was verified over the concentration range of 2.5-2000 ng/ml, with a high correlation coefficient (R2 ≥ 0.998). For the extraction procedure, an aliquot of 500 μl serum, spiked with internal standard, was extracted using a chloroform-2-isopropanol (2:1, v/v) mixture. The method has been applied to the analysis of epirubicin in cancer cell samples and the identification of known and unknown metabolites in clinical trial patient serum samples. © 2006 Elsevier B.V. All rights reserved.","author":[{"dropping-particle":"","family":"Wall","given":"Rachel","non-dropping-particle":"","parse-names":false,"suffix":""},{"dropping-particle":"","family":"McMahon","given":"Gillian","non-dropping-particle":"","parse-names":false,"suffix":""},{"dropping-particle":"","family":"Crown","given":"John","non-dropping-particle":"","parse-names":false,"suffix":""},{"dropping-particle":"","family":"Clynes","given":"Martin","non-dropping-particle":"","parse-names":false,"suffix":""},{"dropping-particle":"","family":"O'Connor","given":"Robert","non-dropping-particle":"","parse-names":false,"suffix":""}],"container-title":"Talanta","id":"ITEM-7","issue":"1","issued":{"date-parts":[["2007"]]},"page":"145-154","title":"Rapid and sensitive liquid chromatography-tandem mass spectrometry for the quantitation of epirubicin and identification of metabolites in biological samples","type":"article-journal","volume":"72"},"uris":["http://www.mendeley.com/documents/?uuid=193119d9-9a11-4203-9d2a-3f55413df188"]},{"id":"ITEM-8","itemData":{"DOI":"10.1016/S0378-4347(99)00529-0","ISSN":"13872273","PMID":"10718646","abstract":"A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Applications","id":"ITEM-8","issue":"2","issued":{"date-parts":[["2000"]]},"page":"281-291","title":"Simultaneous determination of four anthracyclines and three metabolites in human serum by liquid chromatography-electrospray mass spectrometry","type":"article-journal","volume":"738"},"uris":["http://www.mendeley.com/documents/?uuid=8a2424d0-b5b2-4229-ad1b-96b4da3a7807"]},{"id":"ITEM-9","itemData":{"DOI":"10.1002/jssc.201000026","ISSN":"16159314","PMID":"20437415","abstract":"An online SPE-LC method that can determine both anthracyclines and taxanes simultaneously in human serum samples is reported. The entire method of extraction, separation and UV detection was achieved online by column switching between an SPE column (Biotrap 500 (20 x 4 mm)) and an analytical column (Zorbax XDB C18, 150 x 4.6 mm, 5 μm) with a 23 min total cycle time. The method is linear (r2&gt;0.998) over the range of 0.5-25 μg/mL. The analytes of interest are retained on the SPE column with good recovery (84-117%), while proteins and other serum components elute to waste. This online cleanup is much faster (150 s) and less manual than traditional off-line extraction methods. Using 0.1 mL spiked serum samples, the LOQ was 0.5 μg/mL. Intra- and inter-day precision were acceptable (≤15% RSD) at and above the LOQ. The method was applied to the analysis of serum samples from patients undergoing chemotherapy with these agents. © 2010 Wiley-VCH Verlag GmbH &amp; Co. KGaA.","author":[{"dropping-particle":"","family":"Bermingham","given":"Shane","non-dropping-particle":"","parse-names":false,"suffix":""},{"dropping-particle":"","family":"O'Connor","given":"Robert","non-dropping-particle":"","parse-names":false,"suffix":""},{"dropping-particle":"","family":"Regan","given":"Fiona","non-dropping-particle":"","parse-names":false,"suffix":""},{"dropping-particle":"","family":"McMahon","given":"Gillian P.","non-dropping-particle":"","parse-names":false,"suffix":""}],"container-title":"Journal of Separation Science","id":"ITEM-9","issue":"11","issued":{"date-parts":[["2010"]]},"page":"1571-1579","title":"Simultaneous determination of anthracyclines and taxanes in human serum using online sample extraction coupled to high performance liquid chromatography with UV detection","type":"article-journal","volume":"33"},"uris":["http://www.mendeley.com/documents/?uuid=96b0dd0d-c17e-4132-972e-a585589cd9de"]}],"mendeley":{"formattedCitation":"[66], [67], [69]–[71], [73]–[76]","plainTextFormattedCitation":"[66], [67], [69]–[71], [73]–[76]","previouslyFormattedCitation":"[66], [67], [69]–[71], [73]–[76]"},"properties":{"noteIndex":0},"schema":"https://github.com/citation-style-language/schema/raw/master/csl-citation.json"}</w:instrText>
      </w:r>
      <w:r w:rsidR="00885CED">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[66], [67], [69]–[71], [73]–[76]</w:t>
      </w:r>
      <w:r w:rsidR="00885CED">
        <w:rPr>
          <w:rFonts w:ascii="Times New Roman" w:hAnsi="Times New Roman" w:cs="Times New Roman"/>
          <w:sz w:val="24"/>
          <w:szCs w:val="24"/>
        </w:rPr>
        <w:fldChar w:fldCharType="end"/>
      </w:r>
      <w:r w:rsidR="2C092957" w:rsidRPr="00E11754">
        <w:rPr>
          <w:rFonts w:ascii="Times New Roman" w:hAnsi="Times New Roman" w:cs="Times New Roman"/>
          <w:sz w:val="24"/>
          <w:szCs w:val="24"/>
        </w:rPr>
        <w:t xml:space="preserve"> bądź brak zastosowań do analizy rzeczywistych próbek pochodzących od pacjentów </w:t>
      </w:r>
      <w:r w:rsidR="003F195C">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{"citationItems":[{"id":"ITEM-1","itemData":{"DOI":"10.1007/BF00262773","ISSN":"03445704","PMID":"3162848","abstract":"A specific, sensitive and reliable HPLC method for the determination of doxorubicin (DX), epirubicin (epiDX) and their known fluorescent metabolites [doxorubicinol (DXol), epirubicinol (epiDXol) 7-deoxy-adriamycinone (metabolite C), adriamycinone (metabolite D), 7-deoxy-13-dihydro-adriamycinone (metabolite E), 13-dihydro-adriamycinone (metabolite F), 4'-O-β-d-glucuronyl-4'-epiDX (metabolite G) and 4'-O-β-d-glucuronly 13-dihydro-4'-epiDX (metabolite H)] in biological fluids (human plasma, bile and urine) has been developed and tested. Plasma samples were solid-phase-extracted (C18-bonded silica cartridges). Urine and bile samples were injected directly after the addition of the internal standard and dilution with 0.3 M phosphoric acid. Complete separation of unchanged drugs and metabolites was achieved with a mobile phase consisting of 75.6% 10 m M KH2PO4 and 24.4% CH3CN (the pH of the solution was adjusted to 4.3 with 0.03 M H3PO4) at a flow rate of 1.5 ml/min. For the analyses we used a cyanopropyl chromatographic column (25 cmx4.6 mm i.d.; particle size 5 μm) and fluorescence detection with excitation wavelength set at 470 nm and emission at 580 nm. Sensitivity was better than 0.3 ng/ml for all substances analysed. The mean absolute recovery of unchanged drugs and metabolites was between 88.3% (metabolite E) and 98.92% (metabolite G). Intraand interassay precisions (plasma samples) were better than 10.6% and 13.0%. © 1988 Springer-Verlag.","author":[{"dropping-particle":"","family":"Camaggi","given":"Carlo M.","non-dropping-particle":"","parse-names":false,"suffix":""},{"dropping-particle":"","family":"Comparsi","given":"Raffaella","non-dropping-particle":"","parse-names":false,"suffix":""},{"dropping-particle":"","family":"Strocchi","given":"Elena","non-dropping-particle":"","parse-names":false,"suffix":""},{"dropping-particle":"","family":"Testoni","given":"Fabio","non-dropping-particle":"","parse-names":false,"suffix":""},{"dropping-particle":"","family":"Pannuti","given":"Franco","non-dropping-particle":"","parse-names":false,"suffix":""}],"container-title":"Cancer Chemotherapy and Pharmacology","id":"ITEM-1","issue":"3","issued":{"date-parts":[["1988"]]},"page":"216-220","title":"HPLC analysis of doxorubicin, epirubicin and fluorescent metabolites in biological fluids","type":"article-journal","volume":"21"},"uris":["http://www.mendeley.com/documents/?uuid=3d70ba7e-0b26-4dfd-802b-6d8b1247b438"]},{"id":"ITEM-2","itemData":{"DOI":"10.1080/10826070701465654","ISSN":"10826076","abstract":"An analytical method based on hydrophilic interaction chromatography (HILIC) using diode array detection was developed and validated for the determination of epirubicin in human plasma. Epirubicin and epidaunorubicin (internal standard) were collected from the plasma by solid-phase extraction (SPE) using Oasis HLB cartridges. The chromatographic separation was on a silica analytical column (250 × 4.6 mm I.D., 5 μm) with a mobile phase consisting of acetonitrile/40 mM ammonium formate buffer solution (pH 2.9) (90/10, v/v). The detection wavelength was 254 nm. Linearity of the method was in the concentration range of 0.050-2.5 μg/mL (r2=0.9991). The limit of quantification (LOQ) and limit of detection (LOD) were 0.050 and 0.030 μg/mL using 0.2 mL plasma sample, respectively. Recoveries of the analyte ranged from 89.4% to 101.2% with intra- and inter-day precision (RSD); less than 7.0% were obtained at the concentrations above the LOQ. The proposed method is simple, accurate, and its mobile phase is compatible for mass spectrometry. Copyright © Taylor &amp; Francis Group, LLC.","author":[{"dropping-particle":"","family":"Li","given":"Ruiping","non-dropping-particle":"","parse-names":false,"suffix":""},{"dropping-particle":"","family":"Dong","given":"Lili","non-dropping-particle":"","parse-names":false,"suffix":""},{"dropping-particle":"","family":"Huang","given":"Junxiong","non-dropping-particle":"","parse-names":false,"suffix":""}],"container-title":"Journal of Liquid Chromatography and Related Technologies","id":"ITEM-2","issue":"16","issued":{"date-parts":[["2007"]]},"page":"2409-2418","title":"Hydrophilic interaction chromatographic determination of epirubicin in human plasma using solid phase extraction for sample clean-up","type":"article-journal","volume":"30"},"uris":["http://www.mendeley.com/documents/?uuid=479105a8-db62-4271-b022-d6909d6ff568"]},{"id":"ITEM-3","itemData":{"DOI":"10.1016/0378-4347(91)80485-U","ISSN":"03784347","PMID":"1818055","abstract":"A sensitive and rapid method for measuring epidoxorubicin and its six metabolites by high-performance liquid chromatography using an advanced automated sample processor is described. Plasma samples (1 ml) were extracted using C2 cassettes, and reversed-phase chromatography was performed with an Apex II ODS column. The isocratic mobile phase of acetonitrile-0.019 M NaH2PO4 (pH 4.0) had a flow-rate of 1 ml/min and the fluorescence detector an excitation wavelength of 480 nm with an emission at 580 nm. Linear calibration curves were obtained which were reproducible both within-day and day-to-day (coefficients of variation &lt; 10%). The extraction efficacy of epidoxorubicin was 88% and ranged from 51 to 88% for the metabolites. This method has been successfully applied to measure the plasma levels of these compounds in patients receiving epidoxorubicin over a wide dose range (12-120 mg/m2) and in patients with disturbed liver biochemistry. © 1991.","author":[{"dropping-particle":"","family":"Dobbs","given":"Nicola A.","non-dropping-particle":"","parse-names":false,"suffix":""},{"dropping-particle":"","family":"Twelves","given":"Christopher J.","non-dropping-particle":"","parse-names":false,"suffix":""}],"container-title":"Journal of Chromatography B: Biomedical Sciences and Applications","id":"ITEM-3","issue":"1-2","issued":{"date-parts":[["1991"]]},"page":"211-217","title":"Measurement of epidoxorubicin and its metabolites by high-performance liquid chromatography using an advanced automated sample processor","type":"article-journal","volume":"572"},"uris":["http://www.mendeley.com/documents/?uuid=352e130b-735d-4771-ab9f-84acb750fbb4"]},{"id":"ITEM-4","itemData":{"DOI":"10.1002/bmc.11</w:instrText>
      </w:r>
      <w:r w:rsidR="004818CD">
        <w:rPr>
          <w:rFonts w:ascii="Times New Roman" w:hAnsi="Times New Roman" w:cs="Times New Roman" w:hint="eastAsia"/>
          <w:sz w:val="24"/>
          <w:szCs w:val="24"/>
        </w:rPr>
        <w:instrText>30040103","ISSN":"10990801","PMID":"2310837","abstract":"A rapid sensitive and selective isocratic technique was developed for the analysis of plasma epirubicin and three of its known fluorescent metabolites epirubicinol,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epidoxorubicin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 1,3</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dihydro</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epidoxorubicin, with daunorubicin as an internal standard, by using high performance liquid chromatography (HPLC) with fluorescence detection and a </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Hypersil ODS</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 column. The drugs were easily and efficiently extracted with a Sep</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Pak C18 cartridge and the mean recoveries were greater than 85%. Intraassay and Interassay coefficients of variation (plasma samples) were better than 8.25%. An example of pharmacokinetic study obtained in a cancer patient after intrave</w:instrText>
      </w:r>
      <w:r w:rsidR="004818CD">
        <w:rPr>
          <w:rFonts w:ascii="Times New Roman" w:hAnsi="Times New Roman" w:cs="Times New Roman"/>
          <w:sz w:val="24"/>
          <w:szCs w:val="24"/>
        </w:rPr>
        <w:instrText>nous injection of epirubicine is described. Copyright © 1990 John Wiley &amp; Sons, Ltd.","author":[{"dropping-particle":"","family":"Dine","given":"T.","non-dropping-particle":"","parse-names":false,"suffix":""},{"dropping-particle":"","family":"Brunet","given":"C.","non-dropping-particle":"","parse-names":false,"suffix":""},{"dropping-particle":"","family":"Luyckx","given":"M.","non-dropping-particle":"","parse-names":false,"suffix":""},{"dropping-particle":"","family":"Cazin","given":"M.","non-dropping-particle":"","parse-names":false,"suffix":""},{"dropping-particle":"","family":"Gosselin","given":"P.","non-dropping-particle":"","parse-names":false,"suffix":""},{"dropping-particle":"","family":"Cazin","given":"J. L.","non-dropping-particle":"","parse-names":false,"suffix":""}],"container-title":"Biomedical Chromatography","id":"ITEM-4","issue":"1","issued":{"date-parts":[["1990"]]},"page":"20-23","title":"Rapid quantitative determination of epirubicin and its metabolites in plasma using high performance liquid chromatography and fluorescence detection","type":"article-journal","volume":"4"},"uris":["http://www.mendeley.com/documents/?uuid=b79a8003-a681-4b27-9a46-161c3eee448a"]},{"id":"ITEM-5","itemData":{"DOI":"10.1016/0731-7085(91)80104-H","ISSN":"07317085","PMID":"1298402","abstract":"A reversed-phase isocratic high-performance liquid chromatographic method is described in which a formal structured procedure was applied to predict the mobile phase composition giving optimal baseline resolution of the cl</w:instrText>
      </w:r>
      <w:r w:rsidR="004818CD">
        <w:rPr>
          <w:rFonts w:ascii="Times New Roman" w:hAnsi="Times New Roman" w:cs="Times New Roman" w:hint="eastAsia"/>
          <w:sz w:val="24"/>
          <w:szCs w:val="24"/>
        </w:rPr>
        <w:instrText>inically important anticancer agents 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-epidoxorubicin (epirubicin), their principal metabolites, and daunorubicin (internal standard). These formal statistical procedures included the simultaneous techniques of solvent selectivity triangl</w:instrText>
      </w:r>
      <w:r w:rsidR="004818CD">
        <w:rPr>
          <w:rFonts w:ascii="Times New Roman" w:hAnsi="Times New Roman" w:cs="Times New Roman"/>
          <w:sz w:val="24"/>
          <w:szCs w:val="24"/>
        </w:rPr>
        <w:instrText>e and factorial design for range-finding preliminary studies, followed by use of the modified simplex, a sequential procedure. These were used to select the parameters of organic modifier, buffer strength and pH necessary for use with a Spherisorb ODS 1 column, to achieve optimal separation of eight anthracycline solutes. Ultraviolet and fluorescence detection was used (λex = 254 nm, λem = 560 nm), and the latter gave a low detection limit for doxorubicin in serum of 1 ng ml-1. The optimal mobile phase composition was determined to be acetonitrile-0.06 M Na2 HPO4 containing 0.05% (v/v) triethylamine adjusted to pH 4.6 with 0.03 M citric acid (35:65, v/v). A solid-phase extraction method was developed to enable the selective isolation of anthracyclines by adsorption onto C8 Bond-Elut cartridges, and is based on extraction of serum spiked with a mixture of the anthracycline solutes. The anthracyclines were eluted using acetonitrile-0.2 M Na2 HPO4 containing 0.05% (v/v) triethylamine adjusted to pH 3.6 with 0.1 M citric acid (67.5:32.5, v/v). Reproducible recoveries for doxorubicin (94 ± 8%) and for epirubicin (96 ± 8%) were obtained (n = 5). In particular, recoveries for the 7-deoxyaglycone metabolite (99%) were higher than other extraction methods cited. The solid-phase extraction method described enables rapid and reproducible determinations of these anthracyclines and their metabolites in biological matrices regardless of their disparate physicochemical properties. © 1992.","author":[{"dropping-particle":"","family":"Nicholls","given":"G.","non-dropping-particle":"","parse-names":false,"suffix":""},{"dropping-particle":"","family":"Clark","given":"B. J.","non-dropping-particle":"","parse-names":false,"suffix":""},{"dropping-particle":"","family":"Brown","given":"J. E.","non-dropping-particle":"","parse-names":false,"suffix":""}],"container-title":"Journal of Pharmaceutical and Biomedical Analysis","id":"ITEM-5","issue":"10-12","issued":{"date-parts":[["1992"]]},"page":"949-957","title":"Solid-phase extraction and optimized separation of doxorubicin, epirubicin and their metabolites using reversed-phase high-performance liquid chromatography","type":"article-journal","volume":"10"},"uris":["http://www.mendeley.com/documents/?uuid=d146dded-71cb-4148-b655-5b2a32301582"]},{"id":"ITEM-6","itemData":{"DOI":"10.1016/j.talanta.2006.10.010","ISSN":"00399140","abstract":"A highly sensitive and selective liquid chromatography-mass spectrometry (LC-MS) method has been developed for the determination of epirubicin in serum and cell specimens using daunorubicin as an internal standard. Using atmospheric pressure chemical ionisation (APCI), the epirubicin metabolites were readily distinguishable by their fragmentation pattern in the mass spectrometer. Selected reaction monitoring (SRM) mode was employed for quantitation of epirubicin and the metabolites. Following extraction, chromatography was performed on a C18 column with a mobile phase consisting of water-acetonitrile-formic acid, pH 3.2, with a flow rate of 200 μl/min. The limit of detection (LOD) and the limit of quantitation (LOQ) of this method in serum were determined to be 1.0 and 2.5 ng/ml, respectively. Linearity of the method was verified over the concentration range of 2.5-2000 ng/ml, with a high correlation coefficient (R2 ≥ 0.998). For the extraction procedure, an aliquot of 500 μl serum, spiked with internal standard, was extracted using a chloroform-2-isopropanol (2:1, v/v) mixture. The method has been applied to the analysis of epirubicin in cancer cell samples and the identification of known and unknown metabolites in clinical trial patient serum samples. © 2006 Elsevier B.V. All rights reserved.","author":[{"dropping-particle":"","family":"Wall","given":"Rachel","non-dropping-particle":"","parse-names":false,"suffix":""},{"dropping-particle":"","family":"McMahon","given":"Gillian","non-dropping-particle":"","parse-names":false,"suffix":""},{"dropping-particle":"","family":"Crown","given":"John","non-dropping-particle":"","parse-names":false,"suffix":""},{"dropping-particle":"","family":"Clynes","given":"Martin","non-dropping-particle":"","parse-names":false,"suffix":""},{"dropping-particle":"","family":"O'Connor","given":"Robert","non-dropping-particle":"","parse-names":false,"suffix":""}],"container-title":"Talanta","id":"ITEM-6","issue":"1","issued":{"date-parts":[["2007"]]},"page":"145-154","title":"Rapid and sensitive liquid chromatography-tandem mass spectrometry for the quantitation of epirubicin and identification of metabolites in biological samples","type":"article-journal","volume":"72"},"uris":["http://www.mendeley.com/documents/?uuid=193119d9-9a11-4203-9d2a-3f55413df188"]},{"id":"ITEM-7","itemData":{"DOI":"10.1016/S0378-4347(99)00529-0","ISSN":"13872273","PMID":"10718646","abstract":"A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Applications","id":"ITEM-7","issue":"2","issued":{"date-parts":[["2000"]]},"page":"281-291","title":"Simultaneous determination of four anthracyclines and three metabolites in human serum by liquid chromatography-electrospray mass spectrometry","type":"article-journal","volume":"738"},"uris":["http://www.mendeley.com/documents/?uuid=8a2424d0-b5b2-4229-ad1b-96b4da3a7807"]},{"id":"ITEM-8","itemData":{"DOI":"10.1097/00007691-199906000-00022","ISSN":"01634356","abstract":"A single high-performance liquid chromatography (HPLC) method, suitable for the analysis of daunorubicin, idarubicin, doxorubicin, epirubicin, and their 13-dihydro metabolites is validated in the present study. Preparation of plasma samples was performed by a first extraction of analytes with a chloroform/1-heptanol mixture (9:1) and reextraction with ortophosphoric acid 0.1 M. The chromatographic analysis was carried out by reversed-phase isocratic elution of anthracyclines with a Supelcosil LC-CN 5 mm column (25 cm x 4.6 mm internal diameter; Supelco) and detection was accomplished by spectrofluorimetry at excitation and emission wavelengths of 480 and 560 nm, respectively. All anthracyclines eluted within 15 minutes of injection and the method appeared to be specific, because the chromatographic assay did not show interferences at the retention time of analytes. The linearity, evaluated over a concentration range of 0.4-10,000 ng/mL, gave regression coefficients better than 0.999, with recoveries of doxorubicin-doxorubicinol and epirubicin-epirubicinol of 67%-109% and 61%-109% respectively, and 93%- 109% for the other compounds. The limits of detection and quantification were 0.4 ng/mL in a 50-mL sample (40 pg/injection) for all anthracyclines tested. The method proved to be precise and accurate, as the within-day and between- day coefficients of variation were less than 10% and the accuracy of the assay was in the range of 91%-107%. Overall results indicate that it is feasible to analyze all the anthracyclines used in clinical practice and their major metabolites with a single optimized method, thereby simplifying their monitoring in chemotherapeutic regimens of cancer patients.","author":[{"dropping-particle":"","family":"Fogli","given":"Stefano","non-dropping-particle":"","parse-names":false,"suffix":""},{"dropping-particle":"","family":"Danesi","given":"Romano","non-dropping-particle":"","parse-names":false,"suffix":""},{"dropping-particle":"","family":"Innocenti","given":"Federico","non-dropping-particle":"","parse-names":false,"suffix":""},{"dropping-particle":"","family":"Paolo","given":"Antonello","non-dropping-particle":"Di","parse-names":false,"suffix":""},{"dropping-particle":"","family":"Bocci","given":"Guido","non-dropping-particle":"","parse-names":false,"suffix":""},{"dropping-particle":"","family":"Barbara","given":"Cecilia","non-dropping-particle":"","parse-names":false,"suffix":""},{"dropping-particle":"","family":"Tacca","given":"Mario","non-dropping-particle":"Del","parse-names":false,"suffix":""}],"container-title":"Therapeutic Drug Monitoring","id":"ITEM-8","issue":"3","issued":{"date-parts":[["1999"]]},"page":"367-375","title":"An improved HPLC method for therapeutic drug monitoring of daunorubicin, idarubicin, doxorubicin, epirubicin, and their 13-dihydro metabolites in human plasma","type":"article-journal","volume":"21"},"uris":["http://www.mendeley.com/documents/?uuid=a35327cf-2860-463c-9627-2e1c15e26f01"]},{"id":"ITEM-9","itemData":{"DOI":"10.1002/rcm.1642","ISSN":"09514198","abstract":"Health-care workers handling antineoplastic agents may be exposed to extremely low doses of these drugs. Very sensitive and specific analytical methods are therefore needed for biological monitoring. The aim of this study was to develop and validate a method for trace level determination of doxorubicin, epirubicin, daunorubicin and idarubicin in human urine, using epi-daunorubicin as an internal standard. Solid-phase extraction (SPE) was used for sample preparation. Urine samples were loaded onto Bond Elut C18 cartridges. The analytes were eluted in methylene chloride/2-propanol (1:1, v/v) and then evaporated to dryness. The residue was reconstituted with the mobile phase prior to high-performance liquid chromatography/tandem mass spectrometry (HPLC/MS/ MS) analysis. Quantitation of each analyte was performed using the multiple reaction monitoring (MRM) method. The urine assay was linear over the range 0.1-2.0 μg/L, with a lower limit of quantification (LLOQ) of 0.10 μg/L for doxorubicin and epirubicin, and 0.03 μg/L for daunorubicin and idarubicin. The respective limits of detection (LODs) were 0.04 and 0.01 μg/L. The precision and accuracy of the assay were determined on three different days. The within-series precision was found to be always less than 13.9% for all the analytes. The overall precision expressed as relative standard deviation (RSD) was always less than 10.6%. The recovery of anthracyclines was assessed at two concentrations of the range tested (0.1 and 2.0 μg/L) and it ranged from 87.7% (daunorubicin) to 102.0% (doxorubicin) and from 79.1% (daunorubicin) to 90.7% (idarubicin) for the lower and the higher level, respectively, with a RSD always less than 9.1%. The uncertainty of the present assay was also evaluated and the combined uncertainty was always less than 20% over all the days of the validation study. This is the first method that makes use of LC/MS/MS for the biological monitoring of occupational exposure to anthracyclines. Copyright © 2004 John Wiley &amp; Sons, Ltd.","author":[{"dropping-particle":"","family":"Sottani","given":"Cristina","non-dropping-particle":"","parse-names":false,"suffix":""},{"dropping-particle":"","family":"Tranfo","given":"Giovanna","non-dropping-particle":"","parse-names":false,"suffix":""},{"dropping-particle":"","family":"Bettinelli","given":"Maurizio","non-dropping-particle":"","parse-names":false,"suffix":""},{"dropping-particle":"","family":"Faranda","given":"Paolo","non-dropping-particle":"","parse-names":false,"suffix":""},{"dropping-particle":"","family":"Spagnoli","given":"Mariangela","non-dropping-particle":"","parse-names":false,"suffix":""},{"dropping-particle":"","family":"Minoia","given":"Claudio","non-dropping-particle":"","parse-names":false,"suffix":""}],"container-title":"Rapid Communications in Mass Spectrometry","id":"ITEM-9","issue":"20","issued":{"date-parts":[["2004"]]},"page":"2426-2436","title":"Trace determination of anthracyclines in urine: A new high-performance liquid chromatography/tandem mass spectrometry method for assessing exposure of hospital personnel","type":"article-journal","volume":"18"},"uris":["http://www.mendeley.com/documents/?uuid=c2101765-022b-47e8-8beb-c12cf909e5b3"]},{"id":"ITEM-10","itemData":{"DOI":"10.1002/rcm","abstract":"We have determined d13C, d2H and d18O isotopic abundances in Andalusian olive oils. In addition, the fatty acid composition and the distribution of isomers at positions 1,3 and 2 of glycerol were determined by 1H and 13C nuclear magnetic resonance (NMR) spectroscopy, respectively. Isotopic results obtained for four series of oil samples extracted from olives harvested in the 2004/05 and 2005/06 seasons are discussed in terms of olive variety, ripeness, geographical origin, fatty acid composition and growing altitude. A distinction was also established between olives grown in irrigated and in dry land by studying selected samples of the previous series and others from the 2005/06, 2006/07, 2007/08 and 2008/09 seasons. The results showed that olive ripeness does not influence the abundance of any of the three isotopes studied. On the other hand, the olive variety influences the abundance of the oxygen and hydrogen isotopes, and also, less markedly, that of carbon. No clear-cut effect of height or latitude on isotope values is observed, probably because the olive variety also changes with height and latitude, thus masking such influences. The oil samples from dryland-grown olives had increased d13C values relative to irrigation-grown olives. In addition, no definite relationship appears to exist between isotope distribution and fatty acid composition. Finally, oil samples from olives harvested in the 2005/06 season in Italy could be distinguished from those from Spain in terms of their isotopic values (d2H mainly). Copyright # 2010 John Wiley &amp; Sons, Ltd.","author":[{"dropping-particle":"","family":"Cristina Sottani, Paola Rinaldi, Emanuela Leoni, Guido Poggi, Cristina Teragni","given":"","non-dropping-particle":"","parse-names":false,"suffix":""},{"dropping-particle":"","family":"Minoia","given":"Angelo Delmonte and Claudio","non-dropping-particle":"","parse-names":false,"suffix":""}],"container-title":"RAPID COMMUNICATIONS IN MASS SPECTROMETRY","id":"ITEM-10","issued":{"date-parts":[["2008"]]},"page":"2645–2659","title":"Simultaneous determination of cyclophosphamide, ifosfamide, doxorubicin, epirubicin and daunorubicin in human urine using high-performance liquid chromatography/electrospray ionization tandem mass spectrometry: bioanalytical method validation","type":"article-journal","volume":"22"},"uris":["http://www.mendeley.com/documents/?uuid=3f42e645-4d3c-462e-ae10-469720fb91f8"]}],"mendeley":{"formattedCitation":"[54], [55], [65], [66], [68], [70], [74]–[77]","plainTextFormattedCitation":"[54], [55], [65], [66], [68], [70], [74]–[77]","previouslyFormattedCitation":"[54], [55], [65], [66], [68], [70], [74]–[77]"},"properties":{"noteIndex":0},"schema":"https://github.com/citation-style-language/schema/raw/master/csl-citation.json"}</w:instrText>
      </w:r>
      <w:r w:rsidR="003F195C">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[54], [55], [65], [66], [68], [70], [74]–[77]</w:t>
      </w:r>
      <w:r w:rsidR="003F195C">
        <w:rPr>
          <w:rFonts w:ascii="Times New Roman" w:hAnsi="Times New Roman" w:cs="Times New Roman"/>
          <w:sz w:val="24"/>
          <w:szCs w:val="24"/>
        </w:rPr>
        <w:fldChar w:fldCharType="end"/>
      </w:r>
      <w:r w:rsidR="00300054">
        <w:rPr>
          <w:rFonts w:ascii="Times New Roman" w:hAnsi="Times New Roman" w:cs="Times New Roman"/>
          <w:sz w:val="24"/>
          <w:szCs w:val="24"/>
        </w:rPr>
        <w:t xml:space="preserve">. </w:t>
      </w:r>
      <w:r w:rsidRPr="00E11754">
        <w:rPr>
          <w:rFonts w:ascii="Times New Roman" w:hAnsi="Times New Roman" w:cs="Times New Roman"/>
          <w:sz w:val="24"/>
          <w:szCs w:val="24"/>
        </w:rPr>
        <w:t xml:space="preserve"> Z tego względu rozpoczęto eksperymenty, aby opracować nową metodę LC-FL oznaczania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w osoczu i moczu o potwierdzonej użyteczności w praktyce klinicznej. </w:t>
      </w:r>
      <w:r w:rsidRPr="00E11754">
        <w:rPr>
          <w:rFonts w:ascii="Times New Roman" w:hAnsi="Times New Roman" w:cs="Times New Roman"/>
          <w:sz w:val="24"/>
          <w:szCs w:val="24"/>
        </w:rPr>
        <w:tab/>
      </w:r>
      <w:r w:rsidRPr="00E11754">
        <w:rPr>
          <w:rFonts w:ascii="Times New Roman" w:hAnsi="Times New Roman" w:cs="Times New Roman"/>
          <w:sz w:val="24"/>
          <w:szCs w:val="24"/>
        </w:rPr>
        <w:tab/>
      </w:r>
    </w:p>
    <w:p w14:paraId="3FB76381" w14:textId="0745AD47" w:rsidR="00BC798E" w:rsidRPr="00E11754" w:rsidRDefault="13A8E3F4" w:rsidP="00BC798E">
      <w:pPr>
        <w:autoSpaceDE w:val="0"/>
        <w:autoSpaceDN w:val="0"/>
        <w:adjustRightInd w:val="0"/>
        <w:spacing w:before="120" w:after="120" w:line="360" w:lineRule="auto"/>
        <w:jc w:val="both"/>
        <w:rPr>
          <w:rFonts w:ascii="Times New Roman" w:hAnsi="Times New Roman" w:cs="Times New Roman"/>
          <w:b/>
          <w:bCs/>
          <w:i/>
          <w:iCs/>
          <w:sz w:val="24"/>
          <w:szCs w:val="24"/>
        </w:rPr>
      </w:pPr>
      <w:r w:rsidRPr="00E11754">
        <w:rPr>
          <w:rFonts w:ascii="Times New Roman" w:hAnsi="Times New Roman" w:cs="Times New Roman"/>
          <w:b/>
          <w:bCs/>
          <w:i/>
          <w:iCs/>
          <w:sz w:val="24"/>
          <w:szCs w:val="24"/>
        </w:rPr>
        <w:t>Część doświadczalna i wyniki badań</w:t>
      </w:r>
    </w:p>
    <w:p w14:paraId="2DE4CFB9" w14:textId="2A3BA2A0" w:rsidR="006C6CAA" w:rsidRPr="00E11754" w:rsidRDefault="00970CBF" w:rsidP="13A8E3F4">
      <w:pPr>
        <w:autoSpaceDE w:val="0"/>
        <w:autoSpaceDN w:val="0"/>
        <w:adjustRightInd w:val="0"/>
        <w:spacing w:after="0" w:line="360" w:lineRule="auto"/>
        <w:jc w:val="both"/>
        <w:rPr>
          <w:rFonts w:ascii="Times New Roman" w:hAnsi="Times New Roman" w:cs="Times New Roman"/>
          <w:sz w:val="24"/>
          <w:szCs w:val="24"/>
        </w:rPr>
      </w:pPr>
      <w:r w:rsidRPr="00E11754">
        <w:rPr>
          <w:rFonts w:ascii="Times New Roman" w:hAnsi="Times New Roman" w:cs="Times New Roman"/>
          <w:sz w:val="24"/>
          <w:szCs w:val="24"/>
        </w:rPr>
        <w:tab/>
      </w:r>
      <w:r w:rsidR="13A8E3F4" w:rsidRPr="00E11754">
        <w:rPr>
          <w:rFonts w:ascii="Times New Roman" w:hAnsi="Times New Roman" w:cs="Times New Roman"/>
          <w:sz w:val="24"/>
          <w:szCs w:val="24"/>
        </w:rPr>
        <w:t xml:space="preserve">W ramach optymalizacji warunków analizy chromatograficznej przetestowano </w:t>
      </w:r>
      <w:r w:rsidR="00057CF8" w:rsidRPr="00E11754">
        <w:rPr>
          <w:rFonts w:ascii="Times New Roman" w:hAnsi="Times New Roman" w:cs="Times New Roman"/>
          <w:sz w:val="24"/>
          <w:szCs w:val="24"/>
        </w:rPr>
        <w:t>sześć</w:t>
      </w:r>
      <w:r w:rsidR="13A8E3F4" w:rsidRPr="00E11754">
        <w:rPr>
          <w:rFonts w:ascii="Times New Roman" w:hAnsi="Times New Roman" w:cs="Times New Roman"/>
          <w:sz w:val="24"/>
          <w:szCs w:val="24"/>
        </w:rPr>
        <w:t xml:space="preserve"> kolumn analitycznych o różnicowanych wymiarach zawierających złoża krzemionkowe modyfikowane grupami C18</w:t>
      </w:r>
      <w:r w:rsidR="007A6AF0" w:rsidRPr="00E11754">
        <w:rPr>
          <w:rFonts w:ascii="Times New Roman" w:hAnsi="Times New Roman" w:cs="Times New Roman"/>
          <w:sz w:val="24"/>
          <w:szCs w:val="24"/>
        </w:rPr>
        <w:t>,</w:t>
      </w:r>
      <w:r w:rsidR="000E19ED" w:rsidRPr="00E11754">
        <w:rPr>
          <w:rFonts w:ascii="Times New Roman" w:hAnsi="Times New Roman" w:cs="Times New Roman"/>
          <w:sz w:val="24"/>
          <w:szCs w:val="24"/>
        </w:rPr>
        <w:t xml:space="preserve"> C12</w:t>
      </w:r>
      <w:r w:rsidR="007A6AF0" w:rsidRPr="00E11754">
        <w:rPr>
          <w:rFonts w:ascii="Times New Roman" w:hAnsi="Times New Roman" w:cs="Times New Roman"/>
          <w:sz w:val="24"/>
          <w:szCs w:val="24"/>
        </w:rPr>
        <w:t xml:space="preserve"> oraz fenylowymi</w:t>
      </w:r>
      <w:r w:rsidR="13A8E3F4" w:rsidRPr="00E11754">
        <w:rPr>
          <w:rFonts w:ascii="Times New Roman" w:hAnsi="Times New Roman" w:cs="Times New Roman"/>
          <w:sz w:val="24"/>
          <w:szCs w:val="24"/>
        </w:rPr>
        <w:t xml:space="preserve">, a jako fazy ruchome używano mieszanin </w:t>
      </w:r>
      <w:proofErr w:type="spellStart"/>
      <w:r w:rsidR="0023295A" w:rsidRPr="00E11754">
        <w:rPr>
          <w:rFonts w:ascii="Times New Roman" w:hAnsi="Times New Roman" w:cs="Times New Roman"/>
          <w:sz w:val="24"/>
          <w:szCs w:val="24"/>
        </w:rPr>
        <w:t>MeOH</w:t>
      </w:r>
      <w:proofErr w:type="spellEnd"/>
      <w:r w:rsidR="0023295A" w:rsidRPr="00E11754">
        <w:rPr>
          <w:rFonts w:ascii="Times New Roman" w:hAnsi="Times New Roman" w:cs="Times New Roman"/>
          <w:sz w:val="24"/>
          <w:szCs w:val="24"/>
        </w:rPr>
        <w:t xml:space="preserve"> oraz ACN </w:t>
      </w:r>
      <w:r w:rsidR="009D16B1" w:rsidRPr="00E11754">
        <w:rPr>
          <w:rFonts w:ascii="Times New Roman" w:hAnsi="Times New Roman" w:cs="Times New Roman"/>
          <w:sz w:val="24"/>
          <w:szCs w:val="24"/>
        </w:rPr>
        <w:t xml:space="preserve">z </w:t>
      </w:r>
      <w:r w:rsidR="00EA43C7" w:rsidRPr="00E11754">
        <w:rPr>
          <w:rFonts w:ascii="Times New Roman" w:hAnsi="Times New Roman" w:cs="Times New Roman"/>
          <w:sz w:val="24"/>
          <w:szCs w:val="24"/>
        </w:rPr>
        <w:t>fazą wodną (</w:t>
      </w:r>
      <w:r w:rsidR="00832221" w:rsidRPr="00E11754">
        <w:rPr>
          <w:rFonts w:ascii="Times New Roman" w:hAnsi="Times New Roman" w:cs="Times New Roman"/>
          <w:sz w:val="24"/>
          <w:szCs w:val="24"/>
        </w:rPr>
        <w:t xml:space="preserve">0,1 % </w:t>
      </w:r>
      <w:r w:rsidR="00833642" w:rsidRPr="00E11754">
        <w:rPr>
          <w:rFonts w:ascii="Times New Roman" w:hAnsi="Times New Roman" w:cs="Times New Roman"/>
          <w:sz w:val="24"/>
          <w:szCs w:val="24"/>
        </w:rPr>
        <w:t>kwasu mrówkowego w wodzie,</w:t>
      </w:r>
      <w:r w:rsidR="00740743" w:rsidRPr="00E11754">
        <w:rPr>
          <w:rFonts w:ascii="Times New Roman" w:hAnsi="Times New Roman" w:cs="Times New Roman"/>
          <w:sz w:val="24"/>
          <w:szCs w:val="24"/>
        </w:rPr>
        <w:t xml:space="preserve"> roztwór 85 % </w:t>
      </w:r>
      <w:r w:rsidR="006521D1" w:rsidRPr="00E11754">
        <w:rPr>
          <w:rFonts w:ascii="Times New Roman" w:hAnsi="Times New Roman" w:cs="Times New Roman"/>
          <w:sz w:val="24"/>
          <w:szCs w:val="24"/>
        </w:rPr>
        <w:t xml:space="preserve">kwasu </w:t>
      </w:r>
      <w:r w:rsidR="00CF45F7" w:rsidRPr="00E11754">
        <w:rPr>
          <w:rFonts w:ascii="Times New Roman" w:hAnsi="Times New Roman" w:cs="Times New Roman"/>
          <w:sz w:val="24"/>
          <w:szCs w:val="24"/>
        </w:rPr>
        <w:lastRenderedPageBreak/>
        <w:t xml:space="preserve">ortofosforowego wodzie o </w:t>
      </w:r>
      <w:proofErr w:type="spellStart"/>
      <w:r w:rsidR="00CF45F7" w:rsidRPr="00E11754">
        <w:rPr>
          <w:rFonts w:ascii="Times New Roman" w:hAnsi="Times New Roman" w:cs="Times New Roman"/>
          <w:sz w:val="24"/>
          <w:szCs w:val="24"/>
        </w:rPr>
        <w:t>pH</w:t>
      </w:r>
      <w:proofErr w:type="spellEnd"/>
      <w:r w:rsidR="00605E0A" w:rsidRPr="00E11754">
        <w:rPr>
          <w:rFonts w:ascii="Times New Roman" w:hAnsi="Times New Roman" w:cs="Times New Roman"/>
          <w:sz w:val="24"/>
          <w:szCs w:val="24"/>
        </w:rPr>
        <w:t xml:space="preserve"> </w:t>
      </w:r>
      <w:r w:rsidR="00EB051D" w:rsidRPr="00E11754">
        <w:rPr>
          <w:rFonts w:ascii="Times New Roman" w:hAnsi="Times New Roman" w:cs="Times New Roman"/>
          <w:sz w:val="24"/>
          <w:szCs w:val="24"/>
        </w:rPr>
        <w:t xml:space="preserve">2,7 oraz 40 </w:t>
      </w:r>
      <w:proofErr w:type="spellStart"/>
      <w:r w:rsidR="00EB051D" w:rsidRPr="00E11754">
        <w:rPr>
          <w:rFonts w:ascii="Times New Roman" w:hAnsi="Times New Roman" w:cs="Times New Roman"/>
          <w:sz w:val="24"/>
          <w:szCs w:val="24"/>
        </w:rPr>
        <w:t>mM</w:t>
      </w:r>
      <w:proofErr w:type="spellEnd"/>
      <w:r w:rsidR="00EB051D" w:rsidRPr="00E11754">
        <w:rPr>
          <w:rFonts w:ascii="Times New Roman" w:hAnsi="Times New Roman" w:cs="Times New Roman"/>
          <w:sz w:val="24"/>
          <w:szCs w:val="24"/>
        </w:rPr>
        <w:t xml:space="preserve"> </w:t>
      </w:r>
      <w:r w:rsidR="00BE6F94" w:rsidRPr="00E11754">
        <w:rPr>
          <w:rFonts w:ascii="Times New Roman" w:hAnsi="Times New Roman" w:cs="Times New Roman"/>
          <w:sz w:val="24"/>
          <w:szCs w:val="24"/>
        </w:rPr>
        <w:t>roztwór buforu fosforanowego</w:t>
      </w:r>
      <w:r w:rsidR="00BC268D" w:rsidRPr="00E11754">
        <w:rPr>
          <w:rFonts w:ascii="Times New Roman" w:hAnsi="Times New Roman" w:cs="Times New Roman"/>
          <w:sz w:val="24"/>
          <w:szCs w:val="24"/>
        </w:rPr>
        <w:t xml:space="preserve"> o </w:t>
      </w:r>
      <w:proofErr w:type="spellStart"/>
      <w:r w:rsidR="00BC268D" w:rsidRPr="00E11754">
        <w:rPr>
          <w:rFonts w:ascii="Times New Roman" w:hAnsi="Times New Roman" w:cs="Times New Roman"/>
          <w:sz w:val="24"/>
          <w:szCs w:val="24"/>
        </w:rPr>
        <w:t>pH</w:t>
      </w:r>
      <w:proofErr w:type="spellEnd"/>
      <w:r w:rsidR="00BC268D" w:rsidRPr="00E11754">
        <w:rPr>
          <w:rFonts w:ascii="Times New Roman" w:hAnsi="Times New Roman" w:cs="Times New Roman"/>
          <w:sz w:val="24"/>
          <w:szCs w:val="24"/>
        </w:rPr>
        <w:t xml:space="preserve"> 4,1</w:t>
      </w:r>
      <w:r w:rsidR="0004581B" w:rsidRPr="00E11754">
        <w:rPr>
          <w:rFonts w:ascii="Times New Roman" w:hAnsi="Times New Roman" w:cs="Times New Roman"/>
          <w:sz w:val="24"/>
          <w:szCs w:val="24"/>
        </w:rPr>
        <w:t>) w różnych proporcjach</w:t>
      </w:r>
      <w:r w:rsidR="13A8E3F4" w:rsidRPr="00E11754">
        <w:rPr>
          <w:rFonts w:ascii="Times New Roman" w:hAnsi="Times New Roman" w:cs="Times New Roman"/>
          <w:sz w:val="24"/>
          <w:szCs w:val="24"/>
        </w:rPr>
        <w:t xml:space="preserve">, przy zachowaniu stałego przepływu fazy ruchomej na poziomie 1 ml/min. Jako potencjalne IS testowano </w:t>
      </w:r>
      <w:proofErr w:type="spellStart"/>
      <w:r w:rsidR="00401E83" w:rsidRPr="00E11754">
        <w:rPr>
          <w:rFonts w:ascii="Times New Roman" w:hAnsi="Times New Roman" w:cs="Times New Roman"/>
          <w:sz w:val="24"/>
          <w:szCs w:val="24"/>
        </w:rPr>
        <w:t>daunorubicynę</w:t>
      </w:r>
      <w:proofErr w:type="spellEnd"/>
      <w:r w:rsidR="00401E83" w:rsidRPr="00E11754">
        <w:rPr>
          <w:rFonts w:ascii="Times New Roman" w:hAnsi="Times New Roman" w:cs="Times New Roman"/>
          <w:sz w:val="24"/>
          <w:szCs w:val="24"/>
        </w:rPr>
        <w:t xml:space="preserve">, </w:t>
      </w:r>
      <w:proofErr w:type="spellStart"/>
      <w:r w:rsidR="00401E83" w:rsidRPr="00E11754">
        <w:rPr>
          <w:rFonts w:ascii="Times New Roman" w:hAnsi="Times New Roman" w:cs="Times New Roman"/>
          <w:sz w:val="24"/>
          <w:szCs w:val="24"/>
        </w:rPr>
        <w:t>doksorubicynę</w:t>
      </w:r>
      <w:proofErr w:type="spellEnd"/>
      <w:r w:rsidR="00401E83" w:rsidRPr="00E11754">
        <w:rPr>
          <w:rFonts w:ascii="Times New Roman" w:hAnsi="Times New Roman" w:cs="Times New Roman"/>
          <w:sz w:val="24"/>
          <w:szCs w:val="24"/>
        </w:rPr>
        <w:t xml:space="preserve"> oraz </w:t>
      </w:r>
      <w:proofErr w:type="spellStart"/>
      <w:r w:rsidR="00401E83" w:rsidRPr="00E11754">
        <w:rPr>
          <w:rFonts w:ascii="Times New Roman" w:hAnsi="Times New Roman" w:cs="Times New Roman"/>
          <w:sz w:val="24"/>
          <w:szCs w:val="24"/>
        </w:rPr>
        <w:t>idarubicynę</w:t>
      </w:r>
      <w:proofErr w:type="spellEnd"/>
      <w:r w:rsidR="00401E83" w:rsidRPr="00E11754">
        <w:rPr>
          <w:rFonts w:ascii="Times New Roman" w:hAnsi="Times New Roman" w:cs="Times New Roman"/>
          <w:sz w:val="24"/>
          <w:szCs w:val="24"/>
        </w:rPr>
        <w:t xml:space="preserve">. </w:t>
      </w:r>
      <w:r w:rsidR="13A8E3F4" w:rsidRPr="00E11754">
        <w:rPr>
          <w:rFonts w:ascii="Times New Roman" w:hAnsi="Times New Roman" w:cs="Times New Roman"/>
          <w:sz w:val="24"/>
          <w:szCs w:val="24"/>
        </w:rPr>
        <w:t xml:space="preserve">Ostatecznie ustalono, że najbardziej optymalne wyniki rozdzieleń chromatograficznych </w:t>
      </w:r>
      <w:proofErr w:type="spellStart"/>
      <w:r w:rsidR="13A8E3F4" w:rsidRPr="00E11754">
        <w:rPr>
          <w:rFonts w:ascii="Times New Roman" w:hAnsi="Times New Roman" w:cs="Times New Roman"/>
          <w:sz w:val="24"/>
          <w:szCs w:val="24"/>
        </w:rPr>
        <w:t>epirubicyny</w:t>
      </w:r>
      <w:proofErr w:type="spellEnd"/>
      <w:r w:rsidR="13A8E3F4" w:rsidRPr="00E11754">
        <w:rPr>
          <w:rFonts w:ascii="Times New Roman" w:hAnsi="Times New Roman" w:cs="Times New Roman"/>
          <w:sz w:val="24"/>
          <w:szCs w:val="24"/>
        </w:rPr>
        <w:t xml:space="preserve"> techniką LC-FL uzyskano wówczas, gdy separację </w:t>
      </w:r>
      <w:proofErr w:type="spellStart"/>
      <w:r w:rsidR="13A8E3F4" w:rsidRPr="00E11754">
        <w:rPr>
          <w:rFonts w:ascii="Times New Roman" w:hAnsi="Times New Roman" w:cs="Times New Roman"/>
          <w:sz w:val="24"/>
          <w:szCs w:val="24"/>
        </w:rPr>
        <w:t>analitów</w:t>
      </w:r>
      <w:proofErr w:type="spellEnd"/>
      <w:r w:rsidR="13A8E3F4" w:rsidRPr="00E11754">
        <w:rPr>
          <w:rFonts w:ascii="Times New Roman" w:hAnsi="Times New Roman" w:cs="Times New Roman"/>
          <w:sz w:val="24"/>
          <w:szCs w:val="24"/>
        </w:rPr>
        <w:t xml:space="preserve"> prowadzono</w:t>
      </w:r>
      <w:r w:rsidR="006C6CAA" w:rsidRPr="00E11754">
        <w:rPr>
          <w:rFonts w:ascii="Times New Roman" w:hAnsi="Times New Roman" w:cs="Times New Roman"/>
          <w:sz w:val="24"/>
          <w:szCs w:val="24"/>
        </w:rPr>
        <w:t xml:space="preserve"> na kolumnie </w:t>
      </w:r>
      <w:proofErr w:type="spellStart"/>
      <w:r w:rsidR="006C6CAA" w:rsidRPr="00E11754">
        <w:rPr>
          <w:rFonts w:ascii="Times New Roman" w:hAnsi="Times New Roman" w:cs="Times New Roman"/>
          <w:sz w:val="24"/>
          <w:szCs w:val="24"/>
        </w:rPr>
        <w:t>Synergi</w:t>
      </w:r>
      <w:proofErr w:type="spellEnd"/>
      <w:r w:rsidR="006C6CAA" w:rsidRPr="00E11754">
        <w:rPr>
          <w:rFonts w:ascii="Times New Roman" w:hAnsi="Times New Roman" w:cs="Times New Roman"/>
          <w:sz w:val="24"/>
          <w:szCs w:val="24"/>
        </w:rPr>
        <w:t xml:space="preserve"> Hydro-RP 80A, 150 x 4,6, 4 µm w t</w:t>
      </w:r>
      <w:r w:rsidR="006C6CAA" w:rsidRPr="00E11754">
        <w:rPr>
          <w:rFonts w:ascii="Times New Roman" w:hAnsi="Times New Roman" w:cs="Times New Roman"/>
          <w:color w:val="212121"/>
          <w:sz w:val="24"/>
          <w:szCs w:val="24"/>
          <w:shd w:val="clear" w:color="auto" w:fill="FFFFFF"/>
        </w:rPr>
        <w:t xml:space="preserve">emperaturze 30 </w:t>
      </w:r>
      <w:proofErr w:type="spellStart"/>
      <w:r w:rsidR="006C6CAA" w:rsidRPr="00E11754">
        <w:rPr>
          <w:rFonts w:ascii="Times New Roman" w:hAnsi="Times New Roman" w:cs="Times New Roman"/>
          <w:color w:val="212121"/>
          <w:sz w:val="24"/>
          <w:szCs w:val="24"/>
          <w:shd w:val="clear" w:color="auto" w:fill="FFFFFF"/>
          <w:vertAlign w:val="superscript"/>
        </w:rPr>
        <w:t>o</w:t>
      </w:r>
      <w:r w:rsidR="006C6CAA" w:rsidRPr="00E11754">
        <w:rPr>
          <w:rFonts w:ascii="Times New Roman" w:hAnsi="Times New Roman" w:cs="Times New Roman"/>
          <w:color w:val="212121"/>
          <w:sz w:val="24"/>
          <w:szCs w:val="24"/>
          <w:shd w:val="clear" w:color="auto" w:fill="FFFFFF"/>
        </w:rPr>
        <w:t>C</w:t>
      </w:r>
      <w:proofErr w:type="spellEnd"/>
      <w:r w:rsidR="13A8E3F4" w:rsidRPr="00E11754">
        <w:rPr>
          <w:rFonts w:ascii="Times New Roman" w:hAnsi="Times New Roman" w:cs="Times New Roman"/>
          <w:color w:val="212121"/>
          <w:sz w:val="24"/>
          <w:szCs w:val="24"/>
        </w:rPr>
        <w:t xml:space="preserve"> w warunkach </w:t>
      </w:r>
      <w:proofErr w:type="spellStart"/>
      <w:r w:rsidR="13A8E3F4" w:rsidRPr="00E11754">
        <w:rPr>
          <w:rFonts w:ascii="Times New Roman" w:hAnsi="Times New Roman" w:cs="Times New Roman"/>
          <w:color w:val="212121"/>
          <w:sz w:val="24"/>
          <w:szCs w:val="24"/>
        </w:rPr>
        <w:t>elucji</w:t>
      </w:r>
      <w:proofErr w:type="spellEnd"/>
      <w:r w:rsidR="13A8E3F4" w:rsidRPr="00E11754">
        <w:rPr>
          <w:rFonts w:ascii="Times New Roman" w:hAnsi="Times New Roman" w:cs="Times New Roman"/>
          <w:color w:val="212121"/>
          <w:sz w:val="24"/>
          <w:szCs w:val="24"/>
        </w:rPr>
        <w:t xml:space="preserve"> </w:t>
      </w:r>
      <w:proofErr w:type="spellStart"/>
      <w:r w:rsidR="13A8E3F4" w:rsidRPr="00E11754">
        <w:rPr>
          <w:rFonts w:ascii="Times New Roman" w:hAnsi="Times New Roman" w:cs="Times New Roman"/>
          <w:color w:val="212121"/>
          <w:sz w:val="24"/>
          <w:szCs w:val="24"/>
        </w:rPr>
        <w:t>izokratycznej</w:t>
      </w:r>
      <w:proofErr w:type="spellEnd"/>
      <w:r w:rsidR="13A8E3F4" w:rsidRPr="00E11754">
        <w:rPr>
          <w:rFonts w:ascii="Times New Roman" w:hAnsi="Times New Roman" w:cs="Times New Roman"/>
          <w:color w:val="212121"/>
          <w:sz w:val="24"/>
          <w:szCs w:val="24"/>
        </w:rPr>
        <w:t xml:space="preserve"> </w:t>
      </w:r>
      <w:r w:rsidR="006C6CAA" w:rsidRPr="00E11754">
        <w:rPr>
          <w:rFonts w:ascii="Times New Roman" w:hAnsi="Times New Roman" w:cs="Times New Roman"/>
          <w:color w:val="212121"/>
          <w:sz w:val="24"/>
          <w:szCs w:val="24"/>
          <w:shd w:val="clear" w:color="auto" w:fill="FFFFFF"/>
        </w:rPr>
        <w:t xml:space="preserve">fazy ruchomej składającej się z mieszaniny 40 </w:t>
      </w:r>
      <w:proofErr w:type="spellStart"/>
      <w:r w:rsidR="006C6CAA" w:rsidRPr="00E11754">
        <w:rPr>
          <w:rFonts w:ascii="Times New Roman" w:hAnsi="Times New Roman" w:cs="Times New Roman"/>
          <w:color w:val="212121"/>
          <w:sz w:val="24"/>
          <w:szCs w:val="24"/>
          <w:shd w:val="clear" w:color="auto" w:fill="FFFFFF"/>
        </w:rPr>
        <w:t>mM</w:t>
      </w:r>
      <w:proofErr w:type="spellEnd"/>
      <w:r w:rsidR="006C6CAA" w:rsidRPr="00E11754">
        <w:rPr>
          <w:rFonts w:ascii="Times New Roman" w:hAnsi="Times New Roman" w:cs="Times New Roman"/>
          <w:color w:val="212121"/>
          <w:sz w:val="24"/>
          <w:szCs w:val="24"/>
          <w:shd w:val="clear" w:color="auto" w:fill="FFFFFF"/>
        </w:rPr>
        <w:t xml:space="preserve"> buforu fosforanowego o </w:t>
      </w:r>
      <w:proofErr w:type="spellStart"/>
      <w:r w:rsidR="006C6CAA" w:rsidRPr="00E11754">
        <w:rPr>
          <w:rFonts w:ascii="Times New Roman" w:hAnsi="Times New Roman" w:cs="Times New Roman"/>
          <w:color w:val="212121"/>
          <w:sz w:val="24"/>
          <w:szCs w:val="24"/>
          <w:shd w:val="clear" w:color="auto" w:fill="FFFFFF"/>
        </w:rPr>
        <w:t>pH</w:t>
      </w:r>
      <w:proofErr w:type="spellEnd"/>
      <w:r w:rsidR="006C6CAA" w:rsidRPr="00E11754">
        <w:rPr>
          <w:rFonts w:ascii="Times New Roman" w:hAnsi="Times New Roman" w:cs="Times New Roman"/>
          <w:color w:val="212121"/>
          <w:sz w:val="24"/>
          <w:szCs w:val="24"/>
          <w:shd w:val="clear" w:color="auto" w:fill="FFFFFF"/>
        </w:rPr>
        <w:t xml:space="preserve"> 4,1 oraz ACN (69:31, </w:t>
      </w:r>
      <w:r w:rsidR="006C6CAA" w:rsidRPr="00E11754">
        <w:rPr>
          <w:rFonts w:ascii="Times New Roman" w:hAnsi="Times New Roman" w:cs="Times New Roman"/>
          <w:i/>
          <w:iCs/>
          <w:color w:val="212121"/>
          <w:sz w:val="24"/>
          <w:szCs w:val="24"/>
          <w:shd w:val="clear" w:color="auto" w:fill="FFFFFF"/>
        </w:rPr>
        <w:t>v</w:t>
      </w:r>
      <w:r w:rsidR="006C6CAA" w:rsidRPr="00E11754">
        <w:rPr>
          <w:rFonts w:ascii="Times New Roman" w:hAnsi="Times New Roman" w:cs="Times New Roman"/>
          <w:color w:val="212121"/>
          <w:sz w:val="24"/>
          <w:szCs w:val="24"/>
          <w:shd w:val="clear" w:color="auto" w:fill="FFFFFF"/>
        </w:rPr>
        <w:t>/</w:t>
      </w:r>
      <w:r w:rsidR="006C6CAA" w:rsidRPr="00E11754">
        <w:rPr>
          <w:rFonts w:ascii="Times New Roman" w:hAnsi="Times New Roman" w:cs="Times New Roman"/>
          <w:i/>
          <w:iCs/>
          <w:color w:val="212121"/>
          <w:sz w:val="24"/>
          <w:szCs w:val="24"/>
          <w:shd w:val="clear" w:color="auto" w:fill="FFFFFF"/>
        </w:rPr>
        <w:t>v</w:t>
      </w:r>
      <w:r w:rsidR="006C6CAA" w:rsidRPr="00E11754">
        <w:rPr>
          <w:rFonts w:ascii="Times New Roman" w:hAnsi="Times New Roman" w:cs="Times New Roman"/>
          <w:color w:val="212121"/>
          <w:sz w:val="24"/>
          <w:szCs w:val="24"/>
          <w:shd w:val="clear" w:color="auto" w:fill="FFFFFF"/>
        </w:rPr>
        <w:t xml:space="preserve">). Przepływ fazy ruchomej wynosił 1 ml/min, a objętość </w:t>
      </w:r>
      <w:proofErr w:type="spellStart"/>
      <w:r w:rsidR="006C6CAA" w:rsidRPr="00E11754">
        <w:rPr>
          <w:rFonts w:ascii="Times New Roman" w:hAnsi="Times New Roman" w:cs="Times New Roman"/>
          <w:color w:val="212121"/>
          <w:sz w:val="24"/>
          <w:szCs w:val="24"/>
          <w:shd w:val="clear" w:color="auto" w:fill="FFFFFF"/>
        </w:rPr>
        <w:t>nastrzyku</w:t>
      </w:r>
      <w:proofErr w:type="spellEnd"/>
      <w:r w:rsidR="006C6CAA" w:rsidRPr="00E11754">
        <w:rPr>
          <w:rFonts w:ascii="Times New Roman" w:hAnsi="Times New Roman" w:cs="Times New Roman"/>
          <w:color w:val="212121"/>
          <w:sz w:val="24"/>
          <w:szCs w:val="24"/>
          <w:shd w:val="clear" w:color="auto" w:fill="FFFFFF"/>
        </w:rPr>
        <w:t xml:space="preserve"> 15 µl. </w:t>
      </w:r>
      <w:proofErr w:type="spellStart"/>
      <w:r w:rsidR="006C6CAA" w:rsidRPr="00E11754">
        <w:rPr>
          <w:rFonts w:ascii="Times New Roman" w:hAnsi="Times New Roman" w:cs="Times New Roman"/>
          <w:color w:val="212121"/>
          <w:sz w:val="24"/>
          <w:szCs w:val="24"/>
          <w:shd w:val="clear" w:color="auto" w:fill="FFFFFF"/>
        </w:rPr>
        <w:t>Epirubicynę</w:t>
      </w:r>
      <w:proofErr w:type="spellEnd"/>
      <w:r w:rsidR="006C6CAA" w:rsidRPr="00E11754">
        <w:rPr>
          <w:rFonts w:ascii="Times New Roman" w:hAnsi="Times New Roman" w:cs="Times New Roman"/>
          <w:color w:val="212121"/>
          <w:sz w:val="24"/>
          <w:szCs w:val="24"/>
          <w:shd w:val="clear" w:color="auto" w:fill="FFFFFF"/>
        </w:rPr>
        <w:t xml:space="preserve"> i </w:t>
      </w:r>
      <w:proofErr w:type="spellStart"/>
      <w:r w:rsidR="13A8E3F4" w:rsidRPr="00E11754">
        <w:rPr>
          <w:rFonts w:ascii="Times New Roman" w:hAnsi="Times New Roman" w:cs="Times New Roman"/>
          <w:sz w:val="24"/>
          <w:szCs w:val="24"/>
        </w:rPr>
        <w:t>daunorubicynę</w:t>
      </w:r>
      <w:proofErr w:type="spellEnd"/>
      <w:r w:rsidR="13A8E3F4" w:rsidRPr="00E11754">
        <w:rPr>
          <w:rFonts w:ascii="Times New Roman" w:hAnsi="Times New Roman" w:cs="Times New Roman"/>
          <w:sz w:val="24"/>
          <w:szCs w:val="24"/>
        </w:rPr>
        <w:t xml:space="preserve"> jako IS </w:t>
      </w:r>
      <w:r w:rsidR="006C6CAA" w:rsidRPr="00E11754">
        <w:rPr>
          <w:rFonts w:ascii="Times New Roman" w:hAnsi="Times New Roman" w:cs="Times New Roman"/>
          <w:color w:val="212121"/>
          <w:sz w:val="24"/>
          <w:szCs w:val="24"/>
        </w:rPr>
        <w:t xml:space="preserve">monitorowano przy długość fali wzbudzenia i emisji wynoszącej odpowiednio </w:t>
      </w:r>
      <w:r w:rsidR="006C6CAA" w:rsidRPr="00E11754">
        <w:rPr>
          <w:rFonts w:ascii="Times New Roman" w:hAnsi="Times New Roman" w:cs="Times New Roman"/>
          <w:color w:val="040C28"/>
          <w:sz w:val="24"/>
          <w:szCs w:val="24"/>
        </w:rPr>
        <w:t>λ</w:t>
      </w:r>
      <w:r w:rsidR="00A31438" w:rsidRPr="00E11754">
        <w:rPr>
          <w:rFonts w:ascii="Times New Roman" w:hAnsi="Times New Roman" w:cs="Times New Roman"/>
          <w:sz w:val="24"/>
          <w:szCs w:val="24"/>
        </w:rPr>
        <w:t xml:space="preserve"> </w:t>
      </w:r>
      <w:r w:rsidR="006C6CAA" w:rsidRPr="00E11754">
        <w:rPr>
          <w:rFonts w:ascii="Times New Roman" w:hAnsi="Times New Roman" w:cs="Times New Roman"/>
          <w:sz w:val="24"/>
          <w:szCs w:val="24"/>
        </w:rPr>
        <w:t xml:space="preserve">= 497 </w:t>
      </w:r>
      <w:proofErr w:type="spellStart"/>
      <w:r w:rsidR="006C6CAA" w:rsidRPr="00E11754">
        <w:rPr>
          <w:rFonts w:ascii="Times New Roman" w:hAnsi="Times New Roman" w:cs="Times New Roman"/>
          <w:sz w:val="24"/>
          <w:szCs w:val="24"/>
        </w:rPr>
        <w:t>nm</w:t>
      </w:r>
      <w:proofErr w:type="spellEnd"/>
      <w:r w:rsidR="006C6CAA" w:rsidRPr="00E11754">
        <w:rPr>
          <w:rFonts w:ascii="Times New Roman" w:hAnsi="Times New Roman" w:cs="Times New Roman"/>
          <w:sz w:val="24"/>
          <w:szCs w:val="24"/>
        </w:rPr>
        <w:t xml:space="preserve"> i </w:t>
      </w:r>
      <w:r w:rsidR="006C6CAA" w:rsidRPr="00E11754">
        <w:rPr>
          <w:rFonts w:ascii="Times New Roman" w:hAnsi="Times New Roman" w:cs="Times New Roman"/>
          <w:color w:val="040C28"/>
          <w:sz w:val="24"/>
          <w:szCs w:val="24"/>
        </w:rPr>
        <w:t>λ</w:t>
      </w:r>
      <w:r w:rsidR="006C6CAA" w:rsidRPr="00E11754">
        <w:rPr>
          <w:rFonts w:ascii="Times New Roman" w:hAnsi="Times New Roman" w:cs="Times New Roman"/>
          <w:sz w:val="24"/>
          <w:szCs w:val="24"/>
        </w:rPr>
        <w:t xml:space="preserve"> = 557 nm. Całkowity czas analizy wynosił</w:t>
      </w:r>
      <w:r w:rsidR="00385D7A" w:rsidRPr="00E11754">
        <w:rPr>
          <w:rFonts w:ascii="Times New Roman" w:hAnsi="Times New Roman" w:cs="Times New Roman"/>
          <w:sz w:val="24"/>
          <w:szCs w:val="24"/>
        </w:rPr>
        <w:t xml:space="preserve"> 8 mi</w:t>
      </w:r>
      <w:r w:rsidR="002C0B07" w:rsidRPr="00E11754">
        <w:rPr>
          <w:rFonts w:ascii="Times New Roman" w:hAnsi="Times New Roman" w:cs="Times New Roman"/>
          <w:sz w:val="24"/>
          <w:szCs w:val="24"/>
        </w:rPr>
        <w:t xml:space="preserve">n </w:t>
      </w:r>
      <w:r w:rsidR="006C6CAA" w:rsidRPr="00E11754">
        <w:rPr>
          <w:rFonts w:ascii="Times New Roman" w:hAnsi="Times New Roman" w:cs="Times New Roman"/>
          <w:sz w:val="24"/>
          <w:szCs w:val="24"/>
        </w:rPr>
        <w:t>i był krótszy, niż we wcześniej opublikowanych procedurach chromatograficznych</w:t>
      </w:r>
      <w:r w:rsidR="00300054">
        <w:rPr>
          <w:rFonts w:ascii="Times New Roman" w:hAnsi="Times New Roman" w:cs="Times New Roman"/>
          <w:sz w:val="24"/>
          <w:szCs w:val="24"/>
        </w:rPr>
        <w:t xml:space="preserve"> </w:t>
      </w:r>
      <w:r w:rsidR="00365224">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{"citationItems":[{"id":"ITEM-1","itemData":{"DOI":"10.1016/0378-4347(96)00030-8","ISSN":"15726495","PMID":"8811443","abstract":"In order to determine epirubicin and its metabolites at low concentrations (&lt; 38 ng/ml) in small plasma samples, a fast reliable method based on a precipitation pre-treatment and sensitive reversed-phase isocratic HPLC has been developed and validated for epirubicin in the range 5-100 ng/ml. The R.S.D. was 5-9% over this concentration range. For human serum containing 25 ng/ml of epirubicin, the inter- and intra-day variation was &lt; 10%. Recoveries of the metabolites epirubicinol, 7-deoxydoxorubicinone and 7-deoxydoxorubicinolone at 20 ng/ml ranged from 94-104%. The assay has been used to study human plasma samples taken during a 96-h infusion of epirubicin in a patient with multiple myeloma. The combined levels of the unseparated metabolites, epirubicin glucuronide and epirubicinol glucuronide, were semiquantitatively determined after treatment with β-glucuronidase. The metabolites epirubicinol and 7-deoxydoxorubicinolone, but not 7-deoxydoxorubicinone, were also detected and measured.","author":[{"dropping-particle":"","family":"Barker","given":"Ian K.","non-dropping-particle":"","parse-names":false,"suffix":""},{"dropping-particle":"","family":"Crawford","given":"S. Michael","non-dropping-particle":"","parse-names":false,"suffix":""},{"dropping-particle":"","family":"Fell","given":"Anthony F.","non-dropping-particle":"","parse-names":false,"suffix":""}],"container-title":"Journal of Chromatography B: Biomedical Applications","id":"ITEM-1","issue":"2","issued":{"date-parts":[["1996"]]},"page":"323-329","title":"Determination of plasma concentrations of epirubicin and its metabolites by high-performance liquid chromatography during a 96-h infusion in cancer chemotherapy","type":"article-journal","volume":"681"},"uris":["http://www.mendeley.com/documents/?uuid=ad692e3b-4ff8-4908-819c-194386926b67"]},{"id":"ITEM-2","itemData":{"DOI":"10.1080/10826070701465654","ISSN":"10826076","abstract":"An analytical method based on hydrophilic interaction chromatography (HILIC) using diode array detection was developed and validated for the determination of epirubicin in human plasma. Epirubicin and epidaunorubicin (internal standard) were collected from the plasma by solid-phase extraction (SPE) using Oasis HLB cartridges. The chromatographic separation was on a silica analytical column (250 × 4.6 mm I.D., 5 μm) with a mobile phase consisting of acetonitrile/40 mM ammonium formate buffer solution (pH 2.9) (90/10, v/v). The detection wavelength was 254 nm. Linearity of the method was in the concentration range of 0.050-2.5 μg/mL (r2=0.9991). The limit of quantification (LOQ) and limit of detection (LOD) were 0.050 and 0.030 μg/mL using 0.2 mL plasma sample, respectively. Recoveries of the analyte ranged from 89.4% to 101.2% with intra- and inter-day precision (RSD); less than 7.0% were obtained at the concentrations above the LOQ. The proposed method is simple, accurate, and its mobile phase is compatible for mass spectrometry. Copyright © Taylor &amp; Francis Group, LLC.","author":[{"dropping-particle":"","family":"Li","given":"Ruiping","non-dropping-particle":"","parse-names":false,"suffix":""},{"dropping-particle":"","family":"Dong","given":"Lili","non-dropping-particle":"","parse-names":false,"suffix":""},{"dropping-particle":"","family":"Huang","given":"Junxiong","non-dropping-particle":"","parse-names":false,"suffix":""}],"container-title":"Journal of Liquid Chromatography and Related Technologies","id":"ITEM-2","issue":"16","issued":{"date-parts":[["2007"]]},"page":"2409-2418","title":"Hydrophilic interaction chromatographic determination of epirubicin in human plasma using solid phase extraction for sample clean-up","type":"article-journal","volume":"30"},"uris":["http://www.mendeley.com/documents/?uuid=479105a8-db62-4271-b022-d6909d6ff568"]},{"id":"ITEM-3","itemData":{"DOI":"10.1016/j.jchromb.2009.08.054","ISSN":"15700232","PMID":"19783235","abstract":"Drug Eluting Microsphere-Transarterial Chemoembolization (DEM-TACE) is a new delivery system to administrate drugs in a controlled manner useful for application in the chemoembolization of colorectal cancer metastases to the liver. DEM-TACE is focused to obtain higher concentrations of the drug to the tumor with lower systemic concentrations than traditional cancer chemotherapy. Therefore a specific, precise and sensitive LC-ESI-MS/MS assay procedure was properly designed to detect and quantify epirubicin at the concentrations expected from a transarterial chemoembolization with microspheres. Serum samples were kept acidic (pH approximately of 3.5) and sample preparation consisted of a solid phase extraction (SPE) procedure with HLB OASIS® cartridges using a methylene chloride/2-propanol/methanol mixture solution to recover epirubicin. The analyses consisted of reversed-phase high-performance liquid chromatography (rp-HPLC) coupled with tandem mass spectrometry (MS/MS). Accuracy, precision and matrix effect of this procedure were carried out by analyzing four quality control samples (QCs) on five separate days. The validation parameters were assessed by recovery studies of spiked serum samples. Recoveries were found to vary between 92 and 98% at the QC levels (5, 40, 80 and 150 μg/L) with relative standard deviation (RSD) always less than 3.7%. The limit of detection (LOD) was set at 1 μg/L. The developed procedure has been also applied to investigate the different capability of two types of commercially available microspheres to release epirubicin into the human circulatory system. © 2009 Elsevier B.V. All rights reserved.","author":[{"dropping-particle":"","family":"Sottani","given":"Cristina","non-dropping-particle":"","parse-names":false,"suffix":""},{"dropping-particle":"","family":"Leoni","given":"Emanuela","non-dropping-particle":"","parse-names":false,"suffix":""},{"dropping-particle":"","family":"Porro","given":"Benedetta","non-dropping-particle":"","parse-names":false,"suffix":""},{"dropping-particle":"","family":"Montagna","given":"Benedetta","non-dropping-particle":"","parse-names":false,"suffix":""},{"dropping-particle":"","family":"Amatu","given":"Alessio","non-dropping-particle":"","parse-names":false,"suffix":""},{"dropping-particle":"","family":"Sottotetti","given":"Federico","non-dropping-particle":"","parse-names":false,"suffix":""},{"dropping-particle":"","family":"Quaretti","given":"Pietro","non-dropping-particle":"","parse-names":false,"suffix":""},{"dropping-particle":"","family":"Poggi","given":"Guido","non-dropping-particle":"","parse-names":false,"suffix":""},{"dropping-particle":"","family":"Minoia","given":"Claudio","non-dropping-particle":"","parse-names":false,"suffix":""}],"container-title":"Journal of Chromatography B: Analytical Technologies in the Biomedical and Life Sciences","id":"ITEM-3","issue":"29","issued":{"date-parts":[["2009"]]},"page":"3543-3548","title":"Validation of an LC-MS/MS method for the determination of epirubicin in human serum of patients undergoing Drug Eluting Microsphere-Transarterial Chemoembolization (DEM-TACE)","type":"article-journal","volume":"877"},"uris":["http://www.mendeley.com/documents/?uuid=266cdb72-871c-4062-a7af-053960bdc7f2"]},{"id":"ITEM-4","itemData":{"DOI":"10.1097/00007691-200308000-00003","ISSN":"01634356","PMID":"12883225","abstract":"We present a high-performance liquid chromatography (HPLC) method suitable for the analysis of epirubicin and its metabolite epirubicinol in saliva and plasma. Preparation of saliva and plasma samples was performed by extraction of analytes with a chloroform: 2-propanol mixture (6:1, vol/vol) and evaporation of the organic phase to dryness under vacuum at a temperature of approximately 45°C. The chromatographic analysis was carried out by reversed-phase isocratic elution of the anthracyclines with a Chromsep stainless steel HPLC column (150 x 4.6 mm I.D.) filled with Nucleosil 100 S C18 material, particle size 5 μm. The detection was accomplished by spectrofluorimetry at excitation and emission wavelengths of 474 and 551 nm, respectively. The anthracyclines eluted within 10 min of injection, and the method appeared to be specific. The method is linear over a concentration range of 5 to 1000 μg/L for epirubicin and 2 to 400 μg/L for epirubicinol (r &gt; 0.99) in both saliva and plasma. The recoveries from saliva and plasma of epirubicin, epirubicinol, and the internal standard doxorubicin were 88.9 and 69.0%, 87.6 and 77.3%, and 80 and 67.9%, respectively. The lower limit of quantification was 5 μg/L for epirubicin and 2 μg/L for epirubicinol. The method proved to be precise and accurate, as the within-day and between-day coefficients of variation were less than 10%. Overall results indicate that our method is suitable for the bioanalysis of epirubicin and epirubicinol in saliva as well as plasma.","author":[{"dropping-particle":"","family":"Dodde","given":"Wilma I.W.","non-dropping-particle":"","parse-names":false,"suffix":""},{"dropping-particle":"","family":"Maring","given":"Jan Gerard","non-dropping-particle":"","parse-names":false,"suffix":""},{"dropping-particle":"","family":"Hendriks","given":"Gert","non-dropping-particle":"","parse-names":false,"suffix":""},{"dropping-particle":"","family":"Wachters","given":"Floris M.","non-dropping-particle":"","parse-names":false,"suffix":""},{"dropping-particle":"","family":"Groen","given":"Harry J.M.","non-dropping-particle":"","parse-names":false,"suffix":""},{"dropping-particle":"","family":"Vries","given":"Elisabeth G.E.","non-dropping-particle":"De","parse-names":false,"suffix":""},{"dropping-particle":"","family":"Uges","given":"Donald R.A.","non-dropping-particle":"","parse-names":false,"suffix":""}],"container-title":"Therapeutic Drug Monitoring","id":"ITEM-4","issue":"4","issued":{"date-parts":[["2003"]]},"page":"433-440","title":"Determination of epirubicin and its metabolite epirubicinol in saliva and plasma by HPLC","type":"article-journal","volume":"25"},"uris":["http://www.mendeley.com/documents/?uuid=ae04d002-dba4-4093-9002-154d6d6bae90"]},{"id":"ITEM-5","itemData":{"DOI":"10.1016/S0378-4347(97)00610-5","ISSN":"15726495","PMID":"9613953","abstract":"A high-performance liquid chromatographic method with electrochemical detection has been developed for the simultaneous determination of epirubicin, 13-S-dihydroepirubicin, doxorubicin and 13-S-dihydrodoxorubicin in human plasma. An aliquot of 200 μl plasma, spiked with internal standard, was extracted by solid-phase extraction using polymeric adsorbent columns. Chromatography was performed using a C18 reversed-phase column with a mobile phase consisting of water-acetonitrile (71:29, v/v) containing 0.05 M Na2HPO4 and 0.05% v/v triethylamine adjusted to pH 4.6 with citric acid. Linearity of the method was obtained in the concentration range of 1-500 ng/ml for all the analytes. Analytical recoveries of the analytes ranged from 89 to 93%. The assay can be used for the simultaneous determination of the four analytes, or for epirubicin and its metabolite or doxorubicin and its metabolite, using the other parent drug as an internal standard. The method was applied to analyze human plasma samples from patients treated with epirubicin using doxorubicin as an internal standard.","author":[{"dropping-particle":"","family":"Ricciarello","given":"R.","non-dropping-particle":"","parse-names":false,"suffix":""},{"dropping-particle":"","family":"Pichini","given":"S.","non-dropping-particle":"","parse-names":false,"suffix":""},{"dropping-particle":"","family":"Pacifici","given":"R.","non-dropping-particle":"","parse-names":false,"suffix":""},{"dropping-particle":"","family":"Altieri","given":"I.","non-dropping-particle":"","parse-names":false,"suffix":""},{"dropping-particle":"","family":"Pellegrini","given":"M.","non-dropping-particle":"","parse-names":false,"suffix":""},{"dropping-particle":"","family":"Fattorossi","given":"A.","non-dropping-particle":"","parse-names":false,"suffix":""},{"dropping-particle":"","family":"Zuccaro","given":"P.","non-dropping-particle":"","parse-names":false,"suffix":""}],"container-title":"Journal of Chromatography B: Biomedical Applications","id":"ITEM-5","issue":"1-2","issued":{"date-parts":[["1998"]]},"page":"219-225","title":"Simultaneous determination of epirubicin, doxorubicin and their principal metabolites in human plasma by high-performance liquid chromatography and electrochemical detection","type":"article-journal","volume":"707"},"uris":["http://www.mendeley.com/documents/?uuid=ab0991fc-be51-4341-a25e-e1ecd9bad733"]},{"id":"ITEM-6","itemData":{"DOI":"10.1016/j.jchromb.2009.09.044","ISSN":"15700232","PMID":"19828385","abstract":"A quantitative HPLC method with fluorescence detection has been developed for the simultaneous determination of four anthracyclines (doxorubicin, epirubicin, daunorubicin and idarubicin) and their respective 13-S-dihydro metabolites (doxorubicinol, epirubicinol, daunorubicinol and idarubicinol) in plasma and saliva, using epidaunorubicin as internal standard. A progressive optimization matrix led to a two-step extraction based on a protein precipitation with ethanol followed by a liquid-liquid extraction with dichloromethane after pH adjustment to 8.5. The chromatographic separation was performed in 14 min on a C18 column, applying gradient elution with a mixture of 0.1% formic acid in water and 0.1% formic acid in acetonitrile. The analytes were detected and quantified at an excitation and emission wavelength of 480 and 555 nm, respectively. Limit of detection (LOD) and lower limit of quantification (LLOQ) were 0.3 or 0.75, and 1 or 2.5 ng/mL, respectively. Linearity by means of weighted (1/x) regression was obtained from the LLOQ up to 1000 or 2500 ng/mL for the parent drugs and up to 400 or 1000 ng/mL for the metabolites. Intra-assay and inter-assay relative standard deviation values were all less than 14% at low, medium and high levels, and below 17% at the LLOQ. Accuracy ranged between 91 and 113% at low, medium and high concentrations and between 83 and 118% at the LLOQ. Absolute recoveries were between 78 and 88% in plasma, and between 70 and 79% in saliva, respectively. Autosampler, benchtop, freeze-thaw and long-term stability samples fulfilled acceptance criteria. This selective method was applied successfully to the analysis of plasma and saliva samples from patients administered epirubicin intravenously. © 2009 Elsevier B.V. All rights reserved.","author":[{"dropping-particle":"","family":"Maudens","given":"Kristof E.","non-dropping-particle":"","parse-names":false,"suffix":""},{"dropping-particle":"","family":"Stove","given":"Christophe P.","non-dropping-particle":"","parse-names":false,"suffix":""},{"dropping-particle":"","family":"Cocquyt","given":"Veronique F J","non-dropping-particle":"","parse-names":false,"suffix":""},{"dropping-particle":"","family":"Denys","given":"Hannelore","non-dropping-particle":"","parse-names":false,"suffix":""},{"dropping-particle":"","family":"Lambert","given":"Willy E.","non-dropping-particle":"","parse-names":false,"suffix":""}],"container-title":"Journal of Chromatography B: Analytical Technologies in the Biomedical and Life Sciences","id":"ITEM-6","issue":"30","issued":{"date-parts":[["2009"]]},"page":"3907-3915","title":"Development and validation of a liquid chromatographic method for the simultaneous determination of four anthracyclines and their respective 13-S-dihydro metabolites in plasma and saliva","type":"article-journal","volume":"877"},"uris":["http://www.mendeley.com/documents/?uuid=ab0d83c5-972a-4e8b-bb30-2aa750d60b9f"]},{"id":"ITEM-7","itemData":{"DOI":"10.1016/0378-4347(91)80485-U","ISSN":"03784347","PMID":"1818055","abstract":"A sensitive and rapid method for measuring epidoxorubicin and its six metabolites by high-performance liquid chromatography using an advanced automated sample processor is described. Plasma samples (1 ml) were extracted using C2 cassettes, and reversed-phase chromatography was performed with an Apex II ODS column. The isocratic mobile phase of acetonitrile-0.019 M NaH2PO4 (pH 4.0) had a flow-rate of 1 ml/min and the fluorescence detector an excitation wavelength of 480 nm with an emission at 580 nm. Linear calibration curves were obtained which were reproducible both within-day and day-to-day (coefficients of variation &lt; 10%). The extraction efficacy of epidoxorubicin was 88% and ranged from 51 to 88% for the metabolites. This method has been successfully applied to measure the plasma levels of these compounds in patients receiving epidoxorubicin over a wide dose range (12-120 mg/m2) and in patients with disturbed liver biochemistry. © 1991.","author":[{"dropping-particle":"","family":"Dobbs","given":"Nicola A.","non-dropping-particle":"","parse-names":false,"suffix":""},{"dropping-particle":"","family":"Twelves","given":"Christopher J.","non-dropping-particle":"","parse-names":false,"suffix":""}],"container-title":"Journal of Chromatography B: Biomedical Sciences and Applications","id":"ITEM-7","issue":"1-2","issued":{"date-parts":[["1991"]]},"page":"211-217","title":"Measurement of epidoxorubicin and its metabolites by high-performance liquid chromatography using an advanced automated sample processor","type":"article-journal","volume":"572"},"uris":["http://www.mendeley.com/documents/?uuid=352e130b-735d-4771-ab9f-84acb750fbb4"]},{"id":"ITEM-8","itemData":{"DOI":"10.1002/bmc.1130040103","ISSN":"10990801","PMID":"2310837"</w:instrText>
      </w:r>
      <w:r w:rsidR="004818CD">
        <w:rPr>
          <w:rFonts w:ascii="Times New Roman" w:hAnsi="Times New Roman" w:cs="Times New Roman" w:hint="eastAsia"/>
          <w:sz w:val="24"/>
          <w:szCs w:val="24"/>
        </w:rPr>
        <w:instrText>,"abstract":"A rapid sensitive and selective isocratic technique was developed for the analysis of plasma epirubicin and three of its known fluorescent metabolites epirubicinol,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epidoxorubicin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 1,3</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dihydro</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epidoxorubicin, with daunorubicin as an internal standard, by using high performance liquid chromatography (HPLC) with fluorescence detection and a </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Hypersil ODS</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 column. The drugs were easily and efficiently extracted with a Sep</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Pak C18 cartridge and the</w:instrText>
      </w:r>
      <w:r w:rsidR="004818CD">
        <w:rPr>
          <w:rFonts w:ascii="Times New Roman" w:hAnsi="Times New Roman" w:cs="Times New Roman"/>
          <w:sz w:val="24"/>
          <w:szCs w:val="24"/>
        </w:rPr>
        <w:instrText xml:space="preserve"> mean recoveries were greater than 85%. Intraassay and Interassay coefficients of variation (plasma samples) were better than 8.25%. An example of pharmacokinetic study obtained in a cancer patient after intravenous injection of epirubicine is described. Copyright © 1990 John Wiley &amp; Sons, Ltd.","author":[{"dropping-particle":"","family":"Dine","given":"T.","non-dropping-particle":"","parse-names":false,"suffix":""},{"dropping-particle":"","family":"Brunet","given":"C.","non-dropping-particle":"","parse-names":false,"suffix":""},{"dropping-particle":"","family":"Luyckx","given":"M.","non-dropping-particle":"","parse-names":false,"suffix":""},{"dropping-particle":"","family":"Cazin","given":"M.","non-dropping-particle":"","parse-names":false,"suffix":""},{"dropping-particle":"","family":"Gosselin","given":"P.","non-dropping-particle":"","parse-names":false,"suffix":""},{"dropping-particle":"","family":"Cazin","given":"J. L.","non-dropping-particle":"","parse-names":false,"suffix":""}],"container-title":"Biomedical Chromatography","id":"ITEM-8","issue":"1","issued":{"date-parts":[["1990"]]},"page":"20-23","title":"Rapid quantitative determination of epirubicin and its metabolites in plasma using high performance liquid chromatography and fluorescence detection","type":"article-journal","volume":"4"},"uris":["http://www.mendeley.com/documents/?uuid=b79a8003-a681-4b27-9a46-161c3eee448a"]},{"id":"ITEM-9","itemData":{"DOI":"10.1016/j.talanta.2006.10.010","ISSN":"00399140","abstract":"A highly sensitive and selective liquid chromatography-mass spectrometry (LC-MS) method has been developed for the determination of epirubicin in serum and cell specimens using daunorubicin as an internal standard. Using atmospheric pressure chemical ionisation (APCI), the epirubicin metabolites were readily distinguishable by their fragmentation pattern in the mass spectrometer. Selected reaction monitoring (SRM) mode was employed for quantitation of epirubicin and the metabolites. Following extraction, chromatography was performed on a C18 column with a mobile phase consisting of water-acetonitrile-formic acid, pH 3.2, with a flow rate of 200 μl/min. The limit of detection (LOD) and the limit of quantitation (LOQ) of this method in serum were determined to be 1.0 and 2.5 ng/ml, respectively. Linearity of the method was verified over the concentration range of 2.5-2000 ng/ml, with a high correlation coefficient (R2 ≥ 0.998). For the extraction procedure, an aliquot of 500 μl serum, spiked with internal standard, was extracted using a chloroform-2-isopropanol (2:1, v/v) mixture. The method has been applied to the analysis of epirubicin in cancer cell samples and the identification of known and unknown metabolites in clinical trial patient serum samples. © 2006 Elsevier B.V. All rights reserved.","author":[{"dropping-particle":"","family":"Wall","given":"Rachel","non-dropping-particle":"","parse-names":false,"suffix":""},{"dropping-particle":"","family":"McMahon","given":"Gillian","non-dropping-particle":"","parse-names":false,"suffix":""},{"dropping-particle":"","family":"Crown","given":"John","non-dropping-particle":"","parse-names":false,"suffix":""},{"dropping-particle":"","family":"Clynes","given":"Martin","non-dropping-particle":"","parse-names":false,"suffix":""},{"dropping-particle":"","family":"O'Connor","given":"Robert","non-dropping-particle":"","parse-names":false,"suffix":""}],"container-title":"Talanta","id":"ITEM-9","issue":"1","issued":{"date-parts":[["2007"]]},"page":"145-154","title":"Rapid and sensitive liquid chromatography-tandem mass spectrometry for the quantitation of epirubicin and identification of metabolites in biological samples","type":"article-journal","volume":"72"},"uris":["http://www.mendeley.com/documents/?uuid=193119d9-9a11-4203-9d2a-3f55413df188"]},{"id":"ITEM-10","itemData":{"DOI":"10.1016/S0378-4347(99)00529-0","ISSN":"13872273","PMID":"10718646","abstract":"A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Applications","id":"ITEM-10","issue":"2","issued":{"date-parts":[["2000"]]},"page":"281-291","title":"Simultaneous determination of four anthracyclines and three metabolites in human serum by liquid chromatography-electrospray mass spectrometry","type":"article-journal","volume":"738"},"uris":["http://www.mendeley.com/documents/?uuid=8a2424d0-b5b2-4229-ad1b-96b4da3a7807"]},{"id":"ITEM-11","itemData":{"DOI":"10.1097/00007691-199906000-00022","ISSN":"01634356","abstract":"A single high-performance liquid chromatography (HPLC) method, suitable for the analysis of daunorubicin, idarubicin, doxorubicin, epirubicin, and their 13-dihydro metabolites is validated in the present study. Preparation of plasma samples was performed by a first extraction of analytes with a chloroform/1-heptanol mixture (9:1) and reextraction with ortophosphoric acid 0.1 M. The chromatographic analysis was carried out by reversed-phase isocratic elution of anthracyclines with a Supelcosil LC-CN 5 mm column (25 cm x 4.6 mm internal diameter; Supelco) and detection was accomplished by spectrofluorimetry at excitation and emission wavelengths of 480 and 560 nm, respectively. All anthracyclines eluted within 15 minutes of injection and the method appeared to be specific, because the chromatographic assay did not show interferences at the retention time of analytes. The linearity, evaluated over a concentration range of 0.4-10,000 ng/mL, gave regression coefficients better than 0.999, with recoveries of doxorubicin-doxorubicinol and epirubicin-epirubicinol of 67%-109% and 61%-109% respectively, and 93%- 109% for the other compounds. The limits of detection and quantification were 0.4 ng/mL in a 50-mL sample (40 pg/injection) for all anthracyclines tested. The method proved to be precise and accurate, as the within-day and between- day coefficients of variation were less than 10% and the accuracy of the assay was in the range of 91%-107%. Overall results indicate that it is feasible to analyze all the anthracyclines used in clinical practice and their major metabolites with a single optimized method, thereby simplifying their monitoring in chemotherapeutic regimens of cancer patients.","author":[{"dropping-particle":"","family":"Fogli","given":"Stefano","non-dropping-particle":"","parse-names":false,"suffix":""},{"dropping-particle":"","family":"Danesi","given":"Romano","non-dropping-particle":"","parse-names":false,"suffix":""},{"dropping-particle":"","family":"Innocenti","given":"Federico","non-dropping-particle":"","parse-names":false,"suffix":""},{"dropping-particle":"","family":"Paolo","given":"Antonello","non-dropping-particle":"Di","parse-names":false,"suffix":""},{"dropping-particle":"","family":"Bocci","given":"Guido","non-dropping-particle":"","parse-names":false,"suffix":""},{"dropping-particle":"","family":"Barbara","given":"Cecilia","non-dropping-particle":"","parse-names":false,"suffix":""},{"dropping-particle":"","family":"Tacca","given":"Mario","non-dropping-particle":"Del","parse-names":false,"suffix":""}],"container-title":"Therapeutic Drug Monitoring","id":"ITEM-11","issue":"3","issued":{"date-parts":[["1999"]]},"page":"367-375","title":"An improved HPLC method for therapeutic drug monitoring of daunorubicin, idarubicin, doxorubicin, epirubicin, and their 13-dihydro metabolites in human plasma","type":"article-journal","volume":"21"},"uris":["http://www.mendeley.com/documents/?uuid=a35327cf-2860-463c-9627-2e1c15e26f01"]}],"mendeley":{"formattedCitation":"[58], [66], [68]–[76]","plainTextFormattedCitation":"[58], [66], [68]–[76]","previouslyFormattedCitation":"[58], [66], [68]–[76]"},"properties":{"noteIndex":0},"schema":"https://github.com/citation-style-language/schema/raw/master/csl-citation.json"}</w:instrText>
      </w:r>
      <w:r w:rsidR="00365224">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[58], [66], [68]–[76]</w:t>
      </w:r>
      <w:r w:rsidR="00365224">
        <w:rPr>
          <w:rFonts w:ascii="Times New Roman" w:hAnsi="Times New Roman" w:cs="Times New Roman"/>
          <w:sz w:val="24"/>
          <w:szCs w:val="24"/>
        </w:rPr>
        <w:fldChar w:fldCharType="end"/>
      </w:r>
      <w:r w:rsidR="00300054">
        <w:rPr>
          <w:rFonts w:ascii="Times New Roman" w:hAnsi="Times New Roman" w:cs="Times New Roman"/>
          <w:sz w:val="24"/>
          <w:szCs w:val="24"/>
        </w:rPr>
        <w:t xml:space="preserve">. </w:t>
      </w:r>
    </w:p>
    <w:p w14:paraId="7F597B5C" w14:textId="272FA11A" w:rsidR="006C6CAA" w:rsidRPr="00E11754" w:rsidRDefault="004C595A" w:rsidP="02602357">
      <w:pPr>
        <w:spacing w:after="0" w:line="360" w:lineRule="auto"/>
        <w:jc w:val="both"/>
        <w:rPr>
          <w:rFonts w:ascii="Times New Roman" w:hAnsi="Times New Roman" w:cs="Times New Roman"/>
          <w:sz w:val="24"/>
          <w:szCs w:val="24"/>
        </w:rPr>
      </w:pPr>
      <w:r w:rsidRPr="00E11754">
        <w:rPr>
          <w:rFonts w:ascii="Times New Roman" w:hAnsi="Times New Roman" w:cs="Times New Roman"/>
          <w:sz w:val="24"/>
          <w:szCs w:val="24"/>
        </w:rPr>
        <w:tab/>
      </w:r>
      <w:r w:rsidR="006C6CAA" w:rsidRPr="00E11754">
        <w:rPr>
          <w:rFonts w:ascii="Times New Roman" w:hAnsi="Times New Roman" w:cs="Times New Roman"/>
          <w:sz w:val="24"/>
          <w:szCs w:val="24"/>
        </w:rPr>
        <w:t xml:space="preserve">W kolejnym etapie optymalizowano proces ekstrakcji wykonując różnorodne procedury </w:t>
      </w:r>
      <w:proofErr w:type="spellStart"/>
      <w:r w:rsidR="006C6CAA" w:rsidRPr="00E11754">
        <w:rPr>
          <w:rFonts w:ascii="Times New Roman" w:hAnsi="Times New Roman" w:cs="Times New Roman"/>
          <w:sz w:val="24"/>
          <w:szCs w:val="24"/>
        </w:rPr>
        <w:t>deproteinizacji</w:t>
      </w:r>
      <w:proofErr w:type="spellEnd"/>
      <w:r w:rsidR="006C6CAA" w:rsidRPr="00E11754">
        <w:rPr>
          <w:rFonts w:ascii="Times New Roman" w:hAnsi="Times New Roman" w:cs="Times New Roman"/>
          <w:sz w:val="24"/>
          <w:szCs w:val="24"/>
        </w:rPr>
        <w:t xml:space="preserve">, ekstrakcji LLE oraz SPE dla próbek osocza i moczu o objętości odpowiednio 0,25 i 0,5 ml. Na podstawie otrzymanych wyników potwierdzono m.in., że w przypadku </w:t>
      </w:r>
      <w:proofErr w:type="spellStart"/>
      <w:r w:rsidR="006C6CAA" w:rsidRPr="00E11754">
        <w:rPr>
          <w:rFonts w:ascii="Times New Roman" w:hAnsi="Times New Roman" w:cs="Times New Roman"/>
          <w:sz w:val="24"/>
          <w:szCs w:val="24"/>
        </w:rPr>
        <w:t>deproteinizacji</w:t>
      </w:r>
      <w:proofErr w:type="spellEnd"/>
      <w:r w:rsidR="006C6CAA" w:rsidRPr="00E11754">
        <w:rPr>
          <w:rFonts w:ascii="Times New Roman" w:hAnsi="Times New Roman" w:cs="Times New Roman"/>
          <w:sz w:val="24"/>
          <w:szCs w:val="24"/>
        </w:rPr>
        <w:t xml:space="preserve"> za pomocą ACN, dodatek siarczanu cynku poprawiał wydajność tego procesu. Z kolei zastosowanie LLE z użyciem mieszaniny DCHM i 2-propanolu (1:1, </w:t>
      </w:r>
      <w:r w:rsidR="006C6CAA" w:rsidRPr="02602357">
        <w:rPr>
          <w:rFonts w:ascii="Times New Roman" w:hAnsi="Times New Roman" w:cs="Times New Roman"/>
          <w:i/>
          <w:iCs/>
          <w:sz w:val="24"/>
          <w:szCs w:val="24"/>
        </w:rPr>
        <w:t>v</w:t>
      </w:r>
      <w:r w:rsidR="006C6CAA" w:rsidRPr="00E11754">
        <w:rPr>
          <w:rFonts w:ascii="Times New Roman" w:hAnsi="Times New Roman" w:cs="Times New Roman"/>
          <w:sz w:val="24"/>
          <w:szCs w:val="24"/>
        </w:rPr>
        <w:t>/</w:t>
      </w:r>
      <w:r w:rsidR="006C6CAA" w:rsidRPr="02602357">
        <w:rPr>
          <w:rFonts w:ascii="Times New Roman" w:hAnsi="Times New Roman" w:cs="Times New Roman"/>
          <w:i/>
          <w:iCs/>
          <w:sz w:val="24"/>
          <w:szCs w:val="24"/>
        </w:rPr>
        <w:t>v</w:t>
      </w:r>
      <w:r w:rsidR="006C6CAA" w:rsidRPr="00E11754">
        <w:rPr>
          <w:rFonts w:ascii="Times New Roman" w:hAnsi="Times New Roman" w:cs="Times New Roman"/>
          <w:sz w:val="24"/>
          <w:szCs w:val="24"/>
        </w:rPr>
        <w:t>) było bardziej efektywne niż DCHM. W przypadku ekstrakcji</w:t>
      </w:r>
      <w:r w:rsidR="00992FB0" w:rsidRPr="00E11754">
        <w:rPr>
          <w:rFonts w:ascii="Times New Roman" w:hAnsi="Times New Roman" w:cs="Times New Roman"/>
          <w:sz w:val="24"/>
          <w:szCs w:val="24"/>
        </w:rPr>
        <w:t xml:space="preserve"> </w:t>
      </w:r>
      <w:r w:rsidR="006C6CAA" w:rsidRPr="00E11754">
        <w:rPr>
          <w:rFonts w:ascii="Times New Roman" w:hAnsi="Times New Roman" w:cs="Times New Roman"/>
          <w:sz w:val="24"/>
          <w:szCs w:val="24"/>
        </w:rPr>
        <w:t>SPE przeprowadzono najwięcej modyfikacji</w:t>
      </w:r>
      <w:r w:rsidR="09C32CB7" w:rsidRPr="00E11754">
        <w:rPr>
          <w:rFonts w:ascii="Times New Roman" w:hAnsi="Times New Roman" w:cs="Times New Roman"/>
          <w:sz w:val="24"/>
          <w:szCs w:val="24"/>
        </w:rPr>
        <w:t>,</w:t>
      </w:r>
      <w:r w:rsidR="006C6CAA" w:rsidRPr="00E11754">
        <w:rPr>
          <w:rFonts w:ascii="Times New Roman" w:hAnsi="Times New Roman" w:cs="Times New Roman"/>
          <w:sz w:val="24"/>
          <w:szCs w:val="24"/>
        </w:rPr>
        <w:t xml:space="preserve"> które dotyczyły m.in.</w:t>
      </w:r>
      <w:r w:rsidR="0073396B" w:rsidRPr="00E11754">
        <w:rPr>
          <w:rFonts w:ascii="Times New Roman" w:hAnsi="Times New Roman" w:cs="Times New Roman"/>
          <w:sz w:val="24"/>
          <w:szCs w:val="24"/>
        </w:rPr>
        <w:t xml:space="preserve"> doboru odpowiedniego złoża </w:t>
      </w:r>
      <w:r w:rsidR="004F1BAC" w:rsidRPr="00E11754">
        <w:rPr>
          <w:rFonts w:ascii="Times New Roman" w:hAnsi="Times New Roman" w:cs="Times New Roman"/>
          <w:sz w:val="24"/>
          <w:szCs w:val="24"/>
        </w:rPr>
        <w:t>do ekstr</w:t>
      </w:r>
      <w:r w:rsidR="09C32CB7" w:rsidRPr="00E11754">
        <w:rPr>
          <w:rFonts w:ascii="Times New Roman" w:hAnsi="Times New Roman" w:cs="Times New Roman"/>
          <w:sz w:val="24"/>
          <w:szCs w:val="24"/>
        </w:rPr>
        <w:t>a</w:t>
      </w:r>
      <w:r w:rsidR="004F1BAC" w:rsidRPr="00E11754">
        <w:rPr>
          <w:rFonts w:ascii="Times New Roman" w:hAnsi="Times New Roman" w:cs="Times New Roman"/>
          <w:sz w:val="24"/>
          <w:szCs w:val="24"/>
        </w:rPr>
        <w:t xml:space="preserve">kcji (C18, HLB), </w:t>
      </w:r>
      <w:r w:rsidR="006E06AE" w:rsidRPr="00E11754">
        <w:rPr>
          <w:rFonts w:ascii="Times New Roman" w:hAnsi="Times New Roman" w:cs="Times New Roman"/>
          <w:sz w:val="24"/>
          <w:szCs w:val="24"/>
        </w:rPr>
        <w:t>modyfikacj</w:t>
      </w:r>
      <w:r w:rsidR="2100169C" w:rsidRPr="00E11754">
        <w:rPr>
          <w:rFonts w:ascii="Times New Roman" w:hAnsi="Times New Roman" w:cs="Times New Roman"/>
          <w:sz w:val="24"/>
          <w:szCs w:val="24"/>
        </w:rPr>
        <w:t>i</w:t>
      </w:r>
      <w:r w:rsidR="006E06AE" w:rsidRPr="00E11754">
        <w:rPr>
          <w:rFonts w:ascii="Times New Roman" w:hAnsi="Times New Roman" w:cs="Times New Roman"/>
          <w:sz w:val="24"/>
          <w:szCs w:val="24"/>
        </w:rPr>
        <w:t xml:space="preserve"> matrycy próbki przed SPE (rozcieńczenie </w:t>
      </w:r>
      <w:r w:rsidR="00A978C8" w:rsidRPr="00E11754">
        <w:rPr>
          <w:rFonts w:ascii="Times New Roman" w:hAnsi="Times New Roman" w:cs="Times New Roman"/>
          <w:sz w:val="24"/>
          <w:szCs w:val="24"/>
        </w:rPr>
        <w:t xml:space="preserve">wodą, </w:t>
      </w:r>
      <w:r w:rsidR="00FB0E1E" w:rsidRPr="00E11754">
        <w:rPr>
          <w:rFonts w:ascii="Times New Roman" w:hAnsi="Times New Roman" w:cs="Times New Roman"/>
          <w:sz w:val="24"/>
          <w:szCs w:val="24"/>
        </w:rPr>
        <w:t>zakwaszenie 0,1 M HCl lub dodaniu</w:t>
      </w:r>
      <w:r w:rsidR="00484402" w:rsidRPr="00E11754">
        <w:rPr>
          <w:rFonts w:ascii="Times New Roman" w:hAnsi="Times New Roman" w:cs="Times New Roman"/>
          <w:sz w:val="24"/>
          <w:szCs w:val="24"/>
        </w:rPr>
        <w:t xml:space="preserve"> 40% siarczanu cynku w wodzie bądź w roztworze HCl) oraz różne odczynniki służące do </w:t>
      </w:r>
      <w:proofErr w:type="spellStart"/>
      <w:r w:rsidR="00484402" w:rsidRPr="00E11754">
        <w:rPr>
          <w:rFonts w:ascii="Times New Roman" w:hAnsi="Times New Roman" w:cs="Times New Roman"/>
          <w:sz w:val="24"/>
          <w:szCs w:val="24"/>
        </w:rPr>
        <w:t>elucji</w:t>
      </w:r>
      <w:proofErr w:type="spellEnd"/>
      <w:r w:rsidR="00484402" w:rsidRPr="00E11754">
        <w:rPr>
          <w:rFonts w:ascii="Times New Roman" w:hAnsi="Times New Roman" w:cs="Times New Roman"/>
          <w:sz w:val="24"/>
          <w:szCs w:val="24"/>
        </w:rPr>
        <w:t xml:space="preserve"> badanych związków (</w:t>
      </w:r>
      <w:proofErr w:type="spellStart"/>
      <w:r w:rsidR="00484402" w:rsidRPr="00E11754">
        <w:rPr>
          <w:rFonts w:ascii="Times New Roman" w:hAnsi="Times New Roman" w:cs="Times New Roman"/>
          <w:sz w:val="24"/>
          <w:szCs w:val="24"/>
        </w:rPr>
        <w:t>MeOH</w:t>
      </w:r>
      <w:proofErr w:type="spellEnd"/>
      <w:r w:rsidR="00484402" w:rsidRPr="00E11754">
        <w:rPr>
          <w:rFonts w:ascii="Times New Roman" w:hAnsi="Times New Roman" w:cs="Times New Roman"/>
          <w:sz w:val="24"/>
          <w:szCs w:val="24"/>
        </w:rPr>
        <w:t xml:space="preserve">, mieszanina DCHM:2 propanol (1:1 oraz 2:1, </w:t>
      </w:r>
      <w:r w:rsidR="00484402" w:rsidRPr="02602357">
        <w:rPr>
          <w:rFonts w:ascii="Times New Roman" w:hAnsi="Times New Roman" w:cs="Times New Roman"/>
          <w:i/>
          <w:iCs/>
          <w:sz w:val="24"/>
          <w:szCs w:val="24"/>
        </w:rPr>
        <w:t>v/v</w:t>
      </w:r>
      <w:r w:rsidR="00484402" w:rsidRPr="00E11754">
        <w:rPr>
          <w:rFonts w:ascii="Times New Roman" w:hAnsi="Times New Roman" w:cs="Times New Roman"/>
          <w:sz w:val="24"/>
          <w:szCs w:val="24"/>
        </w:rPr>
        <w:t xml:space="preserve">) a także DCHM:2-propanol:MeOH (2:1:1, </w:t>
      </w:r>
      <w:r w:rsidR="00484402" w:rsidRPr="02602357">
        <w:rPr>
          <w:rFonts w:ascii="Times New Roman" w:hAnsi="Times New Roman" w:cs="Times New Roman"/>
          <w:i/>
          <w:iCs/>
          <w:sz w:val="24"/>
          <w:szCs w:val="24"/>
        </w:rPr>
        <w:t>v/v/v</w:t>
      </w:r>
      <w:r w:rsidR="00484402" w:rsidRPr="00E11754">
        <w:rPr>
          <w:rFonts w:ascii="Times New Roman" w:hAnsi="Times New Roman" w:cs="Times New Roman"/>
          <w:sz w:val="24"/>
          <w:szCs w:val="24"/>
        </w:rPr>
        <w:t>)</w:t>
      </w:r>
      <w:r w:rsidR="006C6CAA" w:rsidRPr="00E11754">
        <w:rPr>
          <w:rFonts w:ascii="Times New Roman" w:hAnsi="Times New Roman" w:cs="Times New Roman"/>
          <w:sz w:val="24"/>
          <w:szCs w:val="24"/>
        </w:rPr>
        <w:t xml:space="preserve">. Przykładowo ustalono, że modyfikacja matrycy próbki przez SPE za pomocą 40% roztworu siarczanu cynku w wodzie jest bardzo efektywna dla próbek moczu (wysoki stopień odzysku </w:t>
      </w:r>
      <w:proofErr w:type="spellStart"/>
      <w:r w:rsidR="006C6CAA" w:rsidRPr="00E11754">
        <w:rPr>
          <w:rFonts w:ascii="Times New Roman" w:hAnsi="Times New Roman" w:cs="Times New Roman"/>
          <w:sz w:val="24"/>
          <w:szCs w:val="24"/>
        </w:rPr>
        <w:t>analitu</w:t>
      </w:r>
      <w:proofErr w:type="spellEnd"/>
      <w:r w:rsidR="006C6CAA" w:rsidRPr="00E11754">
        <w:rPr>
          <w:rFonts w:ascii="Times New Roman" w:hAnsi="Times New Roman" w:cs="Times New Roman"/>
          <w:sz w:val="24"/>
          <w:szCs w:val="24"/>
        </w:rPr>
        <w:t xml:space="preserve"> i oczyszczenia matrycy z substancji interferujących) ale nie może być użyta dla próbek osocza. Wynika to prawdopodobnie z powodu tworzenia soli z oznaczanym związkiem i/lub strącaniem tego kompleksu z białkami</w:t>
      </w:r>
      <w:r w:rsidR="7FED27BB" w:rsidRPr="00E11754">
        <w:rPr>
          <w:rFonts w:ascii="Times New Roman" w:hAnsi="Times New Roman" w:cs="Times New Roman"/>
          <w:sz w:val="24"/>
          <w:szCs w:val="24"/>
        </w:rPr>
        <w:t>,</w:t>
      </w:r>
      <w:r w:rsidR="09C32CB7" w:rsidRPr="00E11754">
        <w:rPr>
          <w:rFonts w:ascii="Times New Roman" w:hAnsi="Times New Roman" w:cs="Times New Roman"/>
          <w:sz w:val="24"/>
          <w:szCs w:val="24"/>
        </w:rPr>
        <w:t xml:space="preserve"> co </w:t>
      </w:r>
      <w:r w:rsidR="02602357" w:rsidRPr="02602357">
        <w:rPr>
          <w:rFonts w:ascii="Times New Roman" w:hAnsi="Times New Roman" w:cs="Times New Roman"/>
          <w:sz w:val="24"/>
          <w:szCs w:val="24"/>
        </w:rPr>
        <w:t xml:space="preserve">powoduje nadmierne straty </w:t>
      </w:r>
      <w:proofErr w:type="spellStart"/>
      <w:r w:rsidR="02602357" w:rsidRPr="02602357">
        <w:rPr>
          <w:rFonts w:ascii="Times New Roman" w:hAnsi="Times New Roman" w:cs="Times New Roman"/>
          <w:sz w:val="24"/>
          <w:szCs w:val="24"/>
        </w:rPr>
        <w:t>analitu</w:t>
      </w:r>
      <w:proofErr w:type="spellEnd"/>
      <w:r w:rsidR="09C32CB7" w:rsidRPr="00E11754">
        <w:rPr>
          <w:rFonts w:ascii="Times New Roman" w:hAnsi="Times New Roman" w:cs="Times New Roman"/>
          <w:sz w:val="24"/>
          <w:szCs w:val="24"/>
        </w:rPr>
        <w:t xml:space="preserve"> i obniża jego stopień wiązania</w:t>
      </w:r>
      <w:r w:rsidR="006C6CAA" w:rsidRPr="00E11754">
        <w:rPr>
          <w:rFonts w:ascii="Times New Roman" w:hAnsi="Times New Roman" w:cs="Times New Roman"/>
          <w:sz w:val="24"/>
          <w:szCs w:val="24"/>
        </w:rPr>
        <w:t xml:space="preserve"> się </w:t>
      </w:r>
      <w:r w:rsidR="09C32CB7" w:rsidRPr="00E11754">
        <w:rPr>
          <w:rFonts w:ascii="Times New Roman" w:hAnsi="Times New Roman" w:cs="Times New Roman"/>
          <w:sz w:val="24"/>
          <w:szCs w:val="24"/>
        </w:rPr>
        <w:t>ze złożem SPE</w:t>
      </w:r>
      <w:r w:rsidR="006C6CAA" w:rsidRPr="00E11754">
        <w:rPr>
          <w:rFonts w:ascii="Times New Roman" w:hAnsi="Times New Roman" w:cs="Times New Roman"/>
          <w:sz w:val="24"/>
          <w:szCs w:val="24"/>
        </w:rPr>
        <w:t xml:space="preserve">. Ostatecznie, spośród wszystkich testowanych procedur, </w:t>
      </w:r>
      <w:r w:rsidR="13A8E3F4" w:rsidRPr="00E11754">
        <w:rPr>
          <w:rFonts w:ascii="Times New Roman" w:hAnsi="Times New Roman" w:cs="Times New Roman"/>
          <w:sz w:val="24"/>
          <w:szCs w:val="24"/>
        </w:rPr>
        <w:t>w przypadku próbek osocza</w:t>
      </w:r>
      <w:r w:rsidR="006C6CAA" w:rsidRPr="00E11754">
        <w:rPr>
          <w:rFonts w:ascii="Times New Roman" w:hAnsi="Times New Roman" w:cs="Times New Roman"/>
          <w:sz w:val="24"/>
          <w:szCs w:val="24"/>
        </w:rPr>
        <w:t xml:space="preserve"> najlepsze rezultaty otrzymano po </w:t>
      </w:r>
      <w:r w:rsidR="13A8E3F4" w:rsidRPr="00E11754">
        <w:rPr>
          <w:rFonts w:ascii="Times New Roman" w:hAnsi="Times New Roman" w:cs="Times New Roman"/>
          <w:sz w:val="24"/>
          <w:szCs w:val="24"/>
        </w:rPr>
        <w:t>modyfikacji matrycy próbki przez SPE za pomocą 0,1 M kwasu solnego, a w przypadku moczu - 40 % wodnym roztworem siarczanu cynku. Na</w:t>
      </w:r>
      <w:r w:rsidR="006C6CAA" w:rsidRPr="00E11754">
        <w:rPr>
          <w:rFonts w:ascii="Times New Roman" w:hAnsi="Times New Roman" w:cs="Times New Roman"/>
          <w:sz w:val="24"/>
          <w:szCs w:val="24"/>
        </w:rPr>
        <w:t xml:space="preserve">stępnie, przeprowadzenie SPE ze złożem HLB, przemyciu złoża wodą oraz </w:t>
      </w:r>
      <w:r w:rsidR="13A8E3F4" w:rsidRPr="00E11754">
        <w:rPr>
          <w:rFonts w:ascii="Times New Roman" w:hAnsi="Times New Roman" w:cs="Times New Roman"/>
          <w:sz w:val="24"/>
          <w:szCs w:val="24"/>
        </w:rPr>
        <w:t>zastosowanie</w:t>
      </w:r>
      <w:r w:rsidR="006C6CAA" w:rsidRPr="00E11754">
        <w:rPr>
          <w:rFonts w:ascii="Times New Roman" w:hAnsi="Times New Roman" w:cs="Times New Roman"/>
          <w:sz w:val="24"/>
          <w:szCs w:val="24"/>
        </w:rPr>
        <w:t xml:space="preserve"> mieszaniny DCHM z 2-propanolem i </w:t>
      </w:r>
      <w:proofErr w:type="spellStart"/>
      <w:r w:rsidR="006C6CAA" w:rsidRPr="00E11754">
        <w:rPr>
          <w:rFonts w:ascii="Times New Roman" w:hAnsi="Times New Roman" w:cs="Times New Roman"/>
          <w:sz w:val="24"/>
          <w:szCs w:val="24"/>
        </w:rPr>
        <w:t>MeOH</w:t>
      </w:r>
      <w:proofErr w:type="spellEnd"/>
      <w:r w:rsidR="006C6CAA" w:rsidRPr="00E11754">
        <w:rPr>
          <w:rFonts w:ascii="Times New Roman" w:hAnsi="Times New Roman" w:cs="Times New Roman"/>
          <w:sz w:val="24"/>
          <w:szCs w:val="24"/>
        </w:rPr>
        <w:t xml:space="preserve"> w proporcji (1:1:1, </w:t>
      </w:r>
      <w:r w:rsidR="006C6CAA" w:rsidRPr="02602357">
        <w:rPr>
          <w:rFonts w:ascii="Times New Roman" w:hAnsi="Times New Roman" w:cs="Times New Roman"/>
          <w:i/>
          <w:iCs/>
          <w:sz w:val="24"/>
          <w:szCs w:val="24"/>
        </w:rPr>
        <w:t>v</w:t>
      </w:r>
      <w:r w:rsidR="006C6CAA" w:rsidRPr="00E11754">
        <w:rPr>
          <w:rFonts w:ascii="Times New Roman" w:hAnsi="Times New Roman" w:cs="Times New Roman"/>
          <w:sz w:val="24"/>
          <w:szCs w:val="24"/>
        </w:rPr>
        <w:t>/</w:t>
      </w:r>
      <w:r w:rsidR="006C6CAA" w:rsidRPr="02602357">
        <w:rPr>
          <w:rFonts w:ascii="Times New Roman" w:hAnsi="Times New Roman" w:cs="Times New Roman"/>
          <w:i/>
          <w:iCs/>
          <w:sz w:val="24"/>
          <w:szCs w:val="24"/>
        </w:rPr>
        <w:t>v</w:t>
      </w:r>
      <w:r w:rsidR="006C6CAA" w:rsidRPr="00E11754">
        <w:rPr>
          <w:rFonts w:ascii="Times New Roman" w:hAnsi="Times New Roman" w:cs="Times New Roman"/>
          <w:sz w:val="24"/>
          <w:szCs w:val="24"/>
        </w:rPr>
        <w:t>/</w:t>
      </w:r>
      <w:r w:rsidR="006C6CAA" w:rsidRPr="02602357">
        <w:rPr>
          <w:rFonts w:ascii="Times New Roman" w:hAnsi="Times New Roman" w:cs="Times New Roman"/>
          <w:i/>
          <w:iCs/>
          <w:sz w:val="24"/>
          <w:szCs w:val="24"/>
        </w:rPr>
        <w:t>v</w:t>
      </w:r>
      <w:r w:rsidR="006C6CAA" w:rsidRPr="00E11754">
        <w:rPr>
          <w:rFonts w:ascii="Times New Roman" w:hAnsi="Times New Roman" w:cs="Times New Roman"/>
          <w:sz w:val="24"/>
          <w:szCs w:val="24"/>
        </w:rPr>
        <w:t xml:space="preserve">) do </w:t>
      </w:r>
      <w:proofErr w:type="spellStart"/>
      <w:r w:rsidR="006C6CAA" w:rsidRPr="00E11754">
        <w:rPr>
          <w:rFonts w:ascii="Times New Roman" w:hAnsi="Times New Roman" w:cs="Times New Roman"/>
          <w:sz w:val="24"/>
          <w:szCs w:val="24"/>
        </w:rPr>
        <w:t>elucji</w:t>
      </w:r>
      <w:proofErr w:type="spellEnd"/>
      <w:r w:rsidR="006C6CAA" w:rsidRPr="00E11754">
        <w:rPr>
          <w:rFonts w:ascii="Times New Roman" w:hAnsi="Times New Roman" w:cs="Times New Roman"/>
          <w:sz w:val="24"/>
          <w:szCs w:val="24"/>
        </w:rPr>
        <w:t xml:space="preserve"> </w:t>
      </w:r>
      <w:proofErr w:type="spellStart"/>
      <w:r w:rsidR="006C6CAA" w:rsidRPr="00E11754">
        <w:rPr>
          <w:rFonts w:ascii="Times New Roman" w:hAnsi="Times New Roman" w:cs="Times New Roman"/>
          <w:sz w:val="24"/>
          <w:szCs w:val="24"/>
        </w:rPr>
        <w:t>analitów</w:t>
      </w:r>
      <w:proofErr w:type="spellEnd"/>
      <w:r w:rsidR="006C6CAA" w:rsidRPr="00E11754">
        <w:rPr>
          <w:rFonts w:ascii="Times New Roman" w:hAnsi="Times New Roman" w:cs="Times New Roman"/>
          <w:sz w:val="24"/>
          <w:szCs w:val="24"/>
        </w:rPr>
        <w:t xml:space="preserve"> ze złoża. Wydajność tego procesu dla </w:t>
      </w:r>
      <w:proofErr w:type="spellStart"/>
      <w:r w:rsidR="006C6CAA" w:rsidRPr="00E11754">
        <w:rPr>
          <w:rFonts w:ascii="Times New Roman" w:hAnsi="Times New Roman" w:cs="Times New Roman"/>
          <w:sz w:val="24"/>
          <w:szCs w:val="24"/>
        </w:rPr>
        <w:t>epirubicyny</w:t>
      </w:r>
      <w:proofErr w:type="spellEnd"/>
      <w:r w:rsidR="006C6CAA" w:rsidRPr="00E11754">
        <w:rPr>
          <w:rFonts w:ascii="Times New Roman" w:hAnsi="Times New Roman" w:cs="Times New Roman"/>
          <w:sz w:val="24"/>
          <w:szCs w:val="24"/>
        </w:rPr>
        <w:t xml:space="preserve"> wynosiła 100,7 % dla prób osocza, natomiast </w:t>
      </w:r>
      <w:r w:rsidR="006C6CAA" w:rsidRPr="00E11754">
        <w:rPr>
          <w:rFonts w:ascii="Times New Roman" w:hAnsi="Times New Roman" w:cs="Times New Roman"/>
          <w:sz w:val="24"/>
          <w:szCs w:val="24"/>
        </w:rPr>
        <w:lastRenderedPageBreak/>
        <w:t>dla moczu była na poziomie</w:t>
      </w:r>
      <w:r w:rsidR="13A8E3F4" w:rsidRPr="00E11754">
        <w:rPr>
          <w:rFonts w:ascii="Times New Roman" w:hAnsi="Times New Roman" w:cs="Times New Roman"/>
          <w:sz w:val="24"/>
          <w:szCs w:val="24"/>
        </w:rPr>
        <w:t xml:space="preserve"> 95,6 %. Po raz pierwszy zaproponowano modyfikację matrycy próbki przed SPE za pomocą 0,1 M HCl (osocze) bądź 40% </w:t>
      </w:r>
      <w:r w:rsidR="2C092957" w:rsidRPr="00E11754">
        <w:rPr>
          <w:rFonts w:ascii="Times New Roman" w:hAnsi="Times New Roman" w:cs="Times New Roman"/>
          <w:sz w:val="24"/>
          <w:szCs w:val="24"/>
        </w:rPr>
        <w:t xml:space="preserve">wodnego roztworu siarczanu cynku, co poniosło efektywność ekstrakcji i pozwoliło zredukować wymaganą objętość próbki do 0,25 ml dla osocza i 0,5 ml dla moczu, które są niższe niż opublikowane dla wcześniej </w:t>
      </w:r>
      <w:r w:rsidR="2506C974" w:rsidRPr="2506C974">
        <w:rPr>
          <w:rFonts w:ascii="Times New Roman" w:hAnsi="Times New Roman" w:cs="Times New Roman"/>
          <w:sz w:val="24"/>
          <w:szCs w:val="24"/>
        </w:rPr>
        <w:t>opracowanych</w:t>
      </w:r>
      <w:r w:rsidR="2C092957" w:rsidRPr="00E11754">
        <w:rPr>
          <w:rFonts w:ascii="Times New Roman" w:hAnsi="Times New Roman" w:cs="Times New Roman"/>
          <w:sz w:val="24"/>
          <w:szCs w:val="24"/>
        </w:rPr>
        <w:t xml:space="preserve"> procedur przygotowania prób do analizy LC</w:t>
      </w:r>
      <w:r w:rsidR="00721029">
        <w:rPr>
          <w:rFonts w:ascii="Times New Roman" w:hAnsi="Times New Roman" w:cs="Times New Roman"/>
          <w:sz w:val="24"/>
          <w:szCs w:val="24"/>
        </w:rPr>
        <w:t xml:space="preserve"> </w:t>
      </w:r>
      <w:r w:rsidR="00CF6DD2">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{"citationItems":[{"id":"ITEM-1","itemData":{"DOI":"10.1007/BF00262773","ISSN":"03445704","PMID":"3162848","abstract":"A specific, sensitive and reliable HPLC method for the determination of doxorubicin (DX), epirubicin (epiDX) and their known fluorescent metabolites [doxorubicinol (DXol), epirubicinol (epiDXol) 7-deoxy-adriamycinone (metabolite C), adriamycinone (metabolite D), 7-deoxy-13-dihydro-adriamycinone (metabolite E), 13-dihydro-adriamycinone (metabolite F), 4'-O-β-d-glucuronyl-4'-epiDX (metabolite G) and 4'-O-β-d-glucuronly 13-dihydro-4'-epiDX (metabolite H)] in biological fluids (human plasma, bile and urine) has been developed and tested. Plasma samples were solid-phase-extracted (C18-bonded silica cartridges). Urine and bile samples were injected directly after the addition of the internal standard and dilution with 0.3 M phosphoric acid. Complete separation of unchanged drugs and metabolites was achieved with a mobile phase consisting of 75.6% 10 m M KH2PO4 and 24.4% CH3CN (the pH of the solution was adjusted to 4.3 with 0.03 M H3PO4) at a flow rate of 1.5 ml/min. For the analyses we used a cyanopropyl chromatographic column (25 cmx4.6 mm i.d.; particle size 5 μm) and fluorescence detection with excitation wavelength set at 470 nm and emission at 580 nm. Sensitivity was better than 0.3 ng/ml for all substances analysed. The mean absolute recovery of unchanged drugs and metabolites was between 88.3% (metabolite E) and 98.92% (metabolite G). Intraand interassay precisions (plasma samples) were better than 10.6% and 13.0%. © 1988 Springer-Verlag.","author":[{"dropping-particle":"","family":"Camaggi","given":"Carlo M.","non-dropping-particle":"","parse-names":false,"suffix":""},{"dropping-particle":"","family":"Comparsi","given":"Raffaella","non-dropping-particle":"","parse-names":false,"suffix":""},{"dropping-particle":"","family":"Strocchi","given":"Elena","non-dropping-particle":"","parse-names":false,"suffix":""},{"dropping-particle":"","family":"Testoni","given":"Fabio","non-dropping-particle":"","parse-names":false,"suffix":""},{"dropping-particle":"","family":"Pannuti","given":"Franco","non-dropping-particle":"","parse-names":false,"suffix":""}],"container-title":"Cancer Chemotherapy and Pharmacology","id":"ITEM-1","issue":"3","issued":{"date-parts":[["1988"]]},"page":"216-220","title":"HPLC analysis of doxorubicin, epirubicin and fluorescent metabolites in biological fluids","type":"article-journal","volume":"21"},"uris":["http://www.mendeley.com/documents/?uuid=3d70ba7e-0b26-4dfd-802b-6d8b1247b438"]},{"id":"ITEM-2","itemData":{"DOI":"10.1016/j.jchromb.2009.08.054","ISSN":"15700232","PMID":"19783235","abstract":"Drug Eluting Microsphere-Transarterial Chemoembolization (DEM-TACE) is a new delivery system to administrate drugs in a controlled manner useful for application in the chemoembolization of colorectal cancer metastases to the liver. DEM-TACE is focused to obtain higher concentrations of the drug to the tumor with lower systemic concentrations than traditional cancer chemotherapy. Therefore a specific, precise and sensitive LC-ESI-MS/MS assay procedure was properly designed to detect and quantify epirubicin at the concentrations expected from a transarterial chemoembolization with microspheres. Serum samples were kept acidic (pH approximately of 3.5) and sample preparation consisted of a solid phase extraction (SPE) procedure with HLB OASIS® cartridges using a methylene chloride/2-propanol/methanol mixture solution to recover epirubicin. The analyses consisted of reversed-phase high-performance liquid chromatography (rp-HPLC) coupled with tandem mass spectrometry (MS/MS). Accuracy, precision and matrix effect of this procedure were carried out by analyzing four quality control samples (QCs) on five separate days. The validation parameters were assessed by recovery studies of spiked serum samples. Recoveries were found to vary between 92 and 98% at the QC levels (5, 40, 80 and 150 μg/L) with relative standard deviation (RSD) always less than 3.7%. The limit of detection (LOD) was set at 1 μg/L. The developed procedure has been also applied to investigate the different capability of two types of commercially available microspheres to release epirubicin into the human circulatory system. © 2009 Elsevier B.V. All rights reserved.","author":[{"dropping-particle":"","family":"Sottani","given":"Cristina","non-dropping-particle":"","parse-names":false,"suffix":""},{"dropping-particle":"","family":"Leoni","given":"Emanuela","non-dropping-particle":"","parse-names":false,"suffix":""},{"dropping-particle":"","family":"Porro","given":"Benedetta","non-dropping-particle":"","parse-names":false,"suffix":""},{"dropping-particle":"","family":"Montagna","given":"Benedetta","non-dropping-particle":"","parse-names":false,"suffix":""},{"dropping-particle":"","family":"Amatu","given":"Alessio","non-dropping-particle":"","parse-names":false,"suffix":""},{"dropping-particle":"","family":"Sottotetti","given":"Federico","non-dropping-particle":"","parse-names":false,"suffix":""},{"dropping-particle":"","family":"Quaretti","given":"Pietro","non-dropping-particle":"","parse-names":false,"suffix":""},{"dropping-particle":"","family":"Poggi","given":"Guido","non-dropping-particle":"","parse-names":false,"suffix":""},{"dropping-particle":"","family":"Minoia","given":"Claudio","non-dropping-particle":"","parse-names":false,"suffix":""}],"container-title":"Journal of Chromatography B: Analytical Technologies in the Biomedical and Life Sciences","id":"ITEM-2","issue":"29","issued":{"date-parts":[["2009"]]},"page":"3543-3548","title":"Validation of an LC-MS/MS method for the determination of epirubicin in human serum of patients undergoing Drug Eluting Microsphere-Transarterial Chemoembolization (DEM-TACE)","type":"article-journal","volume":"877"},"uris":["http://www.mendeley.com/documents/?uuid=266cdb72-871c-4062-a7af-053960bdc7f2"]},{"id":"ITEM-3","itemData":{"DOI":"10.1097/00007691-200308000-00003","ISSN":"01634356","PMID":"12883225","abstract":"We present a high-performance liquid chromatography (HPLC) method suitable for the analysis of epirubicin and its metabolite epirubicinol in saliva and plasma. Preparation of saliva and plasma samples was performed by extraction of analytes with a chloroform: 2-propanol mixture (6:1, vol/vol) and evaporation of the organic phase to dryness under vacuum at a temperature of approximately 45°C. The chromatographic analysis was carried out by reversed-phase isocratic elution of the anthracyclines with a Chromsep stainless steel HPLC column (150 x 4.6 mm I.D.) filled with Nucleosil 100 S C18 material, particle size 5 μm. The detection was accomplished by spectrofluorimetry at excitation and emission wavelengths of 474 and 551 nm, respectively. The anthracyclines eluted within 10 min of injection, and the method appeared to be specific. The method is linear over a concentration range of 5 to 1000 μg/L for epirubicin and 2 to 400 μg/L for epirubicinol (r &gt; 0.99) in both saliva and plasma. The recoveries from saliva and plasma of epirubicin, epirubicinol, and the internal standard doxorubicin were 88.9 and 69.0%, 87.6 and 77.3%, and 80 and 67.9%, respectively. The lower limit of quantification was 5 μg/L for epirubicin and 2 μg/L for epirubicinol. The method proved to be precise and accurate, as the within-day and between-day coefficients of variation were less than 10%. Overall results indicate that our method is suitable for the bioanalysis of epirubicin and epirubicinol in saliva as well as plasma.","author":[{"dropping-particle":"","family":"Dodde","given":"Wilma I.W.","non-dropping-particle":"","parse-names":false,"suffix":""},{"dropping-particle":"","family":"Maring","given":"Jan Gerard","non-dropping-particle":"","parse-names":false,"suffix":""},{"dropping-particle":"","family":"Hendriks","given":"Gert","non-dropping-particle":"","parse-names":false,"suffix":""},{"dropping-particle":"","family":"Wachters","given":"Floris M.","non-dropping-particle":"","parse-names":false,"suffix":""},{"dropping-particle":"","family":"Groen","given":"Harry J.M.","non-dropping-particle":"","parse-names":false,"suffix":""},{"dropping-particle":"","family":"Vries","given":"Elisabeth G.E.","non-dropping-particle":"De","parse-names":false,"suffix":""},{"dropping-particle":"","family":"Uges","given":"Donald R.A.","non-dropping-particle":"","parse-names":false,"suffix":""}],"container-title":"Therapeutic Drug Monitoring","id":"ITEM-3","issue":"4","issued":{"date-parts":[["2003"]]},"page":"433-440","title":"Determination of epirubicin and its metabolite epirubicinol in saliva and plasma by HPLC","type":"article-journal","volume":"25"},"uris":["http://www.mendeley.com/documents/?uuid=ae04d002-dba4-4093-9002-154d6d6bae90"]},{"id":"ITEM-4","itemData":{"DOI":"10.1016/j.jchromb.2009.09.044","ISSN":"15700232","PMID":"19828385","abstract":"A quantitative HPLC method with fluorescence detection has been developed for the simultaneous determination of four anthracyclines (doxorubicin, epirubicin, daunorubicin and idarubicin) and their respective 13-S-dihydro metabolites (doxorubicinol, epirubicinol, daunorubicinol and idarubicinol) in plasma and saliva, using epidaunorubicin as internal standard. A progressive optimization matrix led to a two-step extraction based on a protein precipitation with ethanol followed by a liquid-liquid extraction with dichloromethane after pH adjustment to 8.5. The chromatographic separation was performed in 14 min on a C18 column, applying gradient elution with a mixture of 0.1% formic acid in water and 0.1% formic acid in acetonitrile. The analytes were detected and quantified at an excitation and emission wavelength of 480 and 555 nm, respectively. Limit of detection (LOD) and lower limit of quantification (LLOQ) were 0.3 or 0.75, and 1 or 2.5 ng/mL, respectively. Linearity by means of weighted (1/x) regression was obtained from the LLOQ up to 1000 or 2500 ng/mL for the parent drugs and up to 400 or 1000 ng/mL for the metabolites. Intra-assay and inter-assay relative standard deviation values were all less than 14% at low, medium and high levels, and below 17% at the LLOQ. Accuracy ranged between 91 and 113% at low, medium and high concentrations and between 83 and 118% at the LLOQ. Absolute recoveries were between 78 and 88% in plasma, and between 70 and 79% in saliva, respectively. Autosampler, benchtop, freeze-thaw and long-term stability samples fulfilled acceptance criteria. This selective method was applied successfully to the analysis of plasma and saliva samples from patients administered epirubicin intravenously. © 2009 Elsevier B.V. All rights reserved.","author":[{"dropping-particle":"","family":"Maudens","given":"Kristof E.","non-dropping-particle":"","parse-names":false,"suffix":""},{"dropping-particle":"","family":"Stove","given":"Christophe P.","non-dropping-particle":"","parse-names":false,"suffix":""},{"dropping-particle":"","family":"Cocquyt","given":"Veronique F J","non-dropping-particle":"","parse-names":false,"suffix":""},{"dropping-particle":"","family":"Denys","given":"Hannelore","non-dropping-particle":"","parse-names":false,"suffix":""},{"dropping-particle":"","family":"Lambert","given":"Willy E.","non-dropping-particle":"","parse-names":false,"suffix":""}],"container-title":"Journal of Chromatography B: Analytical Technologies in the Biomedical and Life Sciences","id":"ITEM-4","issue":"30","issued":{"date-parts":[["2009"]]},"page":"3907-3915","title":"Development and validation of a liquid chromatographic method for the simultaneous determination of four anthracyclines and their respective 13-S-dihydro metabolites in plasma and saliva","type":"article-journal","volume":"877"},"uris":["http://www.mendeley.com/documents/?uuid=ab0d83c5-972a-4e8b-bb30-2aa750d60b9f"]},{"id":"ITEM-5","itemData":{"DOI":"10.1016/0378-4347(91)80485-U","ISSN":"03784347","PMID":"1818055","abstract":"A sensitive and rapid method for measuring epidoxorubicin and its six metabolites by high-performance liquid chromatography using an advanced automated sample processor is described. Plasma samples (1 ml) were extracted using C2 cassettes, and reversed-phase chromatography was performed with an Apex II ODS column. The isocratic mobile phase of acetonitrile-0.019 M NaH2PO4 (pH 4.0) had a flow-rate of 1 ml/min and the fluorescence detector an excitation wavelength of 480 nm with an emission at 580 nm. Linear calibration curves were obtained which were reproducible both within-day and day-to-day (coefficients of variation &lt; 10%). The extraction efficacy of epidoxorubicin was 88% and ranged from 51 to 88% for the metabolites. This method has been successfully applied to measure the plasma levels of these compounds in patients receiving epidoxorubicin over a wide dose range (12-120 mg/m2) and in patients with disturbed liver biochemistry. © 1991.","author":[{"dropping-particle":"","family":"Dobbs","given":"Nicola A.","non-dropping-particle":"","parse-names":false,"suffix":""},{"dropping-particle":"","family":"Twelves","given":"Christopher J.","non-dropping-particle":"","parse-names":false,"suffix":""}],"container-title":"Journal of Chromatography B: Biomedical Sciences and Applications","id":"ITEM-5","issue":"1-2","issued":{"date-parts":[["1991"]]},"page":"211-217","title":"Measurement of epidoxorubicin and its metabolites by high-performance liquid chromatography using an advanced automated sample processor","type":"article-journal","volume":"572"},"uris":["http://www.mendeley.com/documents/?uuid=352e130b-735d-4771-ab9f-84acb750fbb4"]},{"id":"ITEM-6","itemData":{"DOI":"10.1016/j.talanta.2006.10.010","ISSN":"00399140","abstract":"A highly sensitive and selective liquid chromatography-mass spectrometry (LC-MS) method has been developed for the determination of epirubicin in serum and cell specimens using daunorubicin as an internal standard. Using atmospheric pressure chemical ionisation (APCI), the epirubicin metabolites were readily distinguishable by their fragmentation pattern in the mass spectrometer. Selected reaction monitoring (SRM) mode was employed for quantitation of epirubicin and the metabolites. Following extraction, chromatography was performed on a C18 column with a mobile phase consisting of water-acetonitrile-formic acid, pH 3.2, with a flow rate of 200 μl/min. The limit of detection (LOD) and the limit of quantitation (LOQ) of this method in serum were determined to be 1.0 and 2.5 ng/ml, respectively. Linearity of the method was verified over the concentration range of 2.5-2000 ng/ml, with a high correlation coefficient (R2 ≥ 0.998). For the extraction procedure, an aliquot of 500 μl serum, spiked with internal standard, was extracted using a chloroform-2-isopropanol (2:1, v/v) mixture. The method has been applied to the analysis of epirubicin in cancer cell samples and the identification of known and unknown metabolites in clinical trial patient serum samples. © 2006 Elsevier B.V. All rights reserved.","author":[{"dropping-particle":"","family":"Wall","given":"Rachel","non-dropping-particle":"","parse-names":false,"suffix":""},{"dropping-particle":"","family":"McMahon","given":"Gillian","non-dropping-particle":"","parse-names":false,"suffix":""},{"dropping-particle":"","family":"Crown","given":"John","non-dropping-particle":"","parse-names":false,"suffix":""},{"dropping-particle":"","family":"Clynes","given":"Martin","non-dropping-particle":"","parse-names":false,"suffix":""},{"dropping-particle":"","family":"O'Connor","given":"Robert","non-dropping-particle":"","parse-names":false,"suffix":""}],"container-title":"Talanta","id":"ITEM-6","issue":"1","issued":{"date-parts":[["2007"]]},"page":"145-154","title":"Rapid and sensitive liquid chromatography-tandem mass spectrometry for the quantitation of epirubicin and identification of metabolites in biological samples","type":"article-journal","volume":"72"},"uris":["http://www.mendeley.com/documents/?uuid=193119d9-9a11-4203-9d2a-3f55413df188"]},{"id":"ITEM-7","itemData":{"DOI":"10.1016/S0378-4347(99)00529-0","ISSN":"13872273","PMID":"10718646","abstract":"A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Applications","id":"ITEM-7","issue":"2","issued":{"date-parts":[["2000"]]},"page":"281-291","title":"Simultaneous determination of four anthracyclines and three metabolites in human serum by liquid chromatography-electrospray mass spectrometry","type":"article-journal","volume":"738"},"uris":["http://www.mendeley.com/documents/?uuid=8a2424d0-b5b2-4229-ad1b-96b4da3a7807"]},{"id":"ITEM-8","itemData":{"DOI":"10.1002/bmc.3684","ISSN":"10990801","PMID":"26762960","abstract":"A fast and easy tailored dispersive solid-phase extraction (d-SPE) procedure has been developed for the determination of 13 cytostatic drugs. Combined with a rapid and simultaneous ultra performance liquid chromatography/tandem mass spectrometry method for residue identification and quantification in urine, it has been fully validated and tested to study a realistic situation in working environment. The target compounds were chosen from the most common classes used in hospitals. The d-SPE adsorbent was obtained mixing Oasis HLB® with C18 and applied to a large volume of sample (10 mL). The electrospray ionization-mass spectrometry acquisition was conducted in a mixed period mode: six acquisition windows were in positive ionization and one in negative (for 5-fluorouracil). The lowest limit of quantification was found at 0.04 μg/L urine for methotrexate. The absolute recovery of cytotoxic drugs was assessed at two concentrations levels and ranged from 67.1% (cytarabine) to 102.3% (etoposide) and from 65.3% (cytarabine) to 101.2% (methotrexate) for the lower and higher levels, respectively, with the relative standard deviation always &lt;12%. This method gives the opportunity to analyze drugs in a wide molecular weight range (from 130 to 853 a.m.u.) and in a complex matrix, such as urine, without losing any of the features that a method intended for trace quantification must have. Copyright © 2016 John Wiley &amp; Sons, Ltd.","author":[{"dropping-particle":"","family":"Fabrizi","given":"Giovanni","non-dropping-particle":"","parse-names":false,"suffix":""},{"dropping-particle":"","family":"Fioretti","given":"Marzia","non-dropping-particle":"","parse-names":false,"suffix":""},{"dropping-particle":"","family":"Mainero Rocca","given":"Lucia","non-dropping-particle":"","parse-names":false,"suffix":""}],"container-title":"Biomedical Chromatography","id":"ITEM-8","issue":"8","issued":{"date-parts":[["2016"]]},"page":"1297-1308","title":"Dispersive solid-phase extraction procedure coupled to UPLC-ESI-MS/MS analysis for the simultaneous determination of thirteen cytotoxic drugs in human urine","type":"article-journal","volume":"30"},"uris":["http://www.mendeley.com/documents/?uuid=e19fd307-dc8b-4fc1-a7fa-2d7f9bf7e261"]},{"id":"ITEM-9","itemData":{"DOI":"10.1016/0731-7085(91)80104-H","ISSN":"07317085","PMID":"1298402","abstract":"A reversed-phase isocratic high-performance liquid chromatographic method is described in which a formal structured procedure was applied to predict the mobi</w:instrText>
      </w:r>
      <w:r w:rsidR="004818CD">
        <w:rPr>
          <w:rFonts w:ascii="Times New Roman" w:hAnsi="Times New Roman" w:cs="Times New Roman" w:hint="eastAsia"/>
          <w:sz w:val="24"/>
          <w:szCs w:val="24"/>
        </w:rPr>
        <w:instrText>le phase composition giving optimal baseline resolution of the clinically important anticancer agents 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-epidoxorubicin (epirubicin), their principal metabolites, and daunorubicin (internal standard). These formal statistical procedures in</w:instrText>
      </w:r>
      <w:r w:rsidR="004818CD">
        <w:rPr>
          <w:rFonts w:ascii="Times New Roman" w:hAnsi="Times New Roman" w:cs="Times New Roman"/>
          <w:sz w:val="24"/>
          <w:szCs w:val="24"/>
        </w:rPr>
        <w:instrText>cluded the simultaneous techniques of solvent selectivity triangle and factorial design for range-finding preliminary studies, followed by use of the modified simplex, a sequential procedure. These were used to select the parameters of organic modifier, buffer strength and pH necessary for use with a Spherisorb ODS 1 column, to achieve optimal separation of eight anthracycline solutes. Ultraviolet and fluorescence detection was used (λex = 254 nm, λem = 560 nm), and the latter gave a low detection limit for doxorubicin in serum of 1 ng ml-1. The optimal mobile phase composition was determined to be acetonitrile-0.06 M Na2 HPO4 containing 0.05% (v/v) triethylamine adjusted to pH 4.6 with 0.03 M citric acid (35:65, v/v). A solid-phase extraction method was developed to enable the selective isolation of anthracyclines by adsorption onto C8 Bond-Elut cartridges, and is based on extraction of serum spiked with a mixture of the anthracycline solutes. The anthracyclines were eluted using acetonitrile-0.2 M Na2 HPO4 containing 0.05% (v/v) triethylamine adjusted to pH 3.6 with 0.1 M citric acid (67.5:32.5, v/v). Reproducible recoveries for doxorubicin (94 ± 8%) and for epirubicin (96 ± 8%) were obtained (n = 5). In particular, recoveries for the 7-deoxyaglycone metabolite (99%) were higher than other extraction methods cited. The solid-phase extraction method described enables rapid and reproducible determinations of these anthracyclines and their metabolites in biological matrices regardless of their disparate physicochemical properties. © 1992.","author":[{"dropping-particle":"","family":"Nicholls","given":"G.","non-dropping-particle":"","parse-names":false,"suffix":""},{"dropping-particle":"","family":"Clark","given":"B. J.","non-dropping-particle":"","parse-names":false,"suffix":""},{"dropping-particle":"","family":"Brown","given":"J. E.","non-dropping-particle":"","parse-names":false,"suffix":""}],"container-title":"Journal of Pharmaceutical and Biomedical Analysis","id":"ITEM-9","issue":"10-12","issued":{"date-parts":[["1992"]]},"page":"949-957","title":"Solid-phase extraction and optimized separation of doxorubicin, epirubicin and their metabolites using reversed-phase high-performance liquid chromatography","type":"article-journal","volume":"10"},"uris":["http://www.mendeley.com/documents/?uuid=d146dded-71cb-4148-b655-5b2a32301582"]},{"id":"ITEM-10","itemData":{"DOI":"10.1097/00007691-199906000-00022","ISSN":"01634356","abstract":"A single high-performance liquid chromatography (HPLC) method, suitable for the analysis of daunorubicin, idarubicin, doxorubicin, epirubicin, and their 13-dihydro metabolites is validated in the present study. Preparation of plasma samples was performed by a first extraction of analytes with a chloroform/1-heptanol mixture (9:1) and reextraction with ortophosphoric acid 0.1 M. The chromatographic analysis was carried out by reversed-phase isocratic elution of anthracyclines with a Supelcosil LC-CN 5 mm column (25 cm x 4.6 mm internal diameter; Supelco) and detection was accomplished by spectrofluorimetry at excitation and emission wavelengths of 480 and 560 nm, respectively. All anthracyclines eluted within 15 minutes of injection and the method appeared to be specific, because the chromatographic assay did not show interferences at the retention time of analytes. The linearity, evaluated over a concentration range of 0.4-10,000 ng/mL, gave regression coefficients better than 0.999, with recoveries of doxorubicin-doxorubicinol and epirubicin-epirubicinol of 67%-109% and 61%-109% respectively, and 93%- 109% for the other compounds. The limits of detection and quantification were 0.4 ng/mL in a 50-mL sample (40 pg/injection) for all anthracyclines tested. The method proved to be precise and accurate, as the within-day and between- day coefficients of variation were less than 10% and the accuracy of the assay was in the range of 91%-107%. Overall results indicate that it is feasible to analyze all the anthracyclines used in clinical practice and their major metabolites with a single optimized method, thereby simplifying their monitoring in chemotherapeutic regimens of cancer patients.","author":[{"dropping-particle":"","family":"Fogli","given":"Stefano","non-dropping-particle":"","parse-names":false,"suffix":""},{"dropping-particle":"","family":"Danesi","given":"Romano","non-dropping-particle":"","parse-names":false,"suffix":""},{"dropping-particle":"","family":"Innocenti","given":"Federico","non-dropping-particle":"","parse-names":false,"suffix":""},{"dropping-particle":"","family":"Paolo","given":"Antonello","non-dropping-particle":"Di","parse-names":false,"suffix":""},{"dropping-particle":"","family":"Bocci","given":"Guido","non-dropping-particle":"","parse-names":false,"suffix":""},{"dropping-particle":"","family":"Barbara","given":"Cecilia","non-dropping-particle":"","parse-names":false,"suffix":""},{"dropping-particle":"","family":"Tacca","given":"Mario","non-dropping-particle":"Del","parse-names":false,"suffix":""}],"container-title":"Therapeutic Drug Monitoring","id":"ITEM-10","issue":"3","issued":{"date-parts":[["1999"]]},"page":"367-375","title":"An improved HPLC method for therapeutic drug monitoring of daunorubicin, idarubicin, doxorubicin, epirubicin, and their 13-dihydro metabolites in human plasma","type":"article-journal","volume":"21"},"uris":["http://www.mendeley.com/documents/?uuid=a35327cf-2860-463c-9627-2e1c15e26f01"]},{"id":"ITEM-11","itemData":{"DOI":"10.1002/rcm.1642","ISSN":"09514198","abstract":"Health-care workers handling antineoplastic agents may be exposed to extremely low doses of these drugs. Very sensitive and specific analytical methods are therefore needed for biological monitoring. The aim of this study was to develop and validate a method for trace level determination of doxorubicin, epirubicin, daunorubicin and idarubicin in human urine, using epi-daunorubicin as an internal standard. Solid-phase extraction (SPE) was used for sample preparation. Urine samples were loaded onto Bond Elut C18 cartridges. The analytes were eluted in methylene chloride/2-propanol (1:1, v/v) and then evaporated to dryness. The residue was reconstituted with the mobile phase prior to high-performance liquid chromatography/tandem mass spectrometry (HPLC/MS/ MS) analysis. Quantitation of each analyte was performed using the multiple reaction monitoring (MRM) method. The urine assay was linear over the range 0.1-2.0 μg/L, with a lower limit of quantification (LLOQ) of 0.10 μg/L for doxorubicin and epirubicin, and 0.03 μg/L for daunorubicin and idarubicin. The respective limits of detection (LODs) were 0.04 and 0.01 μg/L. The precision and accuracy of the assay were determined on three different days. The within-series precision was found to be always less than 13.9% for all the analytes. The overall precision expressed as relative standard deviation (RSD) was always less than 10.6%. The recovery of anthracyclines was assessed at two concentrations of the range tested (0.1 and 2.0 μg/L) and it ranged from 87.7% (daunorubicin) to 102.0% (doxorubicin) and from 79.1% (daunorubicin) to 90.7% (idarubicin) for the lower and the higher level, respectively, with a RSD always less than 9.1%. The uncertainty of the present assay was also evaluated and the combined uncertainty was always less than 20% over all the days of the validation study. This is the first method that makes use of LC/MS/MS for the biological monitoring of occupational exposure to anthracyclines. Copyright © 2004 John Wiley &amp; Sons, Ltd.","author":[{"dropping-particle":"","family":"Sottani","given":"Cristina","non-dropping-particle":"","parse-names":false,"suffix":""},{"dropping-particle":"","family":"Tranfo","given":"Giovanna","non-dropping-particle":"","parse-names":false,"suffix":""},{"dropping-particle":"","family":"Bettinelli","given":"Maurizio","non-dropping-particle":"","parse-names":false,"suffix":""},{"dropping-particle":"","family":"Faranda","given":"Paolo","non-dropping-particle":"","parse-names":false,"suffix":""},{"dropping-particle":"","family":"Spagnoli","given":"Mariangela","non-dropping-particle":"","parse-names":false,"suffix":""},{"dropping-particle":"","family":"Minoia","given":"Claudio","non-dropping-particle":"","parse-names":false,"suffix":""}],"container-title":"Rapid Communications in Mass Spectrometry","id":"ITEM-11","issue":"20","issued":{"date-parts":[["2004"]]},"page":"2426-2436","title":"Trace determination of anthracyclines in urine: A new high-performance liquid chromatography/tandem mass spectrometry method for assessing exposure of hospital personnel","type":"article-journal","volume":"18"},"uris":["http://www.mendeley.com/documents/?uuid=c2101765-022b-47e8-8beb-c12cf909e5b3"]},{"id":"ITEM-12","itemData":{"DOI":"10.1002/rcm","abstract":"We have determined d13C, d2H and d18O isotopic abundances in Andalusian olive oils. In addition, the fatty acid composition and the distribution of isomers at positions 1,3 and 2 of glycerol were determined by 1H and 13C nuclear magnetic resonance (NMR) spectroscopy, respectively. Isotopic results obtained for four series of oil samples extracted from olives harvested in the 2004/05 and 2005/06 seasons are discussed in terms of olive variety, ripeness, geographical origin, fatty acid composition and growing altitude. A distinction was also established between olives grown in irrigated and in dry land by studying selected samples of the previous series and others from the 2005/06, 2006/07, 2007/08 and 2008/09 seasons. The results showed that olive ripeness does not influence the abundance of any of the three isotopes studied. On the other hand, the olive variety influences the abundance of the oxygen and hydrogen isotopes, and also, less markedly, that of carbon. No clear-cut effect of height or latitude on isotope values is observed, probably because the olive variety also changes with height and latitude, thus masking such influences. The oil samples from dryland-grown olives had increased d13C values relative to irrigation-grown olives. In addition, no definite relationship appears to exist between isotope distribution and fatty acid composition. Finally, oil samples from olives harvested in the 2005/06 season in Italy could be distinguished from those from Spain in terms of their isotopic values (d2H mainly). Copyright # 2010 John Wiley &amp; Sons, Ltd.","author":[{"dropping-particle":"","family":"Cristina Sottani, Paola Rinaldi, Emanuela Leoni, Guido Poggi, Cristina Teragni","given":"","non-dropping-particle":"","parse-names":false,"suffix":""},{"dropping-particle":"","family":"Minoia","given":"Angelo Delmonte and Claudio","non-dropping-particle":"","parse-names":false,"suffix":""}],"container-title":"RAPID COMMUNICATIONS IN MASS SPECTROMETRY","id":"ITEM-12","issued":{"date-parts":[["2008"]]},"page":"2645–2659","title":"Simultaneous determination of cyclophosphamide, ifosfamide, doxorubicin, epirubicin and daunorubicin in human urine using high-performance liquid chromatography/electrospray ionization tandem mass spectrometry: bioanalytical method validation","type":"article-journal","volume":"22"},"uris":["http://www.mendeley.com/documents/?uuid=3f42e645-4d3c-462e-ae10-469720fb91f8"]}],"mendeley":{"formattedCitation":"[54], [55], [65], [66], [68], [71]–[74], [76]–[78]","plainTextFormattedCitation":"[54], [55], [65], [66], [68], [71]–[74], [76]–[78]","previouslyFormattedCitation":"[54], [55], [65], [66], [68], [71]–[74], [76]–[78]"},"properties":{"noteIndex":0},"schema":"https://github.com/citation-style-language/schema/raw/master/csl-citation.json"}</w:instrText>
      </w:r>
      <w:r w:rsidR="00CF6DD2">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[54], [55], [65], [66], [68], [71]–[74], [76]–[78]</w:t>
      </w:r>
      <w:r w:rsidR="00CF6DD2">
        <w:rPr>
          <w:rFonts w:ascii="Times New Roman" w:hAnsi="Times New Roman" w:cs="Times New Roman"/>
          <w:sz w:val="24"/>
          <w:szCs w:val="24"/>
        </w:rPr>
        <w:fldChar w:fldCharType="end"/>
      </w:r>
      <w:r w:rsidR="002F7CB4">
        <w:rPr>
          <w:rFonts w:ascii="Times New Roman" w:hAnsi="Times New Roman" w:cs="Times New Roman"/>
          <w:sz w:val="24"/>
          <w:szCs w:val="24"/>
        </w:rPr>
        <w:t xml:space="preserve">. </w:t>
      </w:r>
      <w:r w:rsidR="2C092957" w:rsidRPr="00E11754">
        <w:rPr>
          <w:rFonts w:ascii="Times New Roman" w:hAnsi="Times New Roman" w:cs="Times New Roman"/>
          <w:sz w:val="24"/>
          <w:szCs w:val="24"/>
        </w:rPr>
        <w:t xml:space="preserve"> </w:t>
      </w:r>
    </w:p>
    <w:p w14:paraId="26DE775A" w14:textId="127FC58E" w:rsidR="006C6CAA" w:rsidRPr="00E11754" w:rsidRDefault="006C6CAA" w:rsidP="13A8E3F4">
      <w:pPr>
        <w:autoSpaceDE w:val="0"/>
        <w:autoSpaceDN w:val="0"/>
        <w:adjustRightInd w:val="0"/>
        <w:spacing w:after="0" w:line="360" w:lineRule="auto"/>
        <w:jc w:val="both"/>
        <w:rPr>
          <w:rFonts w:ascii="Times New Roman" w:hAnsi="Times New Roman" w:cs="Times New Roman"/>
          <w:sz w:val="24"/>
          <w:szCs w:val="24"/>
        </w:rPr>
      </w:pPr>
      <w:r w:rsidRPr="00E11754">
        <w:rPr>
          <w:rFonts w:ascii="Times New Roman" w:hAnsi="Times New Roman" w:cs="Times New Roman"/>
          <w:sz w:val="24"/>
          <w:szCs w:val="24"/>
        </w:rPr>
        <w:tab/>
        <w:t>Kolejnym krokiem była walidacja metody analitycznej. W pierwszym etapie potwierdzono selektywność metody (</w:t>
      </w:r>
      <w:r w:rsidR="00E93CD5">
        <w:rPr>
          <w:rFonts w:ascii="Times New Roman" w:hAnsi="Times New Roman" w:cs="Times New Roman"/>
          <w:sz w:val="24"/>
          <w:szCs w:val="24"/>
        </w:rPr>
        <w:t>Fig</w:t>
      </w:r>
      <w:r w:rsidRPr="00E11754">
        <w:rPr>
          <w:rFonts w:ascii="Times New Roman" w:hAnsi="Times New Roman" w:cs="Times New Roman"/>
          <w:sz w:val="24"/>
          <w:szCs w:val="24"/>
        </w:rPr>
        <w:t xml:space="preserve">. </w:t>
      </w:r>
      <w:r w:rsidR="00806492" w:rsidRPr="00E11754">
        <w:rPr>
          <w:rFonts w:ascii="Times New Roman" w:hAnsi="Times New Roman" w:cs="Times New Roman"/>
          <w:sz w:val="24"/>
          <w:szCs w:val="24"/>
        </w:rPr>
        <w:t>1 i 2.</w:t>
      </w:r>
      <w:r w:rsidRPr="00E11754">
        <w:rPr>
          <w:rFonts w:ascii="Times New Roman" w:hAnsi="Times New Roman" w:cs="Times New Roman"/>
          <w:sz w:val="24"/>
          <w:szCs w:val="24"/>
        </w:rPr>
        <w:t xml:space="preserve"> w publikacji</w:t>
      </w:r>
      <w:r w:rsidR="5A1DC5BE" w:rsidRPr="00E11754">
        <w:rPr>
          <w:rFonts w:ascii="Times New Roman" w:hAnsi="Times New Roman" w:cs="Times New Roman"/>
          <w:sz w:val="24"/>
          <w:szCs w:val="24"/>
        </w:rPr>
        <w:t xml:space="preserve"> 2</w:t>
      </w:r>
      <w:r w:rsidRPr="00E11754">
        <w:rPr>
          <w:rFonts w:ascii="Times New Roman" w:hAnsi="Times New Roman" w:cs="Times New Roman"/>
          <w:sz w:val="24"/>
          <w:szCs w:val="24"/>
        </w:rPr>
        <w:t xml:space="preserve">). Liniowość metody dla prób osocza była udowodniona w zakresie 1-1500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a dla moczu 1- 10 000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Wartości LOD oraz LOQ dla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w próbkach osocza i moczu wynosiły odpowiednio </w:t>
      </w:r>
      <w:r w:rsidR="13A8E3F4" w:rsidRPr="00E11754">
        <w:rPr>
          <w:rFonts w:ascii="Times New Roman" w:hAnsi="Times New Roman" w:cs="Times New Roman"/>
          <w:sz w:val="24"/>
          <w:szCs w:val="24"/>
        </w:rPr>
        <w:t xml:space="preserve">0,25 i 0,5 </w:t>
      </w:r>
      <w:proofErr w:type="spellStart"/>
      <w:r w:rsidR="13A8E3F4" w:rsidRPr="00E11754">
        <w:rPr>
          <w:rFonts w:ascii="Times New Roman" w:hAnsi="Times New Roman" w:cs="Times New Roman"/>
          <w:sz w:val="24"/>
          <w:szCs w:val="24"/>
        </w:rPr>
        <w:t>ng</w:t>
      </w:r>
      <w:proofErr w:type="spellEnd"/>
      <w:r w:rsidR="13A8E3F4" w:rsidRPr="00E11754">
        <w:rPr>
          <w:rFonts w:ascii="Times New Roman" w:hAnsi="Times New Roman" w:cs="Times New Roman"/>
          <w:sz w:val="24"/>
          <w:szCs w:val="24"/>
        </w:rPr>
        <w:t>/ml</w:t>
      </w:r>
      <w:r w:rsidRPr="00E11754">
        <w:rPr>
          <w:rFonts w:ascii="Times New Roman" w:hAnsi="Times New Roman" w:cs="Times New Roman"/>
          <w:sz w:val="24"/>
          <w:szCs w:val="24"/>
        </w:rPr>
        <w:t xml:space="preserve"> (Tabela </w:t>
      </w:r>
      <w:r w:rsidR="00552D47" w:rsidRPr="00E11754">
        <w:rPr>
          <w:rFonts w:ascii="Times New Roman" w:hAnsi="Times New Roman" w:cs="Times New Roman"/>
          <w:sz w:val="24"/>
          <w:szCs w:val="24"/>
        </w:rPr>
        <w:t xml:space="preserve">1. </w:t>
      </w:r>
      <w:r w:rsidRPr="00E11754">
        <w:rPr>
          <w:rFonts w:ascii="Times New Roman" w:hAnsi="Times New Roman" w:cs="Times New Roman"/>
          <w:sz w:val="24"/>
          <w:szCs w:val="24"/>
        </w:rPr>
        <w:t>w publikacji 2). Wartości te było niższe względem parametrów uzyskanych dla wcześniej opublikowanych metod chromato</w:t>
      </w:r>
      <w:r w:rsidR="00721029" w:rsidRPr="00E11754">
        <w:rPr>
          <w:rFonts w:ascii="Times New Roman" w:hAnsi="Times New Roman" w:cs="Times New Roman"/>
          <w:sz w:val="24"/>
          <w:szCs w:val="24"/>
        </w:rPr>
        <w:t>graficznych</w:t>
      </w:r>
      <w:r w:rsidR="00721029">
        <w:rPr>
          <w:rFonts w:ascii="Times New Roman" w:hAnsi="Times New Roman" w:cs="Times New Roman"/>
          <w:sz w:val="24"/>
          <w:szCs w:val="24"/>
        </w:rPr>
        <w:t xml:space="preserve"> </w:t>
      </w:r>
      <w:r w:rsidR="00365224">
        <w:rPr>
          <w:rFonts w:ascii="Times New Roman" w:hAnsi="Times New Roman" w:cs="Times New Roman"/>
          <w:sz w:val="24"/>
          <w:szCs w:val="24"/>
        </w:rPr>
        <w:fldChar w:fldCharType="begin" w:fldLock="1"/>
      </w:r>
      <w:r w:rsidR="004818CD">
        <w:rPr>
          <w:rFonts w:ascii="Times New Roman" w:hAnsi="Times New Roman" w:cs="Times New Roman"/>
          <w:sz w:val="24"/>
          <w:szCs w:val="24"/>
        </w:rPr>
        <w:instrText>ADDIN CSL_CITATION {"citationItems":[{"id":"ITEM-1","itemData":{"DOI":"10.1007/BF00262773","ISSN":"03445704","PMID":"3162848","abstract":"A specific, sensitive and reliable HPLC method for the determination of doxorubicin (DX), epirubicin (epiDX) and their known fluorescent metabolites [doxorubicinol (DXol), epirubicinol (epiDXol) 7-deoxy-adriamycinone (metabolite C), adriamycinone (metabolite D), 7-deoxy-13-dihydro-adriamycinone (metabolite E), 13-dihydro-adriamycinone (metabolite F), 4'-O-β-d-glucuronyl-4'-epiDX (metabolite G) and 4'-O-β-d-glucuronly 13-dihydro-4'-epiDX (metabolite H)] in biological fluids (human plasma, bile and urine) has been developed and tested. Plasma samples were solid-phase-extracted (C18-bonded silica cartridges). Urine and bile samples were injected directly after the addition of the internal standard and dilution with 0.3 M phosphoric acid. Complete separation of unchanged drugs and metabolites was achieved with a mobile phase consisting of 75.6% 10 m M KH2PO4 and 24.4% CH3CN (the pH of the solution was adjusted to 4.3 with 0.03 M H3PO4) at a flow rate of 1.5 ml/min. For the analyses we used a cyanopropyl chromatographic column (25 cmx4.6 mm i.d.; particle size 5 μm) and fluorescence detection with excitation wavelength set at 470 nm and emission at 580 nm. Sensitivity was better than 0.3 ng/ml for all substances analysed. The mean absolute recovery of unchanged drugs and metabolites was between 88.3% (metabolite E) and 98.92% (metabolite G). Intraand interassay precisions (plasma samples) were better than 10.6% and 13.0%. © 1988 Springer-Verlag.","author":[{"dropping-particle":"","family":"Camaggi","given":"Carlo M.","non-dropping-particle":"","parse-names":false,"suffix":""},{"dropping-particle":"","family":"Comparsi","given":"Raffaella","non-dropping-particle":"","parse-names":false,"suffix":""},{"dropping-particle":"","family":"Strocchi","given":"Elena","non-dropping-particle":"","parse-names":false,"suffix":""},{"dropping-particle":"","family":"Testoni","given":"Fabio","non-dropping-particle":"","parse-names":false,"suffix":""},{"dropping-particle":"","family":"Pannuti","given":"Franco","non-dropping-particle":"","parse-names":false,"suffix":""}],"container-title":"Cancer Chemotherapy and Pharmacology","id":"ITEM-1","issue":"3","issued":{"date-parts":[["1988"]]},"page":"216-220","title":"HPLC analysis of doxorubicin, epirubicin and fluorescent metabolites in biological fluids","type":"article-journal","volume":"21"},"uris":["http://www.mendeley.com/documents/?uuid=3d70ba7e-0b26-4dfd-802b-6d8b1247b438"]},{"id":"ITEM-2","itemData":{"DOI":"10.1016/0378-4347(96)00030-8","ISSN":"15726495","PMID":"8811443","abstract":"In order to determine epirubicin and its metabolites at low concentrations (&lt; 38 ng/ml) in small plasma samples, a fast reliable method based on a precipitation pre-treatment and sensitive reversed-phase isocratic HPLC has been developed and validated for epirubicin in the range 5-100 ng/ml. The R.S.D. was 5-9% over this concentration range. For human serum containing 25 ng/ml of epirubicin, the inter- and intra-day variation was &lt; 10%. Recoveries of the metabolites epirubicinol, 7-deoxydoxorubicinone and 7-deoxydoxorubicinolone at 20 ng/ml ranged from 94-104%. The assay has been used to study human plasma samples taken during a 96-h infusion of epirubicin in a patient with multiple myeloma. The combined levels of the unseparated metabolites, epirubicin glucuronide and epirubicinol glucuronide, were semiquantitatively determined after treatment with β-glucuronidase. The metabolites epirubicinol and 7-deoxydoxorubicinolone, but not 7-deoxydoxorubicinone, were also detected and measured.","author":[{"dropping-particle":"","family":"Barker","given":"Ian K.","non-dropping-particle":"","parse-names":false,"suffix":""},{"dropping-particle":"","family":"Crawford","given":"S. Michael","non-dropping-particle":"","parse-names":false,"suffix":""},{"dropping-particle":"","family":"Fell","given":"Anthony F.","non-dropping-particle":"","parse-names":false,"suffix":""}],"container-title":"Journal of Chromatography B: Biomedical Applications","id":"ITEM-2","issue":"2","issued":{"date-parts":[["1996"]]},"page":"323-329","title":"Determination of plasma concentrations of epirubicin and its metabolites by high-performance liquid chromatography during a 96-h infusion in cancer chemotherapy","type":"article-journal","volume":"681"},"uris":["http://www.mendeley.com/documents/?uuid=ad692e3b-4ff8-4908-819c-194386926b67"]},{"id":"ITEM-3","itemData":{"DOI":"10.1016/j.aca.2005.04.073","ISSN":"00032670","abstract":"A novel method has been developed for the determination of epirubicin in human plasma by ultra performance liquid chromatography combined with tandem mass spectrometry (UPLC-MS/MS). Epirubicin and internal standard epidaunorubicin were achieved from plasma via solid-phase extraction (SPE) using Oasis HLB cartridge. The analysis was performed on an AcQuity UPLC™ BEH C 18 column (1.7 μm, 50 mm × 1 mm i.d.) utilizing a gradient elution profile and a mobile phase consisting of 0.1% formic acid in water and acetonitrile. The analytes were detected using an electrospray ionization tandem mass spectrometry in positive ion mode with multiple reaction monitoring (MRM). This method combines both advantages of UPLC and MS/MS, producing superior reliability, sensitivity and accuracy to previously published methods. The calibration curve was linear (r2 = 0.998) over the concentration range of 0.50-100.0 ng/ml. The limits of detection (LOD) and quantification (LOQ) for epirubicin were 0.10 and 0.50 ng/ml using 0.2 ml plasma sample, respectively. Recoveries of greater than 89% with intra- and inter-day precision (R.S.D.) less than 12% were obtained at concentrations above the LOQ. The present method has been successfully applied to analyze human plasma samples taken from patients administered epirubicin intravenously. Also, the principal metabolite epirubicinol was detected in all the patient plasma samples under investigation. The proposed method is very rapid, reliable and sensitive, and can be applicable to therapeutical drug monitoring and pharmacokinetic studies of epirubicin. © 2005 Elsevier B.V. All rights reserved.","author":[{"dropping-particle":"","family":"Li","given":"Ruiping","non-dropping-particle":"","parse-names":false,"suffix":""},{"dropping-particle":"","family":"Dong","given":"Lili","non-dropping-particle":"","parse-names":false,"suffix":""},{"dropping-particle":"","family":"Huang","given":"Junxiong","non-dropping-particle":"","parse-names":false,"suffix":""}],"container-title":"Analytica Chimica Acta","id":"ITEM-3","issue":"2","issued":{"date-parts":[["2005"]]},"page":"167-173","title":"Ultra performance liquid chromatography-tandem mass spectrometry for the determination of epirubicin in human plasma","type":"article-journal","volume":"546"},"uris":["http://www.mendeley.com/documents/?uuid=3b71cff3-35e7-4beb-ad21-7eb88efdfe4f"]},{"id":"ITEM-4","itemData":{"DOI":"10.1016/j.jchromb.2009.09.044","ISSN":"15700232","PMID":"19828385","abstract":"A quantitative HPLC method with fluorescence detection has been developed for the simultaneous determination of four anthracyclines (doxorubicin, epirubicin, daunorubicin and idarubicin) and their respective 13-S-dihydro metabolites (doxorubicinol, epirubicinol, daunorubicinol and idarubicinol) in plasma and saliva, using epidaunorubicin as internal standard. A progressive optimization matrix led to a two-step extraction based on a protein precipitation with ethanol followed by a liquid-liquid extraction with dichloromethane after pH adjustment to 8.5. The chromatographic separation was performed in 14 min on a C18 column, applying gradient elution with a mixture of 0.1% formic acid in water and 0.1% formic acid in acetonitrile. The analytes were detected and quantified at an excitation and emission wavelength of 480 and 555 nm, respectively. Limit of detection (LOD) and lower limit of quantification (LLOQ) were 0.3 or 0.75, and 1 or 2.5 ng/mL, respectively. Linearity by means of weighted (1/x) regression was obtained from the LLOQ up to 1000 or 2500 ng/mL for the parent drugs and up to 400 or 1000 ng/mL for the metabolites. Intra-assay and inter-assay relative standard deviation values were all less than 14% at low, medium and high levels, and below 17% at the LLOQ. Accuracy ranged between 91 and 113% at low, medium and high concentrations and between 83 and 118% at the LLOQ. Absolute recoveries were between 78 and 88% in plasma, and between 70 and 79% in saliva, respectively. Autosampler, benchtop, freeze-thaw and long-term stability samples fulfilled acceptance criteria. This selective method was applied successfully to the analysis of plasma and saliva samples from patients administered epirubicin intravenously. © 2009 Elsevier B.V. All rights reserved.","author":[{"dropping-particle":"","family":"Maudens","given":"Kristof E.","non-dropping-particle":"","parse-names":false,"suffix":""},{"dropping-particle":"","family":"Stove","given":"Christophe P.","non-dropping-particle":"","parse-names":false,"suffix":""},{"dropping-particle":"","family":"Cocquyt","given":"Veronique F J","non-dropping-particle":"","parse-names":false,"suffix":""},{"dropping-particle":"","family":"Denys","given":"Hannelore","non-dropping-particle":"","parse-names":false,"suffix":""},{"dropping-particle":"","family":"Lambert","given":"Willy E.","non-dropping-particle":"","parse-names":false,"suffix":""}],"container-title":"Journal of Chromatography B: Analytical Technologies in the Biomedical and Life Sciences","id":"ITEM-4","issue":"30","issued":{"date-parts":[["2009"]]},"page":"3907-3915","title":"Development and validation of a liquid chromatographic method for the simultaneous determination of four anthracyclines and their respective 13-S-dihydro metabolites in plasma and saliva","type":"article-journal","volume":"877"},"uris":["http://www.mendeley.com/documents/?uuid=ab0d83c5-972a-4e8b-bb30-2aa750d60b9f"]},{"id":"ITEM-5","itemData":{"DOI":"10.1016/0378-4347(91)80485-U","ISSN":"03784347","PMID":"1818055","abstract":"A sensitive and rapid method for measuring epidoxorubicin and its six metabolites by high-performance liquid chromatography using an advanced automated sample processor is described. Plasma samples (1 ml) were extracted using C2 cassettes, and reversed-phase chromatography was performed with an Apex II ODS column. The isocratic mobile phase of acetonitrile-0.019 M NaH2PO4 (pH 4.0) had a flow-rate of 1 ml/min and the fluorescence detector an excitation wavelength of 480 nm with an emission at 580 nm. Linear calibration curves were obtained which were reproducible both within-day and day-to-day (coefficients of variation &lt; 10%). The extraction efficacy of epidoxorubicin was 88% and ranged from 51 to 88% for the metabolites. This method has been successfully applied to measure the plasma levels of these compounds in patients receiving epidoxorubicin over a wide dose range (12-120 mg/m2) and in patients with disturbed liver biochemistry. © 1991.","author":[{"dropping-particle":"","family":"Dobbs","given":"Nicola A.","non-dropping-particle":"","parse-names":false,"suffix":""},{"dropping-particle":"","family":"Twelves","given":"Christopher J.","non-dropping-particle":"","parse-names":false,"suffix":""}],"container-title":"Journal of Chromatography B: Biomedical Sciences and Applications","id":"ITEM-5","issue":"1-2","issued":{"date-parts":[["1991"]]},"page":"211-217","title":"Measurement of epidoxorubicin and its metabolites by high-performance liquid chromatography using an advanced automated sample processor","type":"article-journal","volume":"572"},"uris":["http://www.mendeley.com/documents/?uuid=352e130b-735d-4771-ab9f-84acb750fbb4"]},{"id":"ITEM-6","itemData":{"DOI":"10.1002/bmc.1130040103","ISSN":"10990801","PMID":"2310837","abstract":"A rapid sensitive and selective isocratic technique was developed f</w:instrText>
      </w:r>
      <w:r w:rsidR="004818CD">
        <w:rPr>
          <w:rFonts w:ascii="Times New Roman" w:hAnsi="Times New Roman" w:cs="Times New Roman" w:hint="eastAsia"/>
          <w:sz w:val="24"/>
          <w:szCs w:val="24"/>
        </w:rPr>
        <w:instrText>or the analysis of plasma epirubicin and three of its known fluorescent metabolites epirubicinol,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epidoxorubicin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O</w:instrText>
      </w:r>
      <w:r w:rsidR="004818CD">
        <w:rPr>
          <w:rFonts w:ascii="Times New Roman" w:hAnsi="Times New Roman" w:cs="Times New Roman" w:hint="eastAsia"/>
          <w:sz w:val="24"/>
          <w:szCs w:val="24"/>
        </w:rPr>
        <w:instrText>‐β‐</w:instrText>
      </w:r>
      <w:r w:rsidR="004818CD">
        <w:rPr>
          <w:rFonts w:ascii="Times New Roman" w:hAnsi="Times New Roman" w:cs="Times New Roman" w:hint="eastAsia"/>
          <w:sz w:val="24"/>
          <w:szCs w:val="24"/>
        </w:rPr>
        <w:instrText>D</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glucuronyl 1,3</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dihydro</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epidoxorubicin, with daunorubicin as an internal standard, by using high performance liquid chromatography (HPLC) with fluorescence detection and a </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Hypersil ODS</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 column. The drugs were easily and efficiently extracted with a Sep</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Pak C18 cartridge and the mean recoveries were greater than 85%. Intraassay and Interassay coefficients o</w:instrText>
      </w:r>
      <w:r w:rsidR="004818CD">
        <w:rPr>
          <w:rFonts w:ascii="Times New Roman" w:hAnsi="Times New Roman" w:cs="Times New Roman"/>
          <w:sz w:val="24"/>
          <w:szCs w:val="24"/>
        </w:rPr>
        <w:instrText>f variation (plasma samples) were better than 8.25%. An example of pharmacokinetic study obtained in a cancer patient after intravenous injection of epirubicine is described. Copyright © 1990 John Wiley &amp; Sons, Ltd.","author":[{"dropping-particle":"","family":"Dine","given":"T.","non-dropping-particle":"","parse-names":false,"suffix":""},{"dropping-particle":"","family":"Brunet","given":"C.","non-dropping-particle":"","parse-names":false,"suffix":""},{"dropping-particle":"","family":"Luyckx","given":"M.","non-dropping-particle":"","parse-names":false,"suffix":""},{"dropping-particle":"","family":"Cazin","given":"M.","non-dropping-particle":"","parse-names":false,"suffix":""},{"dropping-particle":"","family":"Gosselin","given":"P.","non-dropping-particle":"","parse-names":false,"suffix":""},{"dropping-particle":"","family":"Cazin","given":"J. L.","non-dropping-particle":"","parse-names":false,"suffix":""}],"container-title":"Biomedical Chromatography","id":"ITEM-6","issue":"1","issued":{"date-parts":[["1990"]]},"page":"20-23","title":"Rapid quantitative determination of epirubicin and its metabolites in plasma using high performance liquid chromatography and fluorescence detection","type":"article-journal","volume":"4"},"uris":["http://www.mendeley.com/documents/?uuid=b79a8003-a681-4b27-9a46-161c3eee448a"]},{"id":"ITEM-7","itemData":{"DOI":"10.1016/j.talanta.2006.10.010","ISSN":"00399140","abstract":"A highly sensitive and selective liquid chromatography-mass spectrometry (LC-MS) method has been developed for the determination of epirubicin in serum and cell specimens using daunorubicin as an internal standard. Using atmospheric pressure chemical ionisation (APCI), the epirubicin metabolites were readily distinguishable by their fragmentation pattern in the mass spectrometer. Selected reaction monitoring (SRM) mode was employed for quantitation of epirubicin and the metabolites. Following extraction, chromatography was performed on a C18 column with a mobile phase consisting of water-acetonitrile-formic acid, pH 3.2, with a flow rate of 200 μl/min. The limit of detection (LOD) and the limit of quantitation (LOQ) of this method in serum were determined to be 1.0 and 2.5 ng/ml, respectively. Linearity of the method was verified over the concentration range of 2.5-2000 ng/ml, with a high correlation coefficient (R2 ≥ 0.998). For the extraction procedure, an aliquot of 500 μl serum, spiked with internal standard, was extracted using a chloroform-2-isopropanol (2:1, v/v) mixture. The method has been applied to the analysis of epirubicin in cancer cell samples and the identification of known and unknown metabolites in clinical trial patient serum samples. © 2006 Elsevier B.V. All rights reserved.","author":[{"dropping-particle":"","family":"Wall","given":"Rachel","non-dropping-particle":"","parse-names":false,"suffix":""},{"dropping-particle":"","family":"McMahon","given":"Gillian","non-dropping-particle":"","parse-names":false,"suffix":""},{"dropping-particle":"","family":"Crown","given":"John","non-dropping-particle":"","parse-names":false,"suffix":""},{"dropping-particle":"","family":"Clynes","given":"Martin","non-dropping-particle":"","parse-names":false,"suffix":""},{"dropping-particle":"","family":"O'Connor","given":"Robert","non-dropping-particle":"","parse-names":false,"suffix":""}],"container-title":"Talanta","id":"ITEM-7","issue":"1","issued":{"date-parts":[["2007"]]},"page":"145-154","title":"Rapid and sensitive liquid chromatography-tandem mass spectrometry for the quantitation of epirubicin and identification of metabolites in biological samples","type":"article-journal","volume":"72"},"uris":["http://www.mendeley.com/documents/?uuid=193119d9-9a11-4203-9d2a-3f55413df188"]},{"id":"ITEM-8","itemData":{"DOI":"10.1016/S0378-4347(99)00529-0","ISSN":"13872273","PMID":"10718646","abstract":"A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Applications","id":"ITEM-8","issue":"2","issued":{"date-parts":[["2000"]]},"page":"281-291","title":"Simultaneous determination of four anthracyclines and three metabolites in human serum by liquid chromatography-electrospray mass spectrometry","type":"article-journal","volume":"738"},"uris":["http://www.mendeley.com/documents/?uuid=8a2424d0-b5b2-4229-ad1b-96b4da3a7807"]},{"id":"ITEM-9","itemData":{"DOI":"10.1002/jssc.201000026","ISSN":"16159314","PMID":"20437415","abstract":"An online SPE-LC method that can determine both anthracyclines and taxanes simultaneously in human serum samples is reported. The entire method of extraction, separation and UV detection was achieved online by column switching between an SPE column (Biotrap 500 (20 x 4 mm)) and an analytical column (Zorbax XDB C18, 150 x 4.6 mm, 5 μm) with a 23 min total cycle time. The method is linear (r2&gt;0.998) over the range of 0.5-25 μg/mL. The analytes of interest are retained on the SPE column with good recovery (84-117%), while proteins and other serum components elute to waste. This online cleanup is much faster (150 s) and less manual than traditional off-line extraction methods. Using 0.1 mL spiked serum samples, the LOQ was 0.5 μg/mL. Intra- and inter-day precision were acceptable (≤15% RSD) at and above the LOQ. The method was applied to the analysis of serum samples from patients undergoing chemotherapy with these agents. © 2010 Wiley-VCH Verlag GmbH &amp; Co. KGaA.","author":[{"dropping-particle":"","family":"Bermingham","given":"Shane","non-dropping-particle":"","parse-names":false,"suffix":""},{"dropping-particle":"","family":"O'Connor","given":"Robert","non-dropping-particle":"","parse-names":false,"suffix":""},{"dropping-particle":"","family":"Regan","given":"Fiona","non-dropping-particle":"","parse-names":false,"suffix":""},{"dropping-particle":"","family":"McMahon","given":"Gillian P.","non-dropping-particle":"","parse-names":false,"suffix":""}],"container-title":"Journal of Separation Science","id":"ITEM-9","issue":"11","issued":{"date-parts":[["2010"]]},"page":"1571-1579","title":"Simultaneous determination of anthracyclines and taxanes in human serum using online sample extraction coupled to high performance liquid chromatography with UV detection","type":"article-journal","volume":"33"},"uris":["http://www.mendeley.com/documents/?uuid=96b0dd0d-c17e-4132-972e-a585589cd9de"]},{"id":"ITEM-10","itemData":{"DOI":"10.1016/0731-7085(91)80104-H","ISSN":"07317085","PMID":"1298402","abstract":"A reversed-phase isocratic high-perfor</w:instrText>
      </w:r>
      <w:r w:rsidR="004818CD">
        <w:rPr>
          <w:rFonts w:ascii="Times New Roman" w:hAnsi="Times New Roman" w:cs="Times New Roman" w:hint="eastAsia"/>
          <w:sz w:val="24"/>
          <w:szCs w:val="24"/>
        </w:rPr>
        <w:instrText>mance liquid chromatographic method is described in which a formal structured procedure was applied to predict the mobile phase composition giving optimal baseline resolution of the clinically important anticancer agents doxorubicin and 4</w:instrText>
      </w:r>
      <w:r w:rsidR="004818CD">
        <w:rPr>
          <w:rFonts w:ascii="Times New Roman" w:hAnsi="Times New Roman" w:cs="Times New Roman" w:hint="eastAsia"/>
          <w:sz w:val="24"/>
          <w:szCs w:val="24"/>
        </w:rPr>
        <w:instrText>′</w:instrText>
      </w:r>
      <w:r w:rsidR="004818CD">
        <w:rPr>
          <w:rFonts w:ascii="Times New Roman" w:hAnsi="Times New Roman" w:cs="Times New Roman" w:hint="eastAsia"/>
          <w:sz w:val="24"/>
          <w:szCs w:val="24"/>
        </w:rPr>
        <w:instrText xml:space="preserve">-epidoxorubicin </w:instrText>
      </w:r>
      <w:r w:rsidR="004818CD">
        <w:rPr>
          <w:rFonts w:ascii="Times New Roman" w:hAnsi="Times New Roman" w:cs="Times New Roman"/>
          <w:sz w:val="24"/>
          <w:szCs w:val="24"/>
        </w:rPr>
        <w:instrText>(epirubicin), their principal metabolites, and daunorubicin (internal standard). These formal statistical procedures included the simultaneous techniques of solvent selectivity triangle and factorial design for range-finding preliminary studies, followed by use of the modified simplex, a sequential procedure. These were used to select the parameters of organic modifier, buffer strength and pH necessary for use with a Spherisorb ODS 1 column, to achieve optimal separation of eight anthracycline solutes. Ultraviolet and fluorescence detection was used (λex = 254 nm, λem = 560 nm), and the latter gave a low detection limit for doxorubicin in serum of 1 ng ml-1. The optimal mobile phase composition was determined to be acetonitrile-0.06 M Na2 HPO4 containing 0.05% (v/v) triethylamine adjusted to pH 4.6 with 0.03 M citric acid (35:65, v/v). A solid-phase extraction method was developed to enable the selective isolation of anthracyclines by adsorption onto C8 Bond-Elut cartridges, and is based on extraction of serum spiked with a mixture of the anthracycline solutes. The anthracyclines were eluted using acetonitrile-0.2 M Na2 HPO4 containing 0.05% (v/v) triethylamine adjusted to pH 3.6 with 0.1 M citric acid (67.5:32.5, v/v). Reproducible recoveries for doxorubicin (94 ± 8%) and for epirubicin (96 ± 8%) were obtained (n = 5). In particular, recoveries for the 7-deoxyaglycone metabolite (99%) were higher than other extraction methods cited. The solid-phase extraction method described enables rapid and reproducible determinations of these anthracyclines and their metabolites in biological matrices regardless of their disparate physicochemical properties. © 1992.","author":[{"dropping-particle":"","family":"Nicholls","given":"G.","non-dropping-particle":"","parse-names":false,"suffix":""},{"dropping-particle":"","family":"Clark","given":"B. J.","non-dropping-particle":"","parse-names":false,"suffix":""},{"dropping-particle":"","family":"Brown","given":"J. E.","non-dropping-particle":"","parse-names":false,"suffix":""}],"container-title":"Journal of Pharmaceutical and Biomedical Analysis","id":"ITEM-10","issue":"10-12","issued":{"date-parts":[["1992"]]},"page":"949-957","title":"Solid-phase extraction and optimized separation of doxorubicin, epirubicin and their metabolites using reversed-phase high-performance liquid chromatography","type":"article-journal","volume":"10"},"uris":["http://www.mendeley.com/documents/?uuid=d146dded-71cb-4148-b655-5b2a32301582"]},{"id":"ITEM-11","itemData":{"DOI":"10.1007/s40005-013-0076-1","ISSN":"20935552","abstract":"We investigated the pharmacokinetics of epirubicin, an anthracycline derivative antibiotics, after intravenous (i.v.) bolus administration in rats. To analyze epirubicin levels in the plasma, bile, urine and tissue samples, we developed an high-performance liqid chromatography (HPLC)-based method which was validated for a pharmacokinetic study by suitable criteria. The plasma concentration of epirubicin after i.v. bolus administration was rapidly disappeared within 10 min from the blood circulation. The mean plasma half-lives at α phase (t1/2α) when administered at the dose of 2, 5, 10, 25 and 50 mg/kg were 2.14-2.61 min. The values of t1/2β at the corresponding doses increased two folds (from 150 to 291 min) with increasing doses. The CLt values significantly decreased with the increase in dose. In contrast, Vdss values increased about 1.5 times with the increase in dose from 2 to 50 mg/kg. Of the various tissues, epirubicin mainly distributed to the kidney, lung, heart and liver after i.v. bolus administration. The epirubicin concentrations in various tissues at 24 h after i.v. bolus administration were below 1.0 μg/g tissue. Epirubicin was excreted largely in the bile after i.v. bolus administration at the dose of 2, 10 and 50 mg/kg. The cumulative amount of epirubicin in the urine 72 h after dosage represented 20 % of the amount excreted in the bile 12 h after high dosage, indicating that i.v. administered epirubicin was mainly excreted in the bile. In conclusion, epirubicin was rapidly cleared from the blood circulation and transferred to tissues such as the kidney and liver 2 h after i.v. bolus administration. Moreover, the majority of epirubicin appears to be excreted in the bile by 12 h after i.v. bolus administration. © 2013 The Korean Society of Pharmaceutical Sciences and Technology.","author":[{"dropping-particle":"","family":"Shin","given":"Dae Hwan","non-dropping-particle":"","parse-names":false,"suffix":""},{"dropping-particle":"","family":"Park","given":"Seong Hyeok","non-dropping-particle":"","parse-names":false,"suffix":""},{"dropping-particle":"","family":"Kwon","given":"Oh Seung","non-dropping-particle":"","parse-names":false,"suffix":""},{"dropping-particle":"","family":"Park","given":"Chun Woong","non-dropping-particle":"","parse-names":false,"suffix":""},{"dropping-particle":"","family":"Han","given":"Kun","non-dropping-particle":"","parse-names":false,"suffix":""},{"dropping-particle":"","family":"Chung","given":"Youn Bok","non-dropping-particle":"","parse-names":false,"suffix":""}],"container-title":"Journal of Pharmaceutical Investigation","id":"ITEM-11","issue":"3","issued":{"date-parts":[["2013"]]},"page":"243-249","title":"Validation of high-performance liqid chromatography method to determine epirubicin and its pharmacokinetics after intravenous bolus administration in rats","type":"article-journal","volume":"43"},"uris":["http://www.mendeley.com/documents/?uuid=15cc30ab-9471-4b96-8e70-ea8019cc0c08"]},{"id":"ITEM-12","itemData":{"DOI":"10.1097/00007691-199906000-00022","ISSN":"01634356","abstract":"A single high-performance liquid chromatography (HPLC) method, suitable for the analysis of daunorubicin, idarubicin, doxorubicin, epirubicin, and their 13-dihydro metabolites is validated in the present study. Preparation of plasma samples was performed by a first extraction of analytes with a chloroform/1-heptanol mixture (9:1) and reextraction with ortophosphoric acid 0.1 M. The chromatographic analysis was carried out by reversed-phase isocratic elution of anthracyclines with a Supelcosil LC-CN 5 mm column (25 cm x 4.6 mm internal diameter; Supelco) and detection was accomplished by spectrofluorimetry at excitation and emission wavelengths of 480 and 560 nm, respectively. All anthracyclines eluted within 15 minutes of injection and the method appeared to be specific, because the chromatographic assay did not show interferences at the retention time of analytes. The linearity, evaluated over a concentration range of 0.4-10,000 ng/mL, gave regression coefficients better than 0.999, with recoveries of doxorubicin-doxorubicinol and epirubicin-epirubicinol of 67%-109% and 61%-109% respectively, and 93%- 109% for the other compounds. The limits of detection and quantification were 0.4 ng/mL in a 50-mL sample (40 pg/injection) for all anthracyclines tested. The method proved to be precise and accurate, as the within-day and between- day coefficients of variation were less than 10% and the accuracy of the assay was in the range of 91%-107%. Overall results indicate that it is feasible to analyze all the anthracyclines used in clinical practice and their major metabolites with a single optimized method, thereby simplifying their monitoring in chemotherapeutic regimens of cancer patients.","author":[{"dropping-particle":"","family":"Fogli","given":"Stefano","non-dropping-particle":"","parse-names":false,"suffix":""},{"dropping-particle":"","family":"Danesi","given":"Romano","non-dropping-particle":"","parse-names":false,"suffix":""},{"dropping-particle":"","family":"Innocenti","given":"Federico","non-dropping-particle":"","parse-names":false,"suffix":""},{"dropping-particle":"","family":"Paolo","given":"Antonello","non-dropping-particle":"Di","parse-names":false,"suffix":""},{"dropping-particle":"","family":"Bocci","given":"Guido","non-dropping-particle":"","parse-names":false,"suffix":""},{"dropping-particle":"","family":"Barbara","given":"Cecilia","non-dropping-particle":"","parse-names":false,"suffix":""},{"dropping-particle":"","family":"Tacca","given":"Mario","non-dropping-particle":"Del","parse-names":false,"suffix":""}],"container-title":"Therapeutic Drug Monitoring","id":"ITEM-12","issue":"3","issued":{"date-parts":[["1999"]]},"page":"367-375","title":"An improved HPLC method for therapeutic drug monitoring of daunorubicin, idarubicin, doxorubicin, epirubicin, and their 13-dihydro metabolites in human plasma","type":"article-journal","volume":"21"},"uris":["http://www.mendeley.com/documents/?uuid=a35327cf-2860-463c-9627-2e1c15e26f01"]}],"mendeley":{"formattedCitation":"[65]–[69], [73]–[77], [79], [80]","plainTextFormattedCitation":"[65]–[69], [73]–[77], [79], [80]","previouslyFormattedCitation":"[65]–[69], [73]–[77], [79], [80]"},"properties":{"noteIndex":0},"schema":"https://github.com/citation-style-language/schema/raw/master/csl-citation.json"}</w:instrText>
      </w:r>
      <w:r w:rsidR="00365224">
        <w:rPr>
          <w:rFonts w:ascii="Times New Roman" w:hAnsi="Times New Roman" w:cs="Times New Roman"/>
          <w:sz w:val="24"/>
          <w:szCs w:val="24"/>
        </w:rPr>
        <w:fldChar w:fldCharType="separate"/>
      </w:r>
      <w:r w:rsidR="004818CD" w:rsidRPr="004818CD">
        <w:rPr>
          <w:rFonts w:ascii="Times New Roman" w:hAnsi="Times New Roman" w:cs="Times New Roman"/>
          <w:noProof/>
          <w:sz w:val="24"/>
          <w:szCs w:val="24"/>
        </w:rPr>
        <w:t>[65]–[69], [73]–[77], [79], [80]</w:t>
      </w:r>
      <w:r w:rsidR="00365224">
        <w:rPr>
          <w:rFonts w:ascii="Times New Roman" w:hAnsi="Times New Roman" w:cs="Times New Roman"/>
          <w:sz w:val="24"/>
          <w:szCs w:val="24"/>
        </w:rPr>
        <w:fldChar w:fldCharType="end"/>
      </w:r>
      <w:r w:rsidRPr="00E11754">
        <w:rPr>
          <w:rFonts w:ascii="Times New Roman" w:hAnsi="Times New Roman" w:cs="Times New Roman"/>
          <w:sz w:val="24"/>
          <w:szCs w:val="24"/>
        </w:rPr>
        <w:t>. Z kolei precyzja i dokładność były w granicach wyznaczonych przez kryteria walidacyjne FDA i ICH (Tabela</w:t>
      </w:r>
      <w:r w:rsidR="003F5507" w:rsidRPr="00E11754">
        <w:rPr>
          <w:rFonts w:ascii="Times New Roman" w:hAnsi="Times New Roman" w:cs="Times New Roman"/>
          <w:sz w:val="24"/>
          <w:szCs w:val="24"/>
        </w:rPr>
        <w:t xml:space="preserve"> 2. </w:t>
      </w:r>
      <w:r w:rsidRPr="00E11754">
        <w:rPr>
          <w:rFonts w:ascii="Times New Roman" w:hAnsi="Times New Roman" w:cs="Times New Roman"/>
          <w:sz w:val="24"/>
          <w:szCs w:val="24"/>
        </w:rPr>
        <w:t>w publikacji</w:t>
      </w:r>
      <w:r w:rsidR="5A1DC5BE" w:rsidRPr="00E11754">
        <w:rPr>
          <w:rFonts w:ascii="Times New Roman" w:hAnsi="Times New Roman" w:cs="Times New Roman"/>
          <w:sz w:val="24"/>
          <w:szCs w:val="24"/>
        </w:rPr>
        <w:t xml:space="preserve"> 2</w:t>
      </w:r>
      <w:r w:rsidRPr="00E11754">
        <w:rPr>
          <w:rFonts w:ascii="Times New Roman" w:hAnsi="Times New Roman" w:cs="Times New Roman"/>
          <w:sz w:val="24"/>
          <w:szCs w:val="24"/>
        </w:rPr>
        <w:t xml:space="preserve">). Udowodniono także stabilność roztworów wzorcowych oraz próbek zawierających </w:t>
      </w:r>
      <w:proofErr w:type="spellStart"/>
      <w:r w:rsidRPr="00E11754">
        <w:rPr>
          <w:rFonts w:ascii="Times New Roman" w:hAnsi="Times New Roman" w:cs="Times New Roman"/>
          <w:sz w:val="24"/>
          <w:szCs w:val="24"/>
        </w:rPr>
        <w:t>epirubicynę</w:t>
      </w:r>
      <w:proofErr w:type="spellEnd"/>
      <w:r w:rsidRPr="00E11754">
        <w:rPr>
          <w:rFonts w:ascii="Times New Roman" w:hAnsi="Times New Roman" w:cs="Times New Roman"/>
          <w:sz w:val="24"/>
          <w:szCs w:val="24"/>
        </w:rPr>
        <w:t xml:space="preserve"> przechowywanych w różnorodnych warunkach eksperymentalnych (</w:t>
      </w:r>
      <w:proofErr w:type="spellStart"/>
      <w:r w:rsidRPr="00E11754">
        <w:rPr>
          <w:rFonts w:ascii="Times New Roman" w:hAnsi="Times New Roman" w:cs="Times New Roman"/>
          <w:sz w:val="24"/>
          <w:szCs w:val="24"/>
        </w:rPr>
        <w:t>Supplementary</w:t>
      </w:r>
      <w:proofErr w:type="spellEnd"/>
      <w:r w:rsidRPr="00E11754">
        <w:rPr>
          <w:rFonts w:ascii="Times New Roman" w:hAnsi="Times New Roman" w:cs="Times New Roman"/>
          <w:sz w:val="24"/>
          <w:szCs w:val="24"/>
        </w:rPr>
        <w:t xml:space="preserve"> Data, Tabela S3).</w:t>
      </w:r>
    </w:p>
    <w:p w14:paraId="175A55FD" w14:textId="4494D291" w:rsidR="006C6CAA" w:rsidRPr="00E11754" w:rsidRDefault="006C6CAA" w:rsidP="2100169C">
      <w:pPr>
        <w:spacing w:after="0" w:line="360" w:lineRule="auto"/>
        <w:jc w:val="both"/>
        <w:rPr>
          <w:rFonts w:ascii="Times New Roman" w:hAnsi="Times New Roman" w:cs="Times New Roman"/>
          <w:b/>
          <w:bCs/>
          <w:color w:val="FF0000"/>
          <w:sz w:val="24"/>
          <w:szCs w:val="24"/>
          <w:highlight w:val="yellow"/>
        </w:rPr>
      </w:pPr>
      <w:r w:rsidRPr="00E11754">
        <w:rPr>
          <w:rFonts w:ascii="Times New Roman" w:hAnsi="Times New Roman" w:cs="Times New Roman"/>
          <w:sz w:val="24"/>
          <w:szCs w:val="24"/>
        </w:rPr>
        <w:tab/>
        <w:t xml:space="preserve">Następnie opracowana metoda została zastosowana do oznaczania stężeń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w próbkach osocza i moczu pobranych od 19-letniego pacjenta chorego na RMA, który otrzymywał ten lek w 6 godzinnym wlewie w dawce 150 mg/m</w:t>
      </w:r>
      <w:r w:rsidRPr="00E11754">
        <w:rPr>
          <w:rFonts w:ascii="Times New Roman" w:hAnsi="Times New Roman" w:cs="Times New Roman"/>
          <w:sz w:val="24"/>
          <w:szCs w:val="24"/>
          <w:vertAlign w:val="superscript"/>
        </w:rPr>
        <w:t>2</w:t>
      </w:r>
      <w:r w:rsidRPr="00E11754">
        <w:rPr>
          <w:rFonts w:ascii="Times New Roman" w:hAnsi="Times New Roman" w:cs="Times New Roman"/>
          <w:sz w:val="24"/>
          <w:szCs w:val="24"/>
        </w:rPr>
        <w:t xml:space="preserve"> powierzchni ciała. Od tego pacjenta, próbki pobierano w określonych odstępach czasowych przez 24 h od zakończenia wlewu. Najwyższe stężenie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w osoczu oznaczono na koniec wlewu (304,8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/ml) (Fig 4. w publikacji</w:t>
      </w:r>
      <w:r w:rsidR="5A1DC5BE" w:rsidRPr="00E11754">
        <w:rPr>
          <w:rFonts w:ascii="Times New Roman" w:hAnsi="Times New Roman" w:cs="Times New Roman"/>
          <w:sz w:val="24"/>
          <w:szCs w:val="24"/>
        </w:rPr>
        <w:t xml:space="preserve"> 2</w:t>
      </w:r>
      <w:r w:rsidRPr="00E11754">
        <w:rPr>
          <w:rFonts w:ascii="Times New Roman" w:hAnsi="Times New Roman" w:cs="Times New Roman"/>
          <w:sz w:val="24"/>
          <w:szCs w:val="24"/>
        </w:rPr>
        <w:t xml:space="preserve">). Następnie poziom leku malał do 10 h od podania (48,7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minimalnie wzrósł w 12 h (54,1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aby w 24 h od wlewu ukształtować się na poziomie 22,5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Wyznaczony profil stężenia oznaczanego leku w moczu wskazywał, że w pierwszych godzinach od zakończenia wlewu oznaczono najwyższy poziom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(9964,3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(Fig. </w:t>
      </w:r>
      <w:r w:rsidR="2100169C" w:rsidRPr="00E11754">
        <w:rPr>
          <w:rFonts w:ascii="Times New Roman" w:hAnsi="Times New Roman" w:cs="Times New Roman"/>
          <w:sz w:val="24"/>
          <w:szCs w:val="24"/>
        </w:rPr>
        <w:t xml:space="preserve">5. </w:t>
      </w:r>
      <w:r w:rsidRPr="00E11754">
        <w:rPr>
          <w:rFonts w:ascii="Times New Roman" w:hAnsi="Times New Roman" w:cs="Times New Roman"/>
          <w:sz w:val="24"/>
          <w:szCs w:val="24"/>
        </w:rPr>
        <w:t xml:space="preserve">w publikacji 2). Poziom ten w kolejnych przedziałach czasowych obniżył się do 1371,4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natomiast ponownie wzrósł do 2443,6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aby ostatnim badanym przedziale czasowy (26-30 h) osiągnąć wartość na poziomie 1444,2 </w:t>
      </w:r>
      <w:proofErr w:type="spellStart"/>
      <w:r w:rsidRPr="00E11754">
        <w:rPr>
          <w:rFonts w:ascii="Times New Roman" w:hAnsi="Times New Roman" w:cs="Times New Roman"/>
          <w:sz w:val="24"/>
          <w:szCs w:val="24"/>
        </w:rPr>
        <w:t>ng</w:t>
      </w:r>
      <w:proofErr w:type="spellEnd"/>
      <w:r w:rsidRPr="00E11754">
        <w:rPr>
          <w:rFonts w:ascii="Times New Roman" w:hAnsi="Times New Roman" w:cs="Times New Roman"/>
          <w:sz w:val="24"/>
          <w:szCs w:val="24"/>
        </w:rPr>
        <w:t xml:space="preserve">/ml. </w:t>
      </w:r>
    </w:p>
    <w:p w14:paraId="50612A68" w14:textId="0E934821" w:rsidR="006C6CAA" w:rsidRPr="00E11754" w:rsidRDefault="02602357" w:rsidP="2506C974">
      <w:pPr>
        <w:autoSpaceDE w:val="0"/>
        <w:autoSpaceDN w:val="0"/>
        <w:adjustRightInd w:val="0"/>
        <w:spacing w:after="0" w:line="360" w:lineRule="auto"/>
        <w:ind w:firstLine="708"/>
        <w:jc w:val="both"/>
        <w:rPr>
          <w:rFonts w:ascii="Times New Roman" w:hAnsi="Times New Roman" w:cs="Times New Roman"/>
          <w:b/>
          <w:bCs/>
          <w:color w:val="FF0000"/>
          <w:sz w:val="24"/>
          <w:szCs w:val="24"/>
        </w:rPr>
      </w:pPr>
      <w:r w:rsidRPr="02602357">
        <w:rPr>
          <w:rFonts w:ascii="Times New Roman" w:eastAsia="Calibri" w:hAnsi="Times New Roman" w:cs="Times New Roman"/>
          <w:sz w:val="24"/>
          <w:szCs w:val="24"/>
        </w:rPr>
        <w:t>Da</w:t>
      </w:r>
      <w:r w:rsidRPr="02602357">
        <w:rPr>
          <w:rFonts w:ascii="Times New Roman" w:eastAsia="Times New Roman" w:hAnsi="Times New Roman" w:cs="Times New Roman"/>
          <w:sz w:val="24"/>
          <w:szCs w:val="24"/>
        </w:rPr>
        <w:t xml:space="preserve">ne, które uzyskano w ramach badań świadczą o fluktuacji stężeń </w:t>
      </w:r>
      <w:proofErr w:type="spellStart"/>
      <w:r w:rsidRPr="02602357">
        <w:rPr>
          <w:rFonts w:ascii="Times New Roman" w:eastAsia="Times New Roman" w:hAnsi="Times New Roman" w:cs="Times New Roman"/>
          <w:sz w:val="24"/>
          <w:szCs w:val="24"/>
        </w:rPr>
        <w:t>epirubicyny</w:t>
      </w:r>
      <w:proofErr w:type="spellEnd"/>
      <w:r w:rsidRPr="02602357">
        <w:rPr>
          <w:rFonts w:ascii="Times New Roman" w:eastAsia="Times New Roman" w:hAnsi="Times New Roman" w:cs="Times New Roman"/>
          <w:sz w:val="24"/>
          <w:szCs w:val="24"/>
        </w:rPr>
        <w:t xml:space="preserve"> w profilach osocza i moczu, co może świadczyć o indywidualnych różnicach w farmakokinetyce tego leku obserwowanymi pomiędzy pacjentami. Jednakże brak danych literaturowych opisujących rzeczywiste poziomy tego </w:t>
      </w:r>
      <w:proofErr w:type="spellStart"/>
      <w:r w:rsidRPr="02602357">
        <w:rPr>
          <w:rFonts w:ascii="Times New Roman" w:eastAsia="Times New Roman" w:hAnsi="Times New Roman" w:cs="Times New Roman"/>
          <w:sz w:val="24"/>
          <w:szCs w:val="24"/>
        </w:rPr>
        <w:t>cytostatyku</w:t>
      </w:r>
      <w:proofErr w:type="spellEnd"/>
      <w:r w:rsidRPr="02602357">
        <w:rPr>
          <w:rFonts w:ascii="Times New Roman" w:eastAsia="Times New Roman" w:hAnsi="Times New Roman" w:cs="Times New Roman"/>
          <w:sz w:val="24"/>
          <w:szCs w:val="24"/>
        </w:rPr>
        <w:t xml:space="preserve"> w próbkach otrzymanych od pacjentów, którzy przyjęli ten lek w tej samej dawce uniemożliwią porównanie tych danych </w:t>
      </w:r>
      <w:r w:rsidRPr="02602357">
        <w:rPr>
          <w:rFonts w:ascii="Times New Roman" w:eastAsia="Times New Roman" w:hAnsi="Times New Roman" w:cs="Times New Roman"/>
          <w:sz w:val="24"/>
          <w:szCs w:val="24"/>
        </w:rPr>
        <w:lastRenderedPageBreak/>
        <w:t>(</w:t>
      </w:r>
      <w:proofErr w:type="spellStart"/>
      <w:r w:rsidRPr="02602357">
        <w:rPr>
          <w:rFonts w:ascii="Times New Roman" w:eastAsia="Times New Roman" w:hAnsi="Times New Roman" w:cs="Times New Roman"/>
          <w:sz w:val="24"/>
          <w:szCs w:val="24"/>
        </w:rPr>
        <w:t>Supplementary</w:t>
      </w:r>
      <w:proofErr w:type="spellEnd"/>
      <w:r w:rsidRPr="02602357">
        <w:rPr>
          <w:rFonts w:ascii="Times New Roman" w:eastAsia="Times New Roman" w:hAnsi="Times New Roman" w:cs="Times New Roman"/>
          <w:sz w:val="24"/>
          <w:szCs w:val="24"/>
        </w:rPr>
        <w:t xml:space="preserve"> Data, Tabela S2). Ponadto poprzednie badania opisywały farmakokinetykę tego leku po podaniu mniejszej dawki (&lt; 150 mg/m</w:t>
      </w:r>
      <w:r w:rsidRPr="02602357">
        <w:rPr>
          <w:rFonts w:ascii="Times New Roman" w:eastAsia="Times New Roman" w:hAnsi="Times New Roman" w:cs="Times New Roman"/>
          <w:sz w:val="24"/>
          <w:szCs w:val="24"/>
          <w:vertAlign w:val="superscript"/>
        </w:rPr>
        <w:t>2</w:t>
      </w:r>
      <w:r w:rsidRPr="02602357">
        <w:rPr>
          <w:rFonts w:ascii="Times New Roman" w:eastAsia="Times New Roman" w:hAnsi="Times New Roman" w:cs="Times New Roman"/>
          <w:sz w:val="24"/>
          <w:szCs w:val="24"/>
        </w:rPr>
        <w:t xml:space="preserve"> powierzchni ciała). </w:t>
      </w:r>
    </w:p>
    <w:p w14:paraId="58677C74" w14:textId="28A14179" w:rsidR="006C6CAA" w:rsidRPr="00E11754" w:rsidRDefault="02602357" w:rsidP="02602357">
      <w:pPr>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2602357">
        <w:rPr>
          <w:rFonts w:ascii="Times New Roman" w:eastAsia="Times New Roman" w:hAnsi="Times New Roman" w:cs="Times New Roman"/>
          <w:sz w:val="24"/>
          <w:szCs w:val="24"/>
        </w:rPr>
        <w:t xml:space="preserve">Jednakże, na podstawie badań przeprowadzonych w ramach pracy doktorskiej wykazano, że poziom stężeń </w:t>
      </w:r>
      <w:proofErr w:type="spellStart"/>
      <w:r w:rsidRPr="02602357">
        <w:rPr>
          <w:rFonts w:ascii="Times New Roman" w:eastAsia="Times New Roman" w:hAnsi="Times New Roman" w:cs="Times New Roman"/>
          <w:sz w:val="24"/>
          <w:szCs w:val="24"/>
        </w:rPr>
        <w:t>epirubicyny</w:t>
      </w:r>
      <w:proofErr w:type="spellEnd"/>
      <w:r w:rsidRPr="02602357">
        <w:rPr>
          <w:rFonts w:ascii="Times New Roman" w:eastAsia="Times New Roman" w:hAnsi="Times New Roman" w:cs="Times New Roman"/>
          <w:sz w:val="24"/>
          <w:szCs w:val="24"/>
        </w:rPr>
        <w:t xml:space="preserve"> w moczu jest wysoki i narzuca konieczność restrykcyjnego przestrzegania procedur szpitalnych, aby ryzyko ekspozycji na </w:t>
      </w:r>
      <w:proofErr w:type="spellStart"/>
      <w:r w:rsidRPr="02602357">
        <w:rPr>
          <w:rFonts w:ascii="Times New Roman" w:eastAsia="Times New Roman" w:hAnsi="Times New Roman" w:cs="Times New Roman"/>
          <w:sz w:val="24"/>
          <w:szCs w:val="24"/>
        </w:rPr>
        <w:t>epirubicynę</w:t>
      </w:r>
      <w:proofErr w:type="spellEnd"/>
      <w:r w:rsidRPr="02602357">
        <w:rPr>
          <w:rFonts w:ascii="Times New Roman" w:eastAsia="Times New Roman" w:hAnsi="Times New Roman" w:cs="Times New Roman"/>
          <w:sz w:val="24"/>
          <w:szCs w:val="24"/>
        </w:rPr>
        <w:t xml:space="preserve"> w kontakcie z moczem pacjenta było jak najniższe. </w:t>
      </w:r>
    </w:p>
    <w:p w14:paraId="151E5E76" w14:textId="77777777" w:rsidR="006C6CAA" w:rsidRPr="00E11754" w:rsidRDefault="13A8E3F4" w:rsidP="00BC798E">
      <w:pPr>
        <w:autoSpaceDE w:val="0"/>
        <w:autoSpaceDN w:val="0"/>
        <w:adjustRightInd w:val="0"/>
        <w:spacing w:before="120" w:after="120" w:line="360" w:lineRule="auto"/>
        <w:jc w:val="both"/>
        <w:rPr>
          <w:rFonts w:ascii="Times New Roman" w:hAnsi="Times New Roman" w:cs="Times New Roman"/>
          <w:b/>
          <w:bCs/>
          <w:i/>
          <w:iCs/>
          <w:sz w:val="24"/>
          <w:szCs w:val="24"/>
        </w:rPr>
      </w:pPr>
      <w:r w:rsidRPr="00E11754">
        <w:rPr>
          <w:rFonts w:ascii="Times New Roman" w:hAnsi="Times New Roman" w:cs="Times New Roman"/>
          <w:b/>
          <w:bCs/>
          <w:i/>
          <w:iCs/>
          <w:sz w:val="24"/>
          <w:szCs w:val="24"/>
        </w:rPr>
        <w:t>Wnioski</w:t>
      </w:r>
    </w:p>
    <w:p w14:paraId="491A930F" w14:textId="7E76925A" w:rsidR="006C6CAA" w:rsidRDefault="006C6CAA" w:rsidP="13A8E3F4">
      <w:pPr>
        <w:autoSpaceDE w:val="0"/>
        <w:autoSpaceDN w:val="0"/>
        <w:adjustRightInd w:val="0"/>
        <w:spacing w:after="0" w:line="360" w:lineRule="auto"/>
        <w:jc w:val="both"/>
        <w:rPr>
          <w:rFonts w:ascii="Times New Roman" w:hAnsi="Times New Roman" w:cs="Times New Roman"/>
          <w:sz w:val="24"/>
          <w:szCs w:val="24"/>
        </w:rPr>
      </w:pPr>
      <w:r w:rsidRPr="00E11754">
        <w:rPr>
          <w:rFonts w:ascii="Times New Roman" w:hAnsi="Times New Roman" w:cs="Times New Roman"/>
          <w:sz w:val="24"/>
          <w:szCs w:val="24"/>
        </w:rPr>
        <w:tab/>
        <w:t xml:space="preserve">Podsumowując, zoptymalizowano warunki izolacji </w:t>
      </w:r>
      <w:proofErr w:type="spellStart"/>
      <w:r w:rsidRPr="00E11754">
        <w:rPr>
          <w:rFonts w:ascii="Times New Roman" w:hAnsi="Times New Roman" w:cs="Times New Roman"/>
          <w:sz w:val="24"/>
          <w:szCs w:val="24"/>
        </w:rPr>
        <w:t>analitu</w:t>
      </w:r>
      <w:proofErr w:type="spellEnd"/>
      <w:r w:rsidRPr="00E11754">
        <w:rPr>
          <w:rFonts w:ascii="Times New Roman" w:hAnsi="Times New Roman" w:cs="Times New Roman"/>
          <w:sz w:val="24"/>
          <w:szCs w:val="24"/>
        </w:rPr>
        <w:t xml:space="preserve"> z osocza i moczu ludzkiego z użyciem procedury SPE bazującej na kolumienkach HLB, które gwarantowały wysoki poziom oczyszczenia i izolacji badanych związków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i </w:t>
      </w:r>
      <w:proofErr w:type="spellStart"/>
      <w:r w:rsidRPr="00E11754">
        <w:rPr>
          <w:rFonts w:ascii="Times New Roman" w:hAnsi="Times New Roman" w:cs="Times New Roman"/>
          <w:sz w:val="24"/>
          <w:szCs w:val="24"/>
        </w:rPr>
        <w:t>daunorubicyny</w:t>
      </w:r>
      <w:proofErr w:type="spellEnd"/>
      <w:r w:rsidRPr="00E11754">
        <w:rPr>
          <w:rFonts w:ascii="Times New Roman" w:hAnsi="Times New Roman" w:cs="Times New Roman"/>
          <w:sz w:val="24"/>
          <w:szCs w:val="24"/>
        </w:rPr>
        <w:t xml:space="preserve"> jako IS) z testowanych matryc. Dodatkowym atutem opracowanej procedury SPE była mała objętość próby wymagana do jej przeprowadzenia (0,25 ml osocza i 0,5 ml moczu). R</w:t>
      </w:r>
      <w:r w:rsidR="13A8E3F4" w:rsidRPr="00E11754">
        <w:rPr>
          <w:rFonts w:ascii="Times New Roman" w:hAnsi="Times New Roman" w:cs="Times New Roman"/>
          <w:sz w:val="24"/>
          <w:szCs w:val="24"/>
        </w:rPr>
        <w:t>elatywnie krótki czas analizy</w:t>
      </w:r>
      <w:r w:rsidRPr="00E11754">
        <w:rPr>
          <w:rFonts w:ascii="Times New Roman" w:hAnsi="Times New Roman" w:cs="Times New Roman"/>
          <w:sz w:val="24"/>
          <w:szCs w:val="24"/>
        </w:rPr>
        <w:t xml:space="preserve"> chromatograficznej (8 min) i możliwość wykrywania i oznaczania tego </w:t>
      </w:r>
      <w:proofErr w:type="spellStart"/>
      <w:r w:rsidRPr="00E11754">
        <w:rPr>
          <w:rFonts w:ascii="Times New Roman" w:hAnsi="Times New Roman" w:cs="Times New Roman"/>
          <w:sz w:val="24"/>
          <w:szCs w:val="24"/>
        </w:rPr>
        <w:t>cytostatyku</w:t>
      </w:r>
      <w:proofErr w:type="spellEnd"/>
      <w:r w:rsidRPr="00E11754">
        <w:rPr>
          <w:rFonts w:ascii="Times New Roman" w:hAnsi="Times New Roman" w:cs="Times New Roman"/>
          <w:sz w:val="24"/>
          <w:szCs w:val="24"/>
        </w:rPr>
        <w:t xml:space="preserve"> na niższym poziomie LOD i LOQ niż wartości prezentowane we wcześniej opublikowanych metodach zwiększają możliwości aplikacyjne tej metody w praktyce klinicznej. Dodatkowo, jej użyteczność została potwierdzona doświadczalnie w trakcie analizy rzeczywistych próbek pobranych od pacjenta przyjmującego </w:t>
      </w:r>
      <w:proofErr w:type="spellStart"/>
      <w:r w:rsidRPr="00E11754">
        <w:rPr>
          <w:rFonts w:ascii="Times New Roman" w:hAnsi="Times New Roman" w:cs="Times New Roman"/>
          <w:sz w:val="24"/>
          <w:szCs w:val="24"/>
        </w:rPr>
        <w:t>epirubicynę</w:t>
      </w:r>
      <w:proofErr w:type="spellEnd"/>
      <w:r w:rsidRPr="00E11754">
        <w:rPr>
          <w:rFonts w:ascii="Times New Roman" w:hAnsi="Times New Roman" w:cs="Times New Roman"/>
          <w:sz w:val="24"/>
          <w:szCs w:val="24"/>
        </w:rPr>
        <w:t xml:space="preserve">. Jak dotąd, w literaturze nie opisano zastosowania metody oznaczania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w obu matrycach, pomimo iż mocz jest jedną z dróg eliminacji tego leku. Zatem, opracowana procedura LC-FL może stanowić alternatywną metodę do badań farmakokinetycznych i klinicznych, które wymagają analizy próbek pochodzących z obu matryc biologicznych. Wykazano także, że poziom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w moczu jest znacząco wyższy niż w osoczu, co powinno być uwzględnione przez personel i osoby opiekujące się pacjentem.  </w:t>
      </w:r>
      <w:r w:rsidRPr="00E11754">
        <w:rPr>
          <w:rFonts w:ascii="Times New Roman" w:hAnsi="Times New Roman" w:cs="Times New Roman"/>
          <w:sz w:val="24"/>
          <w:szCs w:val="24"/>
        </w:rPr>
        <w:tab/>
      </w:r>
    </w:p>
    <w:p w14:paraId="6311BEC7" w14:textId="77777777" w:rsidR="00E240A9" w:rsidRPr="00E11754" w:rsidRDefault="00E240A9" w:rsidP="13A8E3F4">
      <w:pPr>
        <w:autoSpaceDE w:val="0"/>
        <w:autoSpaceDN w:val="0"/>
        <w:adjustRightInd w:val="0"/>
        <w:spacing w:after="0" w:line="360" w:lineRule="auto"/>
        <w:jc w:val="both"/>
        <w:rPr>
          <w:rFonts w:ascii="Times New Roman" w:hAnsi="Times New Roman" w:cs="Times New Roman"/>
          <w:sz w:val="24"/>
          <w:szCs w:val="24"/>
        </w:rPr>
      </w:pPr>
    </w:p>
    <w:p w14:paraId="1B887726" w14:textId="77777777" w:rsidR="006C6CAA" w:rsidRPr="00E11754" w:rsidRDefault="006C6CAA" w:rsidP="006C6CAA">
      <w:pPr>
        <w:pStyle w:val="Nagwek2"/>
        <w:spacing w:before="240" w:after="120" w:line="360" w:lineRule="auto"/>
        <w:rPr>
          <w:rFonts w:ascii="Times New Roman" w:hAnsi="Times New Roman" w:cs="Times New Roman"/>
          <w:b/>
          <w:bCs/>
          <w:sz w:val="24"/>
          <w:szCs w:val="24"/>
          <w:lang w:val="en-GB"/>
        </w:rPr>
      </w:pPr>
      <w:bookmarkStart w:id="23" w:name="_Toc135306230"/>
      <w:bookmarkStart w:id="24" w:name="_Toc137702482"/>
      <w:r w:rsidRPr="00E11754">
        <w:rPr>
          <w:rFonts w:ascii="Times New Roman" w:hAnsi="Times New Roman" w:cs="Times New Roman"/>
          <w:b/>
          <w:bCs/>
          <w:sz w:val="24"/>
          <w:szCs w:val="24"/>
          <w:lang w:val="en-GB"/>
        </w:rPr>
        <w:t xml:space="preserve">3.3. </w:t>
      </w:r>
      <w:proofErr w:type="spellStart"/>
      <w:r w:rsidRPr="00E11754">
        <w:rPr>
          <w:rFonts w:ascii="Times New Roman" w:hAnsi="Times New Roman" w:cs="Times New Roman"/>
          <w:b/>
          <w:bCs/>
          <w:sz w:val="24"/>
          <w:szCs w:val="24"/>
          <w:lang w:val="en-GB"/>
        </w:rPr>
        <w:t>Publikacja</w:t>
      </w:r>
      <w:proofErr w:type="spellEnd"/>
      <w:r w:rsidRPr="00E11754">
        <w:rPr>
          <w:rFonts w:ascii="Times New Roman" w:hAnsi="Times New Roman" w:cs="Times New Roman"/>
          <w:b/>
          <w:bCs/>
          <w:sz w:val="24"/>
          <w:szCs w:val="24"/>
          <w:lang w:val="en-GB"/>
        </w:rPr>
        <w:t xml:space="preserve"> 3.</w:t>
      </w:r>
      <w:bookmarkEnd w:id="23"/>
      <w:bookmarkEnd w:id="24"/>
      <w:r w:rsidRPr="00E11754">
        <w:rPr>
          <w:rFonts w:ascii="Times New Roman" w:hAnsi="Times New Roman" w:cs="Times New Roman"/>
          <w:b/>
          <w:bCs/>
          <w:sz w:val="24"/>
          <w:szCs w:val="24"/>
          <w:lang w:val="en-GB"/>
        </w:rPr>
        <w:t xml:space="preserve"> </w:t>
      </w:r>
    </w:p>
    <w:p w14:paraId="4745A553" w14:textId="69ABD9A4" w:rsidR="006C6CAA" w:rsidRPr="00E11754" w:rsidRDefault="13A8E3F4" w:rsidP="000D6A5E">
      <w:pPr>
        <w:spacing w:line="360" w:lineRule="auto"/>
        <w:rPr>
          <w:rFonts w:ascii="Times New Roman" w:hAnsi="Times New Roman" w:cs="Times New Roman"/>
          <w:color w:val="212121"/>
          <w:sz w:val="24"/>
          <w:szCs w:val="24"/>
          <w:lang w:val="en-GB"/>
        </w:rPr>
      </w:pPr>
      <w:r w:rsidRPr="00E11754">
        <w:rPr>
          <w:rFonts w:ascii="Times New Roman" w:hAnsi="Times New Roman" w:cs="Times New Roman"/>
          <w:color w:val="212121"/>
          <w:sz w:val="24"/>
          <w:szCs w:val="24"/>
          <w:lang w:val="en-GB"/>
        </w:rPr>
        <w:t xml:space="preserve">O. </w:t>
      </w:r>
      <w:proofErr w:type="spellStart"/>
      <w:r w:rsidRPr="00E11754">
        <w:rPr>
          <w:rFonts w:ascii="Times New Roman" w:hAnsi="Times New Roman" w:cs="Times New Roman"/>
          <w:color w:val="212121"/>
          <w:sz w:val="24"/>
          <w:szCs w:val="24"/>
          <w:lang w:val="en-GB"/>
        </w:rPr>
        <w:t>Maliszewska</w:t>
      </w:r>
      <w:proofErr w:type="spellEnd"/>
      <w:r w:rsidRPr="00E11754">
        <w:rPr>
          <w:rFonts w:ascii="Times New Roman" w:hAnsi="Times New Roman" w:cs="Times New Roman"/>
          <w:color w:val="212121"/>
          <w:sz w:val="24"/>
          <w:szCs w:val="24"/>
          <w:lang w:val="en-GB"/>
        </w:rPr>
        <w:t xml:space="preserve">, N. </w:t>
      </w:r>
      <w:proofErr w:type="spellStart"/>
      <w:r w:rsidRPr="00E11754">
        <w:rPr>
          <w:rFonts w:ascii="Times New Roman" w:hAnsi="Times New Roman" w:cs="Times New Roman"/>
          <w:color w:val="212121"/>
          <w:sz w:val="24"/>
          <w:szCs w:val="24"/>
          <w:lang w:val="en-GB"/>
        </w:rPr>
        <w:t>Treder</w:t>
      </w:r>
      <w:proofErr w:type="spellEnd"/>
      <w:r w:rsidRPr="00E11754">
        <w:rPr>
          <w:rFonts w:ascii="Times New Roman" w:hAnsi="Times New Roman" w:cs="Times New Roman"/>
          <w:color w:val="212121"/>
          <w:sz w:val="24"/>
          <w:szCs w:val="24"/>
          <w:lang w:val="en-GB"/>
        </w:rPr>
        <w:t xml:space="preserve">, I. </w:t>
      </w:r>
      <w:proofErr w:type="spellStart"/>
      <w:r w:rsidRPr="00E11754">
        <w:rPr>
          <w:rFonts w:ascii="Times New Roman" w:hAnsi="Times New Roman" w:cs="Times New Roman"/>
          <w:color w:val="212121"/>
          <w:sz w:val="24"/>
          <w:szCs w:val="24"/>
          <w:lang w:val="en-GB"/>
        </w:rPr>
        <w:t>Olędzka</w:t>
      </w:r>
      <w:proofErr w:type="spellEnd"/>
      <w:r w:rsidRPr="00E11754">
        <w:rPr>
          <w:rFonts w:ascii="Times New Roman" w:hAnsi="Times New Roman" w:cs="Times New Roman"/>
          <w:color w:val="212121"/>
          <w:sz w:val="24"/>
          <w:szCs w:val="24"/>
          <w:lang w:val="en-GB"/>
        </w:rPr>
        <w:t xml:space="preserve">, P. Kowalski, N. </w:t>
      </w:r>
      <w:proofErr w:type="spellStart"/>
      <w:r w:rsidRPr="00E11754">
        <w:rPr>
          <w:rFonts w:ascii="Times New Roman" w:hAnsi="Times New Roman" w:cs="Times New Roman"/>
          <w:color w:val="212121"/>
          <w:sz w:val="24"/>
          <w:szCs w:val="24"/>
          <w:lang w:val="en-GB"/>
        </w:rPr>
        <w:t>Miękus</w:t>
      </w:r>
      <w:proofErr w:type="spellEnd"/>
      <w:r w:rsidRPr="00E11754">
        <w:rPr>
          <w:rFonts w:ascii="Times New Roman" w:hAnsi="Times New Roman" w:cs="Times New Roman"/>
          <w:color w:val="212121"/>
          <w:sz w:val="24"/>
          <w:szCs w:val="24"/>
          <w:lang w:val="en-GB"/>
        </w:rPr>
        <w:t xml:space="preserve">, T. </w:t>
      </w:r>
      <w:proofErr w:type="spellStart"/>
      <w:r w:rsidRPr="00E11754">
        <w:rPr>
          <w:rFonts w:ascii="Times New Roman" w:hAnsi="Times New Roman" w:cs="Times New Roman"/>
          <w:color w:val="212121"/>
          <w:sz w:val="24"/>
          <w:szCs w:val="24"/>
          <w:lang w:val="en-GB"/>
        </w:rPr>
        <w:t>Bączek</w:t>
      </w:r>
      <w:proofErr w:type="spellEnd"/>
      <w:r w:rsidRPr="00E11754">
        <w:rPr>
          <w:rFonts w:ascii="Times New Roman" w:hAnsi="Times New Roman" w:cs="Times New Roman"/>
          <w:color w:val="212121"/>
          <w:sz w:val="24"/>
          <w:szCs w:val="24"/>
          <w:lang w:val="en-GB"/>
        </w:rPr>
        <w:t xml:space="preserve">, W. </w:t>
      </w:r>
      <w:proofErr w:type="spellStart"/>
      <w:r w:rsidRPr="00E11754">
        <w:rPr>
          <w:rFonts w:ascii="Times New Roman" w:hAnsi="Times New Roman" w:cs="Times New Roman"/>
          <w:color w:val="212121"/>
          <w:sz w:val="24"/>
          <w:szCs w:val="24"/>
          <w:lang w:val="en-GB"/>
        </w:rPr>
        <w:t>Rodzaj</w:t>
      </w:r>
      <w:proofErr w:type="spellEnd"/>
      <w:r w:rsidRPr="00E11754">
        <w:rPr>
          <w:rFonts w:ascii="Times New Roman" w:hAnsi="Times New Roman" w:cs="Times New Roman"/>
          <w:color w:val="212121"/>
          <w:sz w:val="24"/>
          <w:szCs w:val="24"/>
          <w:lang w:val="en-GB"/>
        </w:rPr>
        <w:t xml:space="preserve">, E. </w:t>
      </w:r>
      <w:proofErr w:type="spellStart"/>
      <w:r w:rsidRPr="00E11754">
        <w:rPr>
          <w:rFonts w:ascii="Times New Roman" w:hAnsi="Times New Roman" w:cs="Times New Roman"/>
          <w:color w:val="212121"/>
          <w:sz w:val="24"/>
          <w:szCs w:val="24"/>
          <w:lang w:val="en-GB"/>
        </w:rPr>
        <w:t>Bień</w:t>
      </w:r>
      <w:proofErr w:type="spellEnd"/>
      <w:r w:rsidRPr="00E11754">
        <w:rPr>
          <w:rFonts w:ascii="Times New Roman" w:hAnsi="Times New Roman" w:cs="Times New Roman"/>
          <w:color w:val="212121"/>
          <w:sz w:val="24"/>
          <w:szCs w:val="24"/>
          <w:lang w:val="en-GB"/>
        </w:rPr>
        <w:t xml:space="preserve">, M.A. Krawczyk, A. </w:t>
      </w:r>
      <w:proofErr w:type="spellStart"/>
      <w:r w:rsidRPr="00E11754">
        <w:rPr>
          <w:rFonts w:ascii="Times New Roman" w:hAnsi="Times New Roman" w:cs="Times New Roman"/>
          <w:color w:val="212121"/>
          <w:sz w:val="24"/>
          <w:szCs w:val="24"/>
          <w:lang w:val="en-GB"/>
        </w:rPr>
        <w:t>Plenis</w:t>
      </w:r>
      <w:proofErr w:type="spellEnd"/>
      <w:r w:rsidRPr="00E11754">
        <w:rPr>
          <w:rFonts w:ascii="Times New Roman" w:hAnsi="Times New Roman" w:cs="Times New Roman"/>
          <w:color w:val="212121"/>
          <w:sz w:val="24"/>
          <w:szCs w:val="24"/>
          <w:lang w:val="en-GB"/>
        </w:rPr>
        <w:t xml:space="preserve">, Sensitive Analysis of Idarubicin in Human Urine and Plasma by Liquid Chromatography with Fluorescence Detection: An Application in Drug Monitoring, </w:t>
      </w:r>
      <w:r w:rsidRPr="00E11754">
        <w:rPr>
          <w:rFonts w:ascii="Times New Roman" w:hAnsi="Times New Roman" w:cs="Times New Roman"/>
          <w:i/>
          <w:iCs/>
          <w:color w:val="212121"/>
          <w:sz w:val="24"/>
          <w:szCs w:val="24"/>
          <w:lang w:val="en-GB"/>
        </w:rPr>
        <w:t>Molecules,</w:t>
      </w:r>
      <w:r w:rsidRPr="00E11754">
        <w:rPr>
          <w:rFonts w:ascii="Times New Roman" w:hAnsi="Times New Roman" w:cs="Times New Roman"/>
          <w:color w:val="212121"/>
          <w:sz w:val="24"/>
          <w:szCs w:val="24"/>
          <w:lang w:val="en-GB"/>
        </w:rPr>
        <w:t xml:space="preserve"> </w:t>
      </w:r>
      <w:r w:rsidRPr="00E11754">
        <w:rPr>
          <w:rFonts w:ascii="Times New Roman" w:hAnsi="Times New Roman" w:cs="Times New Roman"/>
          <w:b/>
          <w:bCs/>
          <w:color w:val="212121"/>
          <w:sz w:val="24"/>
          <w:szCs w:val="24"/>
          <w:lang w:val="en-GB"/>
        </w:rPr>
        <w:t>2020</w:t>
      </w:r>
      <w:r w:rsidRPr="00E11754">
        <w:rPr>
          <w:rFonts w:ascii="Times New Roman" w:hAnsi="Times New Roman" w:cs="Times New Roman"/>
          <w:color w:val="212121"/>
          <w:sz w:val="24"/>
          <w:szCs w:val="24"/>
          <w:lang w:val="en-GB"/>
        </w:rPr>
        <w:t xml:space="preserve"> Dec 9;25(24):5799</w:t>
      </w:r>
    </w:p>
    <w:p w14:paraId="24726430" w14:textId="307E1EEA" w:rsidR="006C6CAA" w:rsidRPr="00E11754" w:rsidRDefault="13A8E3F4" w:rsidP="00BC798E">
      <w:pPr>
        <w:spacing w:before="120" w:after="120" w:line="360" w:lineRule="auto"/>
        <w:rPr>
          <w:rFonts w:ascii="Times New Roman" w:hAnsi="Times New Roman" w:cs="Times New Roman"/>
          <w:b/>
          <w:bCs/>
          <w:i/>
          <w:iCs/>
          <w:sz w:val="24"/>
          <w:szCs w:val="24"/>
        </w:rPr>
      </w:pPr>
      <w:r w:rsidRPr="00E11754">
        <w:rPr>
          <w:rFonts w:ascii="Times New Roman" w:hAnsi="Times New Roman" w:cs="Times New Roman"/>
          <w:b/>
          <w:bCs/>
          <w:i/>
          <w:iCs/>
          <w:sz w:val="24"/>
          <w:szCs w:val="24"/>
        </w:rPr>
        <w:t>Wprowadzenie</w:t>
      </w:r>
    </w:p>
    <w:p w14:paraId="26B1544F" w14:textId="3850DEED" w:rsidR="006C6CAA" w:rsidRPr="00E11754" w:rsidRDefault="00482D91" w:rsidP="00482D91">
      <w:pPr>
        <w:spacing w:line="360" w:lineRule="auto"/>
        <w:jc w:val="both"/>
        <w:rPr>
          <w:rFonts w:ascii="Times New Roman" w:hAnsi="Times New Roman" w:cs="Times New Roman"/>
          <w:color w:val="212121"/>
          <w:sz w:val="24"/>
          <w:szCs w:val="24"/>
          <w:shd w:val="clear" w:color="auto" w:fill="FFFFFF"/>
        </w:rPr>
      </w:pPr>
      <w:r w:rsidRPr="00E11754">
        <w:rPr>
          <w:rFonts w:ascii="Times New Roman" w:hAnsi="Times New Roman" w:cs="Times New Roman"/>
          <w:sz w:val="24"/>
          <w:szCs w:val="24"/>
        </w:rPr>
        <w:tab/>
      </w:r>
      <w:r w:rsidR="006C6CAA" w:rsidRPr="00E11754">
        <w:rPr>
          <w:rFonts w:ascii="Times New Roman" w:hAnsi="Times New Roman" w:cs="Times New Roman"/>
          <w:sz w:val="24"/>
          <w:szCs w:val="24"/>
        </w:rPr>
        <w:t xml:space="preserve">Jak wspomniano we wstępie, </w:t>
      </w:r>
      <w:proofErr w:type="spellStart"/>
      <w:r w:rsidR="006C6CAA" w:rsidRPr="00E11754">
        <w:rPr>
          <w:rFonts w:ascii="Times New Roman" w:hAnsi="Times New Roman" w:cs="Times New Roman"/>
          <w:sz w:val="24"/>
          <w:szCs w:val="24"/>
        </w:rPr>
        <w:t>idarubicyna</w:t>
      </w:r>
      <w:proofErr w:type="spellEnd"/>
      <w:r w:rsidR="006C6CAA" w:rsidRPr="00E11754">
        <w:rPr>
          <w:rFonts w:ascii="Times New Roman" w:hAnsi="Times New Roman" w:cs="Times New Roman"/>
          <w:sz w:val="24"/>
          <w:szCs w:val="24"/>
        </w:rPr>
        <w:t xml:space="preserve"> to jedyny cytostatyk należący do grupy antybiotyków </w:t>
      </w:r>
      <w:proofErr w:type="spellStart"/>
      <w:r w:rsidR="006C6CAA" w:rsidRPr="00E11754">
        <w:rPr>
          <w:rFonts w:ascii="Times New Roman" w:hAnsi="Times New Roman" w:cs="Times New Roman"/>
          <w:sz w:val="24"/>
          <w:szCs w:val="24"/>
        </w:rPr>
        <w:t>antracyklinowych</w:t>
      </w:r>
      <w:proofErr w:type="spellEnd"/>
      <w:r w:rsidR="006C6CAA" w:rsidRPr="00E11754">
        <w:rPr>
          <w:rFonts w:ascii="Times New Roman" w:hAnsi="Times New Roman" w:cs="Times New Roman"/>
          <w:sz w:val="24"/>
          <w:szCs w:val="24"/>
        </w:rPr>
        <w:t>, który może</w:t>
      </w:r>
      <w:r w:rsidR="006C6CAA" w:rsidRPr="00E11754">
        <w:rPr>
          <w:rFonts w:ascii="Times New Roman" w:hAnsi="Times New Roman" w:cs="Times New Roman"/>
          <w:color w:val="212121"/>
          <w:sz w:val="24"/>
          <w:szCs w:val="24"/>
          <w:shd w:val="clear" w:color="auto" w:fill="FFFFFF"/>
        </w:rPr>
        <w:t xml:space="preserve"> być podawany nie tylko dożylnie, ale również </w:t>
      </w:r>
      <w:r w:rsidR="006C6CAA" w:rsidRPr="00E11754">
        <w:rPr>
          <w:rFonts w:ascii="Times New Roman" w:hAnsi="Times New Roman" w:cs="Times New Roman"/>
          <w:color w:val="212121"/>
          <w:sz w:val="24"/>
          <w:szCs w:val="24"/>
          <w:shd w:val="clear" w:color="auto" w:fill="FFFFFF"/>
        </w:rPr>
        <w:lastRenderedPageBreak/>
        <w:t xml:space="preserve">doustnie </w:t>
      </w:r>
      <w:r w:rsidR="00DB398D">
        <w:rPr>
          <w:rFonts w:ascii="Times New Roman" w:hAnsi="Times New Roman" w:cs="Times New Roman"/>
          <w:color w:val="212121"/>
          <w:sz w:val="24"/>
          <w:szCs w:val="24"/>
          <w:shd w:val="clear" w:color="auto" w:fill="FFFFFF"/>
        </w:rPr>
        <w:fldChar w:fldCharType="begin" w:fldLock="1"/>
      </w:r>
      <w:r w:rsidR="003F195C">
        <w:rPr>
          <w:rFonts w:ascii="Times New Roman" w:hAnsi="Times New Roman" w:cs="Times New Roman"/>
          <w:color w:val="212121"/>
          <w:sz w:val="24"/>
          <w:szCs w:val="24"/>
          <w:shd w:val="clear" w:color="auto" w:fill="FFFFFF"/>
        </w:rPr>
        <w:instrText>ADDIN CSL_CITATION {"citationItems":[{"id":"ITEM-1","itemData":{"author":[{"dropping-particle":"","family":"Schleyer","given":"E","non-dropping-particle":"","parse-names":false,"suffix":""},{"dropping-particle":"","family":"Budeus","given":"S","non-dropping-particle":"","parse-names":false,"suffix":""},{"dropping-particle":"","family":"Rolff","given":"C","non-dropping-particle":"","parse-names":false,"suffix":""}],"id":"ITEM-1","issued":{"date-parts":[["1992"]]},"page":"617-624","title":"Idarubicin Pharmacokinetics","type":"article-journal"},"uris":["http://www.mendeley.com/documents/?uuid=5ab95abb-092b-4bf4-8342-9cf8f2846f7a"]}],"mendeley":{"formattedCitation":"[81]","plainTextFormattedCitation":"[81]","previouslyFormattedCitation":"[81]"},"properties":{"noteIndex":0},"schema":"https://github.com/citation-style-language/schema/raw/master/csl-citation.json"}</w:instrText>
      </w:r>
      <w:r w:rsidR="00DB398D">
        <w:rPr>
          <w:rFonts w:ascii="Times New Roman" w:hAnsi="Times New Roman" w:cs="Times New Roman"/>
          <w:color w:val="212121"/>
          <w:sz w:val="24"/>
          <w:szCs w:val="24"/>
          <w:shd w:val="clear" w:color="auto" w:fill="FFFFFF"/>
        </w:rPr>
        <w:fldChar w:fldCharType="separate"/>
      </w:r>
      <w:r w:rsidR="003F195C" w:rsidRPr="003F195C">
        <w:rPr>
          <w:rFonts w:ascii="Times New Roman" w:hAnsi="Times New Roman" w:cs="Times New Roman"/>
          <w:noProof/>
          <w:color w:val="212121"/>
          <w:sz w:val="24"/>
          <w:szCs w:val="24"/>
          <w:shd w:val="clear" w:color="auto" w:fill="FFFFFF"/>
        </w:rPr>
        <w:t>[81]</w:t>
      </w:r>
      <w:r w:rsidR="00DB398D">
        <w:rPr>
          <w:rFonts w:ascii="Times New Roman" w:hAnsi="Times New Roman" w:cs="Times New Roman"/>
          <w:color w:val="212121"/>
          <w:sz w:val="24"/>
          <w:szCs w:val="24"/>
          <w:shd w:val="clear" w:color="auto" w:fill="FFFFFF"/>
        </w:rPr>
        <w:fldChar w:fldCharType="end"/>
      </w:r>
      <w:r w:rsidR="006C6CAA" w:rsidRPr="00E11754">
        <w:rPr>
          <w:rFonts w:ascii="Times New Roman" w:hAnsi="Times New Roman" w:cs="Times New Roman"/>
          <w:color w:val="212121"/>
          <w:sz w:val="24"/>
          <w:szCs w:val="24"/>
          <w:shd w:val="clear" w:color="auto" w:fill="FFFFFF"/>
        </w:rPr>
        <w:t xml:space="preserve">. Jednakże, w literaturze naukowej </w:t>
      </w:r>
      <w:r w:rsidR="006C6CAA" w:rsidRPr="00E11754" w:rsidDel="13A8E3F4">
        <w:rPr>
          <w:rFonts w:ascii="Times New Roman" w:hAnsi="Times New Roman" w:cs="Times New Roman"/>
          <w:color w:val="212121"/>
          <w:sz w:val="24"/>
          <w:szCs w:val="24"/>
          <w:shd w:val="clear" w:color="auto" w:fill="FFFFFF"/>
        </w:rPr>
        <w:t>brakuje</w:t>
      </w:r>
      <w:r w:rsidR="006C6CAA" w:rsidRPr="00E11754">
        <w:rPr>
          <w:rFonts w:ascii="Times New Roman" w:hAnsi="Times New Roman" w:cs="Times New Roman"/>
          <w:color w:val="212121"/>
          <w:sz w:val="24"/>
          <w:szCs w:val="24"/>
          <w:shd w:val="clear" w:color="auto" w:fill="FFFFFF"/>
        </w:rPr>
        <w:t xml:space="preserve"> aktualnych danych dotyczących monitorowania tego leku w próbkach osocza i moczu pochodzących od pacjentów pomimo ciągłego stosowania tego leku w praktyce onkologicznej. Ze zgromadzonych danych wynikało, iż metodyki, które dotyczyły oznaczania </w:t>
      </w:r>
      <w:proofErr w:type="spellStart"/>
      <w:r w:rsidR="006C6CAA" w:rsidRPr="00E11754">
        <w:rPr>
          <w:rFonts w:ascii="Times New Roman" w:hAnsi="Times New Roman" w:cs="Times New Roman"/>
          <w:color w:val="212121"/>
          <w:sz w:val="24"/>
          <w:szCs w:val="24"/>
          <w:shd w:val="clear" w:color="auto" w:fill="FFFFFF"/>
        </w:rPr>
        <w:t>idarubicyny</w:t>
      </w:r>
      <w:proofErr w:type="spellEnd"/>
      <w:r w:rsidR="006C6CAA" w:rsidRPr="00E11754">
        <w:rPr>
          <w:rFonts w:ascii="Times New Roman" w:hAnsi="Times New Roman" w:cs="Times New Roman"/>
          <w:color w:val="212121"/>
          <w:sz w:val="24"/>
          <w:szCs w:val="24"/>
          <w:shd w:val="clear" w:color="auto" w:fill="FFFFFF"/>
        </w:rPr>
        <w:t xml:space="preserve"> w osoczu wykazywały długi czas analizy (≥15 min)</w:t>
      </w:r>
      <w:r w:rsidR="00DB398D">
        <w:rPr>
          <w:rFonts w:ascii="Times New Roman" w:hAnsi="Times New Roman" w:cs="Times New Roman"/>
          <w:color w:val="212121"/>
          <w:sz w:val="24"/>
          <w:szCs w:val="24"/>
          <w:shd w:val="clear" w:color="auto" w:fill="FFFFFF"/>
        </w:rPr>
        <w:t xml:space="preserve"> </w:t>
      </w:r>
      <w:r w:rsidR="00063B6E">
        <w:rPr>
          <w:rFonts w:ascii="Times New Roman" w:hAnsi="Times New Roman" w:cs="Times New Roman"/>
          <w:color w:val="212121"/>
          <w:sz w:val="24"/>
          <w:szCs w:val="24"/>
          <w:shd w:val="clear" w:color="auto" w:fill="FFFFFF"/>
        </w:rPr>
        <w:fldChar w:fldCharType="begin" w:fldLock="1"/>
      </w:r>
      <w:r w:rsidR="004818CD">
        <w:rPr>
          <w:rFonts w:ascii="Times New Roman" w:hAnsi="Times New Roman" w:cs="Times New Roman"/>
          <w:color w:val="212121"/>
          <w:sz w:val="24"/>
          <w:szCs w:val="24"/>
          <w:shd w:val="clear" w:color="auto" w:fill="FFFFFF"/>
        </w:rPr>
        <w:instrText>ADDIN CSL_CITATION {"citationItems":[{"id":"ITEM-1","itemData":{"DOI":"10.1016/S0378-4347(99)00529-0","ISSN":"13872273","PMID":"10718646","abstract":"A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Applications","id":"ITEM-1","issue":"2","issued":{"date-parts":[["2000"]]},"page":"281-291","title":"Simultaneous determination of four anthracyclines and three metabolites in human serum by liquid chromatography-electrospray mass spectrometry","type":"article-journal","volume":"738"},"uris":["http://www.mendeley.com/documents/?uuid=8a2424d0-b5b2-4229-ad1b-96b4da3a7807"]},{"id":"ITEM-2","itemData":{"ISBN":"0344-5704","abstract":"A specific, sensitive, and reliable high-performance liquid chromatographic (HPLC) method for the determination of idarubicin (IDA) and its known fluorescent metabolites idarubicinol (IDAol) and 4-demethoxy-daunomycinone (AG1) in biological fluids (human plasma and urine) was developed and tested. Plasma samples were solid-phase-extracted (C18 bonded silica cartridges). Complete separation of unchanged drugs and metabolites was achieved on a Cyanopropyl chromatographic column (25 cm x 4.6 mm inside diameter; particle size, 5-mu-m) using fluorescence detection (excitation wavelength, 470 nm; emission wavelength, 580 nm). Sensitivity was better than 0.2 ng/ml for all analytes; rates of recovery of unchanged drug and metabolites were better than 84.5% (IDA), 80.3% (IDAol), and 83.9% (AG1). The interassay coefficient of variation was 6.5% for IDA, 5.8% for IDAol, and 9.8% for AG1. Mean intra-assay precision was 4.6% for IDA, 5.9% for IDAol, and 5.0% for AG1 at sample concentrations of above 1 ng/ml and 12.1% for IDA, 10.8% for IDAol, and 14.1% for AG1 at sample concentrations of below 1 ng/ml.","author":[{"dropping-particle":"","family":"Camaggi","given":"C M","non-dropping-particle":"","parse-names":false,"suffix":""},{"dropping-particle":"","family":"Carisi","given":"P","non-dropping-particle":"","parse-names":false,"suffix":""},{"dropping-particle":"","family":"Strocchi","given":"E","non-dropping-particle":"","parse-names":false,"suffix":""},{"dropping-particle":"","family":"Pannuti","given":"F","non-dropping-particle":"","parse-names":false,"suffix":""}],"container-title":"Cancer Chemotherapy and Pharmacology","id":"ITEM-2","issue":"4","issued":{"date-parts":[["1992"]]},"page":"303-306","title":"High-Performance Liquid-Chromatographic Analysis of Idarubicin and Fluorescent Metabolites in Biological-Fluids","type":"article-journal","volume":"30"},"uris":["http://www.mendeley.com/documents/?uuid=d4e50280-3691-4a6a-90a7-92f7e1c7d4b3"]},{"id":"ITEM-3","itemData":{"DOI":"10.1016/S0378-4347(99)00107-3","ISSN":"1387-2273","PMID":"10406213","abstract":"A reversed-phase high-performance liquid chromatographic method is described for the simultaneous determination of idarubicin and idarubicinol in rat plasma. Blood samples were analyzed from 16 rats which had received an intravascular dose of 2.25 mg kg(-1) idarubicin. After deproteinization with acetonitrile, the separation was performed with a LiChrospher 100 RP-18 column (5 microm), using fluorescence detection (excitation: 485 nm/emission: 542 nm). The mean recovery was 95.6% for idarubicin and 90.7% for idarubicinol, respectively. The detection limit was 0.25 ng ml(-1) using an injection volume of 50 microl. Daily relative standard deviation (RSD) was 3.2% (10 ng idarubicin/ml, n=10) and 4.4% (10 ng idarubicinol/ml, n=10).","author":[{"dropping-particle":"","family":"Kuhlmann","given":"O","non-dropping-particle":"","parse-names":false,"suffix":""},{"dropping-particle":"","family":"Hofmann","given":"S","non-dropping-particle":"","parse-names":false,"suffix":""},{"dropping-particle":"","family":"Weiss","given":"M","non-dropping-particle":"","parse-names":false,"suffix":""}],"container-title":"Journal of chromatography. B, Biomedical sciences and applications","id":"ITEM-3","issue":"2","issued":{"date-parts":[["1999"]]},"page":"279-82","title":"Determination of idarubicin and idarubicinol in rat plasma using reversed-phase high-performance liquid chromatography and fluorescence detection.","type":"article-journal","volume":"728"},"uris":["http://www.mendeley.com/documents/?uuid=c70ed34e-e71f-4b03-8f22-45b18b1b06c8"]},{"id":"ITEM-4","itemData":{"DOI":"10.1097/00007691-199906000-00022","ISSN":"01634356","abstract":"A single high-performance liquid chromatography (HPLC) method, suitable for the analysis of daunorubicin, idarubicin, doxorubicin, epirubicin, and their 13-dihydro metabolites is validated in the present study. Preparation of plasma samples was performed by a first extraction of analytes with a chloroform/1-heptanol mixture (9:1) and reextraction with ortophosphoric acid 0.1 M. The chromatographic analysis was carried out by reversed-phase isocratic elution of anthracyclines with a Supelcosil LC-CN 5 mm column (25 cm x 4.6 mm internal diameter; Supelco) and detection was accomplished by spectrofluorimetry at excitation and emission wavelengths of 480 and 560 nm, respectively. All anthracyclines eluted within 15 minutes of injection and the method appeared to be specific, because the chromatographic assay did not show interferences at the retention time of analytes. The linearity, evaluated over a concentration range of 0.4-10,000 ng/mL, gave regression coefficients better than 0.999, with recoveries of doxorubicin-doxorubicinol and epirubicin-epirubicinol of 67%-109% and 61%-109% respectively, and 93%- 109% for the other compounds. The limits of detection and quantification were 0.4 ng/mL in a 50-mL sample (40 pg/injection) for all anthracyclines tested. The method proved to be precise and accurate, as the within-day and between- day coefficients of variation were less than 10% and the accuracy of the assay was in the range of 91%-107%. Overall results indicate that it is feasible to analyze all the anthracyclines used in clinical practice and their major metabolites with a single optimized method, thereby simplifying their monitoring in chemotherapeutic regimens of cancer patients.","author":[{"dropping-particle":"","family":"Fogli","given":"Stefano","non-dropping-particle":"","parse-names":false,"suffix":""},{"dropping-particle":"","family":"Danesi","given":"Romano","non-dropping-particle":"","parse-names":false,"suffix":""},{"dropping-particle":"","family":"Innocenti","given":"Federico","non-dropping-particle":"","parse-names":false,"suffix":""},{"dropping-particle":"","family":"Paolo","given":"Antonello","non-dropping-particle":"Di","parse-names":false,"suffix":""},{"dropping-particle":"","family":"Bocci","given":"Guido","non-dropping-particle":"","parse-names":false,"suffix":""},{"dropping-particle":"","family":"Barbara","given":"Cecilia","non-dropping-particle":"","parse-names":false,"suffix":""},{"dropping-particle":"","family":"Tacca","given":"Mario","non-dropping-particle":"Del","parse-names":false,"suffix":""}],"container-title":"Therapeutic Drug Monitoring","id":"ITEM-4","issue":"3","issued":{"date-parts":[["1999"]]},"page":"367-375","title":"An improved HPLC method for therapeutic drug monitoring of daunorubicin, idarubicin, doxorubicin, epirubicin, and their 13-dihydro metabolites in human plasma","type":"article-journal","volume":"21"},"uris":["http://www.mendeley.com/documents/?uuid=a35327cf-2860-463c-9627-2e1c15e26f01"]}],"mendeley":{"formattedCitation":"[66], [68], [82], [83]","plainTextFormattedCitation":"[66], [68], [82], [83]","previouslyFormattedCitation":"[66], [68], [82], [83]"},"properties":{"noteIndex":0},"schema":"https://github.com/citation-style-language/schema/raw/master/csl-citation.json"}</w:instrText>
      </w:r>
      <w:r w:rsidR="00063B6E">
        <w:rPr>
          <w:rFonts w:ascii="Times New Roman" w:hAnsi="Times New Roman" w:cs="Times New Roman"/>
          <w:color w:val="212121"/>
          <w:sz w:val="24"/>
          <w:szCs w:val="24"/>
          <w:shd w:val="clear" w:color="auto" w:fill="FFFFFF"/>
        </w:rPr>
        <w:fldChar w:fldCharType="separate"/>
      </w:r>
      <w:r w:rsidR="004818CD" w:rsidRPr="004818CD">
        <w:rPr>
          <w:rFonts w:ascii="Times New Roman" w:hAnsi="Times New Roman" w:cs="Times New Roman"/>
          <w:noProof/>
          <w:color w:val="212121"/>
          <w:sz w:val="24"/>
          <w:szCs w:val="24"/>
          <w:shd w:val="clear" w:color="auto" w:fill="FFFFFF"/>
        </w:rPr>
        <w:t>[66], [68], [82], [83]</w:t>
      </w:r>
      <w:r w:rsidR="00063B6E">
        <w:rPr>
          <w:rFonts w:ascii="Times New Roman" w:hAnsi="Times New Roman" w:cs="Times New Roman"/>
          <w:color w:val="212121"/>
          <w:sz w:val="24"/>
          <w:szCs w:val="24"/>
          <w:shd w:val="clear" w:color="auto" w:fill="FFFFFF"/>
        </w:rPr>
        <w:fldChar w:fldCharType="end"/>
      </w:r>
      <w:r w:rsidR="00DB398D">
        <w:rPr>
          <w:rFonts w:ascii="Times New Roman" w:hAnsi="Times New Roman" w:cs="Times New Roman"/>
          <w:color w:val="212121"/>
          <w:sz w:val="24"/>
          <w:szCs w:val="24"/>
          <w:shd w:val="clear" w:color="auto" w:fill="FFFFFF"/>
        </w:rPr>
        <w:t xml:space="preserve">, </w:t>
      </w:r>
      <w:r w:rsidR="006C6CAA" w:rsidRPr="00E11754">
        <w:rPr>
          <w:rFonts w:ascii="Times New Roman" w:hAnsi="Times New Roman" w:cs="Times New Roman"/>
          <w:color w:val="212121"/>
          <w:sz w:val="24"/>
          <w:szCs w:val="24"/>
          <w:shd w:val="clear" w:color="auto" w:fill="FFFFFF"/>
        </w:rPr>
        <w:t>jak również wymagały relatywnie dużej ilości próbki biologicznej</w:t>
      </w:r>
      <w:r w:rsidR="00DB398D">
        <w:rPr>
          <w:rFonts w:ascii="Times New Roman" w:hAnsi="Times New Roman" w:cs="Times New Roman"/>
          <w:color w:val="212121"/>
          <w:sz w:val="24"/>
          <w:szCs w:val="24"/>
          <w:shd w:val="clear" w:color="auto" w:fill="FFFFFF"/>
        </w:rPr>
        <w:t xml:space="preserve"> </w:t>
      </w:r>
      <w:r w:rsidR="00A60D9B">
        <w:rPr>
          <w:rFonts w:ascii="Times New Roman" w:hAnsi="Times New Roman" w:cs="Times New Roman"/>
          <w:color w:val="212121"/>
          <w:sz w:val="24"/>
          <w:szCs w:val="24"/>
          <w:shd w:val="clear" w:color="auto" w:fill="FFFFFF"/>
        </w:rPr>
        <w:fldChar w:fldCharType="begin" w:fldLock="1"/>
      </w:r>
      <w:r w:rsidR="003F195C">
        <w:rPr>
          <w:rFonts w:ascii="Times New Roman" w:hAnsi="Times New Roman" w:cs="Times New Roman"/>
          <w:color w:val="212121"/>
          <w:sz w:val="24"/>
          <w:szCs w:val="24"/>
          <w:shd w:val="clear" w:color="auto" w:fill="FFFFFF"/>
        </w:rPr>
        <w:instrText>ADDIN CSL_CITATION {"citationItems":[{"id":"ITEM-1","itemData":{"ISSN":"08876924","abstract":"Idarubicin is the first anthracycline that can be successfully administered via the oral route and thus may facilitate antineoplastic chemotherapy at an improved quality of life. These perspectives are somewhat hampered by the large variation in bioavailability between individual patients and the obvious requirement to monitor plasma concentration and area-under-the curve values (AUC) for an appropriate adjustment of idarubicin dose. In this study we describe the pharmacokinetics of idarubicin and its main metabolite idarubicinol in 12 patients after oral application of 20 mg/m2 idarubicin on 3 consecutive days and demonstrate that the 24-h trough levels shows a high correlation with AUC and may thus allow a rapid and easy determination of individual drug concentrations and an appropriate dose adjustment. The average terminal half-life was 30.5 h for idarubicin and 66.9 h for idarubicinol. The AUC for idarubicin and its main metabolite idarubicinol revealed a substantial interpatient variation with AUC values ranging from 25.7 to 114 ng x h/ml (average 58.1 ng x h/ml) for idarubicin and from 109.4-445.2 ng x h/ml (average 287.3 ng x h/ml) for idarubicinol. However, the ratio of idarubicin/idarubicinol differed only two-fold from 1:3.7 to 1:7.7 with an average of 1:5.1. Both idarubicin and idarubicinol concentrations were highly reproducible, however, upon measurements after repeated applications within individual patients. Moreover, idarubicinol and idarubicin AUCs showed a good correlation with r = 0.78, indicating that the interindividual variations of idarubicin AUC reflects differences in absorption rather than in metabolism. In order to describe the interindividual bioavailability of idarubicin - represented by the respective AUC - measurement of a single data point with a high correlation with the AUC would be ideal. Our study demonstrates that the 24-h trough level shows such an excellent correlation (r = 0.96) with AUC, making it the perfect candidate for fast estimates of the individual bioavailability in a given patient. On this basis, the longitudinal measurement of the 24-h trough level may allow the assessment of the impact of interindividual variations in AUC on clinical outcome and toxicity.","author":[{"dropping-particle":"","family":"Schleyer","given":"E.","non-dropping-particle":"","parse-names":false,"suffix":""},{"dropping-particle":"","family":"Kühn","given":"S.","non-dropping-particle":"","parse-names":false,"suffix":""},{"dropping-particle":"","family":"Rührs","given":"H.","non-dropping-particle":"","parse-names":false,"suffix":""},{"dropping-particle":"","family":"Unterhalt","given":"M.","non-dropping-particle":"","parse-names":false,"suffix":""},{"dropping-particle":"","family":"Kaufmann","given":"C. C.","non-dropping-particle":"","parse-names":false,"suffix":""},{"dropping-particle":"","family":"Kern","given":"W.","non-dropping-particle":"","parse-names":false,"suffix":""},{"dropping-particle":"","family":"Braess","given":"J.","non-dropping-particle":"","parse-names":false,"suffix":""},{"dropping-particle":"","family":"Sträubel","given":"G.","non-dropping-particle":"","parse-names":false,"suffix":""},{"dropping-particle":"","family":"Hiddemann","given":"W.","non-dropping-particle":"","parse-names":false,"suffix":""}],"container-title":"Leukemia","id":"ITEM-1","issue":"4","issued":{"date-parts":[["1996"]]},"page":"707-712","title":"Oral idarubicin pharmacokinetics - Correlation of trough level with idarubicin area under curve","type":"article-journal","volume":"10"},"uris":["http://www.mendeley.com/documents/?uuid=bea1a85e-079e-4b59-8186-80ea9eed8a3e"]}],"mendeley":{"formattedCitation":"[84]","plainTextFormattedCitation":"[84]","previouslyFormattedCitation":"[84]"},"properties":{"noteIndex":0},"schema":"https://github.com/citation-style-language/schema/raw/master/csl-citation.json"}</w:instrText>
      </w:r>
      <w:r w:rsidR="00A60D9B">
        <w:rPr>
          <w:rFonts w:ascii="Times New Roman" w:hAnsi="Times New Roman" w:cs="Times New Roman"/>
          <w:color w:val="212121"/>
          <w:sz w:val="24"/>
          <w:szCs w:val="24"/>
          <w:shd w:val="clear" w:color="auto" w:fill="FFFFFF"/>
        </w:rPr>
        <w:fldChar w:fldCharType="separate"/>
      </w:r>
      <w:r w:rsidR="003F195C" w:rsidRPr="003F195C">
        <w:rPr>
          <w:rFonts w:ascii="Times New Roman" w:hAnsi="Times New Roman" w:cs="Times New Roman"/>
          <w:noProof/>
          <w:color w:val="212121"/>
          <w:sz w:val="24"/>
          <w:szCs w:val="24"/>
          <w:shd w:val="clear" w:color="auto" w:fill="FFFFFF"/>
        </w:rPr>
        <w:t>[84]</w:t>
      </w:r>
      <w:r w:rsidR="00A60D9B">
        <w:rPr>
          <w:rFonts w:ascii="Times New Roman" w:hAnsi="Times New Roman" w:cs="Times New Roman"/>
          <w:color w:val="212121"/>
          <w:sz w:val="24"/>
          <w:szCs w:val="24"/>
          <w:shd w:val="clear" w:color="auto" w:fill="FFFFFF"/>
        </w:rPr>
        <w:fldChar w:fldCharType="end"/>
      </w:r>
      <w:r w:rsidR="006C6CAA" w:rsidRPr="00E11754">
        <w:rPr>
          <w:rFonts w:ascii="Times New Roman" w:hAnsi="Times New Roman" w:cs="Times New Roman"/>
          <w:color w:val="212121"/>
          <w:sz w:val="24"/>
          <w:szCs w:val="24"/>
          <w:shd w:val="clear" w:color="auto" w:fill="FFFFFF"/>
        </w:rPr>
        <w:t xml:space="preserve">. W nie podano także pełnej walidacji metody pomimo prezentowania LOQ na poziomie 0,1 </w:t>
      </w:r>
      <w:proofErr w:type="spellStart"/>
      <w:r w:rsidR="006C6CAA" w:rsidRPr="00E11754">
        <w:rPr>
          <w:rFonts w:ascii="Times New Roman" w:hAnsi="Times New Roman" w:cs="Times New Roman"/>
          <w:color w:val="212121"/>
          <w:sz w:val="24"/>
          <w:szCs w:val="24"/>
          <w:shd w:val="clear" w:color="auto" w:fill="FFFFFF"/>
        </w:rPr>
        <w:t>ng</w:t>
      </w:r>
      <w:proofErr w:type="spellEnd"/>
      <w:r w:rsidR="006C6CAA" w:rsidRPr="00E11754">
        <w:rPr>
          <w:rFonts w:ascii="Times New Roman" w:hAnsi="Times New Roman" w:cs="Times New Roman"/>
          <w:color w:val="212121"/>
          <w:sz w:val="24"/>
          <w:szCs w:val="24"/>
          <w:shd w:val="clear" w:color="auto" w:fill="FFFFFF"/>
        </w:rPr>
        <w:t xml:space="preserve">/ml </w:t>
      </w:r>
      <w:r w:rsidR="00DB398D">
        <w:rPr>
          <w:rFonts w:ascii="Times New Roman" w:hAnsi="Times New Roman" w:cs="Times New Roman"/>
          <w:color w:val="212121"/>
          <w:sz w:val="24"/>
          <w:szCs w:val="24"/>
          <w:shd w:val="clear" w:color="auto" w:fill="FFFFFF"/>
        </w:rPr>
        <w:fldChar w:fldCharType="begin" w:fldLock="1"/>
      </w:r>
      <w:r w:rsidR="003F195C">
        <w:rPr>
          <w:rFonts w:ascii="Times New Roman" w:hAnsi="Times New Roman" w:cs="Times New Roman"/>
          <w:color w:val="212121"/>
          <w:sz w:val="24"/>
          <w:szCs w:val="24"/>
          <w:shd w:val="clear" w:color="auto" w:fill="FFFFFF"/>
        </w:rPr>
        <w:instrText>ADDIN CSL_CITATION {"citationItems":[{"id":"ITEM-1","itemData":{"ISSN":"08876924","abstract":"Idarubicin is the first anthracycline that can be successfully administered via the oral route and thus may facilitate antineoplastic chemotherapy at an improved quality of life. These perspectives are somewhat hampered by the large variation in bioavailability between individual patients and the obvious requirement to monitor plasma concentration and area-under-the curve values (AUC) for an appropriate adjustment of idarubicin dose. In this study we describe the pharmacokinetics of idarubicin and its main metabolite idarubicinol in 12 patients after oral application of 20 mg/m2 idarubicin on 3 consecutive days and demonstrate that the 24-h trough levels shows a high correlation with AUC and may thus allow a rapid and easy determination of individual drug concentrations and an appropriate dose adjustment. The average terminal half-life was 30.5 h for idarubicin and 66.9 h for idarubicinol. The AUC for idarubicin and its main metabolite idarubicinol revealed a substantial interpatient variation with AUC values ranging from 25.7 to 114 ng x h/ml (average 58.1 ng x h/ml) for idarubicin and from 109.4-445.2 ng x h/ml (average 287.3 ng x h/ml) for idarubicinol. However, the ratio of idarubicin/idarubicinol differed only two-fold from 1:3.7 to 1:7.7 with an average of 1:5.1. Both idarubicin and idarubicinol concentrations were highly reproducible, however, upon measurements after repeated applications within individual patients. Moreover, idarubicinol and idarubicin AUCs showed a good correlation with r = 0.78, indicating that the interindividual variations of idarubicin AUC reflects differences in absorption rather than in metabolism. In order to describe the interindividual bioavailability of idarubicin - represented by the respective AUC - measurement of a single data point with a high correlation with the AUC would be ideal. Our study demonstrates that the 24-h trough level shows such an excellent correlation (r = 0.96) with AUC, making it the perfect candidate for fast estimates of the individual bioavailability in a given patient. On this basis, the longitudinal measurement of the 24-h trough level may allow the assessment of the impact of interindividual variations in AUC on clinical outcome and toxicity.","author":[{"dropping-particle":"","family":"Schleyer","given":"E.","non-dropping-particle":"","parse-names":false,"suffix":""},{"dropping-particle":"","family":"Kühn","given":"S.","non-dropping-particle":"","parse-names":false,"suffix":""},{"dropping-particle":"","family":"Rührs","given":"H.","non-dropping-particle":"","parse-names":false,"suffix":""},{"dropping-particle":"","family":"Unterhalt","given":"M.","non-dropping-particle":"","parse-names":false,"suffix":""},{"dropping-particle":"","family":"Kaufmann","given":"C. C.","non-dropping-particle":"","parse-names":false,"suffix":""},{"dropping-particle":"","family":"Kern","given":"W.","non-dropping-particle":"","parse-names":false,"suffix":""},{"dropping-particle":"","family":"Braess","given":"J.","non-dropping-particle":"","parse-names":false,"suffix":""},{"dropping-particle":"","family":"Sträubel","given":"G.","non-dropping-particle":"","parse-names":false,"suffix":""},{"dropping-particle":"","family":"Hiddemann","given":"W.","non-dropping-particle":"","parse-names":false,"suffix":""}],"container-title":"Leukemia","id":"ITEM-1","issue":"4","issued":{"date-parts":[["1996"]]},"page":"707-712","title":"Oral idarubicin pharmacokinetics - Correlation of trough level with idarubicin area under curve","type":"article-journal","volume":"10"},"uris":["http://www.mendeley.com/documents/?uuid=bea1a85e-079e-4b59-8186-80ea9eed8a3e"]}],"mendeley":{"formattedCitation":"[84]","plainTextFormattedCitation":"[84]","previouslyFormattedCitation":"[84]"},"properties":{"noteIndex":0},"schema":"https://github.com/citation-style-language/schema/raw/master/csl-citation.json"}</w:instrText>
      </w:r>
      <w:r w:rsidR="00DB398D">
        <w:rPr>
          <w:rFonts w:ascii="Times New Roman" w:hAnsi="Times New Roman" w:cs="Times New Roman"/>
          <w:color w:val="212121"/>
          <w:sz w:val="24"/>
          <w:szCs w:val="24"/>
          <w:shd w:val="clear" w:color="auto" w:fill="FFFFFF"/>
        </w:rPr>
        <w:fldChar w:fldCharType="separate"/>
      </w:r>
      <w:r w:rsidR="003F195C" w:rsidRPr="003F195C">
        <w:rPr>
          <w:rFonts w:ascii="Times New Roman" w:hAnsi="Times New Roman" w:cs="Times New Roman"/>
          <w:noProof/>
          <w:color w:val="212121"/>
          <w:sz w:val="24"/>
          <w:szCs w:val="24"/>
          <w:shd w:val="clear" w:color="auto" w:fill="FFFFFF"/>
        </w:rPr>
        <w:t>[84]</w:t>
      </w:r>
      <w:r w:rsidR="00DB398D">
        <w:rPr>
          <w:rFonts w:ascii="Times New Roman" w:hAnsi="Times New Roman" w:cs="Times New Roman"/>
          <w:color w:val="212121"/>
          <w:sz w:val="24"/>
          <w:szCs w:val="24"/>
          <w:shd w:val="clear" w:color="auto" w:fill="FFFFFF"/>
        </w:rPr>
        <w:fldChar w:fldCharType="end"/>
      </w:r>
      <w:r w:rsidR="006C6CAA" w:rsidRPr="00E11754">
        <w:rPr>
          <w:rFonts w:ascii="Times New Roman" w:hAnsi="Times New Roman" w:cs="Times New Roman"/>
          <w:color w:val="212121"/>
          <w:sz w:val="24"/>
          <w:szCs w:val="24"/>
          <w:shd w:val="clear" w:color="auto" w:fill="FFFFFF"/>
        </w:rPr>
        <w:t>. W innych pracach wskazano, że</w:t>
      </w:r>
      <w:r w:rsidRPr="00E11754">
        <w:rPr>
          <w:rFonts w:ascii="Times New Roman" w:hAnsi="Times New Roman" w:cs="Times New Roman"/>
          <w:color w:val="212121"/>
          <w:sz w:val="24"/>
          <w:szCs w:val="24"/>
          <w:shd w:val="clear" w:color="auto" w:fill="FFFFFF"/>
        </w:rPr>
        <w:t xml:space="preserve"> </w:t>
      </w:r>
      <w:r w:rsidR="006C6CAA" w:rsidRPr="00E11754">
        <w:rPr>
          <w:rFonts w:ascii="Times New Roman" w:hAnsi="Times New Roman" w:cs="Times New Roman"/>
          <w:color w:val="212121"/>
          <w:sz w:val="24"/>
          <w:szCs w:val="24"/>
          <w:shd w:val="clear" w:color="auto" w:fill="FFFFFF"/>
        </w:rPr>
        <w:t xml:space="preserve">LOQ wyniosło ≥ 0,5 </w:t>
      </w:r>
      <w:proofErr w:type="spellStart"/>
      <w:r w:rsidR="006C6CAA" w:rsidRPr="00E11754">
        <w:rPr>
          <w:rFonts w:ascii="Times New Roman" w:hAnsi="Times New Roman" w:cs="Times New Roman"/>
          <w:color w:val="212121"/>
          <w:sz w:val="24"/>
          <w:szCs w:val="24"/>
          <w:shd w:val="clear" w:color="auto" w:fill="FFFFFF"/>
        </w:rPr>
        <w:t>ng</w:t>
      </w:r>
      <w:proofErr w:type="spellEnd"/>
      <w:r w:rsidR="006C6CAA" w:rsidRPr="00E11754">
        <w:rPr>
          <w:rFonts w:ascii="Times New Roman" w:hAnsi="Times New Roman" w:cs="Times New Roman"/>
          <w:color w:val="212121"/>
          <w:sz w:val="24"/>
          <w:szCs w:val="24"/>
          <w:shd w:val="clear" w:color="auto" w:fill="FFFFFF"/>
        </w:rPr>
        <w:t>/ml, podczas gdy w przypadku doustnego podania leku w niskiej dawce (10 mg)</w:t>
      </w:r>
      <w:r w:rsidR="2506C974" w:rsidRPr="2506C974">
        <w:rPr>
          <w:rFonts w:ascii="Times New Roman" w:hAnsi="Times New Roman" w:cs="Times New Roman"/>
          <w:color w:val="212121"/>
          <w:sz w:val="24"/>
          <w:szCs w:val="24"/>
        </w:rPr>
        <w:t>,</w:t>
      </w:r>
      <w:r w:rsidR="006C6CAA" w:rsidRPr="00E11754">
        <w:rPr>
          <w:rFonts w:ascii="Times New Roman" w:hAnsi="Times New Roman" w:cs="Times New Roman"/>
          <w:color w:val="212121"/>
          <w:sz w:val="24"/>
          <w:szCs w:val="24"/>
          <w:shd w:val="clear" w:color="auto" w:fill="FFFFFF"/>
        </w:rPr>
        <w:t xml:space="preserve"> ten poziom może być zbyt wysoki </w:t>
      </w:r>
      <w:r w:rsidR="00A60D9B">
        <w:rPr>
          <w:rFonts w:ascii="Times New Roman" w:hAnsi="Times New Roman" w:cs="Times New Roman"/>
          <w:color w:val="212121"/>
          <w:sz w:val="24"/>
          <w:szCs w:val="24"/>
          <w:shd w:val="clear" w:color="auto" w:fill="FFFFFF"/>
        </w:rPr>
        <w:fldChar w:fldCharType="begin" w:fldLock="1"/>
      </w:r>
      <w:r w:rsidR="002858F6">
        <w:rPr>
          <w:rFonts w:ascii="Times New Roman" w:hAnsi="Times New Roman" w:cs="Times New Roman"/>
          <w:color w:val="212121"/>
          <w:sz w:val="24"/>
          <w:szCs w:val="24"/>
          <w:shd w:val="clear" w:color="auto" w:fill="FFFFFF"/>
        </w:rPr>
        <w:instrText>ADDIN CSL_CITATION {"citationItems":[{"id":"ITEM-1","itemData":{"ISSN":"08876924","abstract":"Idarubicin is the first anthracycline that can be successfully administered via the oral route and thus may facilitate antineoplastic chemotherapy at an improved quality of life. These perspectives are somewhat hampered by the large variation in bioavailability between individual patients and the obvious requirement to monitor plasma concentration and area-under-the curve values (AUC) for an appropriate adjustment of idarubicin dose. In this study we describe the pharmacokinetics of idarubicin and its main metabolite idarubicinol in 12 patients after oral application of 20 mg/m2 idarubicin on 3 consecutive days and demonstrate that the 24-h trough levels shows a high correlation with AUC and may thus allow a rapid and easy determination of individual drug concentrations and an appropriate dose adjustment. The average terminal half-life was 30.5 h for idarubicin and 66.9 h for idarubicinol. The AUC for idarubicin and its main metabolite idarubicinol revealed a substantial interpatient variation with AUC values ranging from 25.7 to 114 ng x h/ml (average 58.1 ng x h/ml) for idarubicin and from 109.4-445.2 ng x h/ml (average 287.3 ng x h/ml) for idarubicinol. However, the ratio of idarubicin/idarubicinol differed only two-fold from 1:3.7 to 1:7.7 with an average of 1:5.1. Both idarubicin and idarubicinol concentrations were highly reproducible, however, upon measurements after repeated applications within individual patients. Moreover, idarubicinol and idarubicin AUCs showed a good correlation with r = 0.78, indicating that the interindividual variations of idarubicin AUC reflects differences in absorption rather than in metabolism. In order to describe the interindividual bioavailability of idarubicin - represented by the respective AUC - measurement of a single data point with a high correlation with the AUC would be ideal. Our study demonstrates that the 24-h trough level shows such an excellent correlation (r = 0.96) with AUC, making it the perfect candidate for fast estimates of the individual bioavailability in a given patient. On this basis, the longitudinal measurement of the 24-h trough level may allow the assessment of the impact of interindividual variations in AUC on clinical outcome and toxicity.","author":[{"dropping-particle":"","family":"Schleyer","given":"E.","non-dropping-particle":"","parse-names":false,"suffix":""},{"dropping-particle":"","family":"Kühn","given":"S.","non-dropping-particle":"","parse-names":false,"suffix":""},{"dropping-particle":"","family":"Rührs","given":"H.","non-dropping-particle":"","parse-names":false,"suffix":""},{"dropping-particle":"","family":"Unterhalt","given":"M.","non-dropping-particle":"","parse-names":false,"suffix":""},{"dropping-particle":"","family":"Kaufmann","given":"C. C.","non-dropping-particle":"","parse-names":false,"suffix":""},{"dropping-particle":"","family":"Kern","given":"W.","non-dropping-particle":"","parse-names":false,"suffix":""},{"dropping-particle":"","family":"Braess","given":"J.","non-dropping-particle":"","parse-names":false,"suffix":""},{"dropping-particle":"","family":"Sträubel","given":"G.","non-dropping-particle":"","parse-names":false,"suffix":""},{"dropping-particle":"","family":"Hiddemann","given":"W.","non-dropping-particle":"","parse-names":false,"suffix":""}],"container-title":"Leukemia","id":"ITEM-1","issue":"4","issued":{"date-parts":[["1996"]]},"page":"707-712","title":"Oral idarubicin pharmacokinetics - Correlation of trough level with idarubicin area under curve","type":"article-journal","volume":"10"},"uris":["http://www.mendeley.com/documents/?uuid=bea1a85e-079e-4b59-8186-80ea9eed8a3e"]},{"id":"ITEM-2","itemData":{"DOI":"10.1016/S0378-4347(97)00299-5","ISSN":"15726495","PMID":"9367219","abstract":"A rapid and sensitive capillary electrophoretic method for the determination of idarubicin and its metabolite idarubicinol in plasma has been developed and validated. Plasma is extracted by liquid-liquid extraction using chloroform. Idarubicin, idarubicinol and the internal standard daunorubicin can be separated in less than 5 min using a phosphate buffer of pH 5 with 70% acetonitrile. Laser-induced fluorescence detection with an Ar ion laser operated at 488 nm provides a sensitive and selective detection method without interferences from biological fluids. The small sample volume of 100 μl is of particular advantage for studies in pediatric oncology. The reproducibility of the method has been shown to be sufficient for drug monitoring or pharmacokinetic studies. The limit of quantification for idarubicin In plasma is 0.5 ng/ml.","author":[{"dropping-particle":"","family":"Hempel","given":"Georg","non-dropping-particle":"","parse-names":false,"suffix":""},{"dropping-particle":"","family":"Haberland","given":"Stephan","non-dropping-particle":"","parse-names":false,"suffix":""},{"dropping-particle":"","family":"Schulze-Westhoff","given":"Petra","non-dropping-particle":"","parse-names":false,"suffix":""},{"dropping-particle":"","family":"Möhling","given":"Nora","non-dropping-particle":"","parse-names":false,"suffix":""},{"dropping-particle":"","family":"Blaschke","given":"Gottfried","non-dropping-particle":"","parse-names":false,"suffix":""},{"dropping-particle":"","family":"Boos","given":"Joachim","non-dropping-particle":"","parse-names":false,"suffix":""}],"container-title":"Journal of Chromatography B: Biomedical Applications","id":"ITEM-2","issue":"1-2","issued":{"date-parts":[["1997"]]},"page":"287-292","title":"Determination of idarubicin and idarubicinol in plasma by capillary electrophoresis","type":"article-journal","volume":"698"},"uris":["http://www.mendeley.com/documents/?uuid=0e79e8df-a8ee-4fb8-985d-34b44f7e6b45"]}],"mendeley":{"formattedCitation":"[84], [85]","plainTextFormattedCitation":"[84], [85]","previouslyFormattedCitation":"[84], [85]"},"properties":{"noteIndex":0},"schema":"https://github.com/citation-style-language/schema/raw/master/csl-citation.json"}</w:instrText>
      </w:r>
      <w:r w:rsidR="00A60D9B">
        <w:rPr>
          <w:rFonts w:ascii="Times New Roman" w:hAnsi="Times New Roman" w:cs="Times New Roman"/>
          <w:color w:val="212121"/>
          <w:sz w:val="24"/>
          <w:szCs w:val="24"/>
          <w:shd w:val="clear" w:color="auto" w:fill="FFFFFF"/>
        </w:rPr>
        <w:fldChar w:fldCharType="separate"/>
      </w:r>
      <w:r w:rsidR="002858F6" w:rsidRPr="002858F6">
        <w:rPr>
          <w:rFonts w:ascii="Times New Roman" w:hAnsi="Times New Roman" w:cs="Times New Roman"/>
          <w:noProof/>
          <w:color w:val="212121"/>
          <w:sz w:val="24"/>
          <w:szCs w:val="24"/>
          <w:shd w:val="clear" w:color="auto" w:fill="FFFFFF"/>
        </w:rPr>
        <w:t>[84], [85]</w:t>
      </w:r>
      <w:r w:rsidR="00A60D9B">
        <w:rPr>
          <w:rFonts w:ascii="Times New Roman" w:hAnsi="Times New Roman" w:cs="Times New Roman"/>
          <w:color w:val="212121"/>
          <w:sz w:val="24"/>
          <w:szCs w:val="24"/>
          <w:shd w:val="clear" w:color="auto" w:fill="FFFFFF"/>
        </w:rPr>
        <w:fldChar w:fldCharType="end"/>
      </w:r>
      <w:r w:rsidR="006C6CAA" w:rsidRPr="00E11754">
        <w:rPr>
          <w:rFonts w:ascii="Times New Roman" w:hAnsi="Times New Roman" w:cs="Times New Roman"/>
          <w:color w:val="212121"/>
          <w:sz w:val="24"/>
          <w:szCs w:val="24"/>
          <w:shd w:val="clear" w:color="auto" w:fill="FFFFFF"/>
        </w:rPr>
        <w:t xml:space="preserve">. Dane literaturowe dowodziły także, że w dotychczas opracowane procedury przygotowania prób bazowały na zastosowaniu </w:t>
      </w:r>
      <w:proofErr w:type="spellStart"/>
      <w:r w:rsidR="006C6CAA" w:rsidRPr="00E11754">
        <w:rPr>
          <w:rFonts w:ascii="Times New Roman" w:hAnsi="Times New Roman" w:cs="Times New Roman"/>
          <w:color w:val="212121"/>
          <w:sz w:val="24"/>
          <w:szCs w:val="24"/>
          <w:shd w:val="clear" w:color="auto" w:fill="FFFFFF"/>
        </w:rPr>
        <w:t>deproteinizacji</w:t>
      </w:r>
      <w:proofErr w:type="spellEnd"/>
      <w:r w:rsidR="006C6CAA" w:rsidRPr="00E11754">
        <w:rPr>
          <w:rFonts w:ascii="Times New Roman" w:hAnsi="Times New Roman" w:cs="Times New Roman"/>
          <w:color w:val="212121"/>
          <w:sz w:val="24"/>
          <w:szCs w:val="24"/>
          <w:shd w:val="clear" w:color="auto" w:fill="FFFFFF"/>
        </w:rPr>
        <w:t xml:space="preserve"> </w:t>
      </w:r>
      <w:r w:rsidR="00A60D9B">
        <w:rPr>
          <w:rFonts w:ascii="Times New Roman" w:hAnsi="Times New Roman" w:cs="Times New Roman"/>
          <w:color w:val="212121"/>
          <w:sz w:val="24"/>
          <w:szCs w:val="24"/>
          <w:shd w:val="clear" w:color="auto" w:fill="FFFFFF"/>
        </w:rPr>
        <w:fldChar w:fldCharType="begin" w:fldLock="1"/>
      </w:r>
      <w:r w:rsidR="003F195C">
        <w:rPr>
          <w:rFonts w:ascii="Times New Roman" w:hAnsi="Times New Roman" w:cs="Times New Roman"/>
          <w:color w:val="212121"/>
          <w:sz w:val="24"/>
          <w:szCs w:val="24"/>
          <w:shd w:val="clear" w:color="auto" w:fill="FFFFFF"/>
        </w:rPr>
        <w:instrText>ADDIN CSL_CITATION {"citationItems":[{"id":"ITEM-1","itemData":{"DOI":"10.1016/S0378-4347(99)00107-3","ISSN":"13872273","abstract":"A reversed-phase high-performance liquid chromatographic method is described for the simultaneous determination of idarubicin and idarubicinol in rat plasma. Blood samples were analyzed from 16 rats which had received an intravascular dose of 2.25 mg kg-1 idarubicin. After deproteinization with acetonitrile, the separation was performed with a LiChrospher 100 RP-18 column (5 μm), using fluorescence detection (excitation: 485 nm/emission: 542 nm). The mean recovery was 95.6% for idarubicin and 90.7% for idarubicinol, respectively. The detection limit was 0.25 ng ml-1 using an injection volume of 50 μl. Daily relative standard deviation (RSD) was 3.2% (10 ng idarubicin/ml, n=10) and 4.4% (10 ng idarubicinol/ml, n=10). Copyright (C) 1999 Elsevier Science B.V.","author":[{"dropping-particle":"","family":"Kuhlmann","given":"Olaf","non-dropping-particle":"","parse-names":false,"suffix":""},{"dropping-particle":"","family":"Hofmann","given":"Stefan","non-dropping-particle":"","parse-names":false,"suffix":""},{"dropping-particle":"","family":"Weiss","given":"Michael","non-dropping-particle":"","parse-names":false,"suffix":""}],"container-title":"Journal of Chromatography B: Biomedical Sciences and Applications","id":"ITEM-1","issue":"2","issued":{"date-parts":[["1999"]]},"page":"279-282","title":"Determination of idarubicin and idarubicinol in rat plasma using reversed-phase high-performance liquid chromatography and fluorescence detection","type":"article-journal","volume":"728"},"uris":["http://www.mendeley.com/documents/?uuid=d1ded8e5-6b76-419b-ae51-a652f14a758a"]}],"mendeley":{"formattedCitation":"[86]","plainTextFormattedCitation":"[86]","previouslyFormattedCitation":"[86]"},"properties":{"noteIndex":0},"schema":"https://github.com/citation-style-language/schema/raw/master/csl-citation.json"}</w:instrText>
      </w:r>
      <w:r w:rsidR="00A60D9B">
        <w:rPr>
          <w:rFonts w:ascii="Times New Roman" w:hAnsi="Times New Roman" w:cs="Times New Roman"/>
          <w:color w:val="212121"/>
          <w:sz w:val="24"/>
          <w:szCs w:val="24"/>
          <w:shd w:val="clear" w:color="auto" w:fill="FFFFFF"/>
        </w:rPr>
        <w:fldChar w:fldCharType="separate"/>
      </w:r>
      <w:r w:rsidR="003F195C" w:rsidRPr="003F195C">
        <w:rPr>
          <w:rFonts w:ascii="Times New Roman" w:hAnsi="Times New Roman" w:cs="Times New Roman"/>
          <w:noProof/>
          <w:color w:val="212121"/>
          <w:sz w:val="24"/>
          <w:szCs w:val="24"/>
          <w:shd w:val="clear" w:color="auto" w:fill="FFFFFF"/>
        </w:rPr>
        <w:t>[86]</w:t>
      </w:r>
      <w:r w:rsidR="00A60D9B">
        <w:rPr>
          <w:rFonts w:ascii="Times New Roman" w:hAnsi="Times New Roman" w:cs="Times New Roman"/>
          <w:color w:val="212121"/>
          <w:sz w:val="24"/>
          <w:szCs w:val="24"/>
          <w:shd w:val="clear" w:color="auto" w:fill="FFFFFF"/>
        </w:rPr>
        <w:fldChar w:fldCharType="end"/>
      </w:r>
      <w:r w:rsidR="006C6CAA" w:rsidRPr="00E11754">
        <w:rPr>
          <w:rFonts w:ascii="Times New Roman" w:hAnsi="Times New Roman" w:cs="Times New Roman"/>
          <w:color w:val="212121"/>
          <w:sz w:val="24"/>
          <w:szCs w:val="24"/>
          <w:shd w:val="clear" w:color="auto" w:fill="FFFFFF"/>
        </w:rPr>
        <w:t xml:space="preserve">, LLE </w:t>
      </w:r>
      <w:r w:rsidR="00A60D9B">
        <w:rPr>
          <w:rFonts w:ascii="Times New Roman" w:hAnsi="Times New Roman" w:cs="Times New Roman"/>
          <w:color w:val="212121"/>
          <w:sz w:val="24"/>
          <w:szCs w:val="24"/>
          <w:shd w:val="clear" w:color="auto" w:fill="FFFFFF"/>
        </w:rPr>
        <w:fldChar w:fldCharType="begin" w:fldLock="1"/>
      </w:r>
      <w:r w:rsidR="004818CD">
        <w:rPr>
          <w:rFonts w:ascii="Times New Roman" w:hAnsi="Times New Roman" w:cs="Times New Roman"/>
          <w:color w:val="212121"/>
          <w:sz w:val="24"/>
          <w:szCs w:val="24"/>
          <w:shd w:val="clear" w:color="auto" w:fill="FFFFFF"/>
        </w:rPr>
        <w:instrText>ADDIN CSL_CITATION {"citationItems":[{"id":"ITEM-1","itemData":{"DOI":"10.1097/00007691-199906000-00022","ISSN":"01634356","abstract":"A single high-performance liquid chromatography (HPLC) method, suitable for the analysis of daunorubicin, idarubicin, doxorubicin, epirubicin, and their 13-dihydro metabolites is validated in the present study. Preparation of plasma samples was performed by a first extraction of analytes with a chloroform/1-heptanol mixture (9:1) and reextraction with ortophosphoric acid 0.1 M. The chromatographic analysis was carried out by reversed-phase isocratic elution of anthracyclines with a Supelcosil LC-CN 5 mm column (25 cm x 4.6 mm internal diameter; Supelco) and detection was accomplished by spectrofluorimetry at excitation and emission wavelengths of 480 and 560 nm, respectively. All anthracyclines eluted within 15 minutes of injection and the method appeared to be specific, because the chromatographic assay did not show interferences at the retention time of analytes. The linearity, evaluated over a concentration range of 0.4-10,000 ng/mL, gave regression coefficients better than 0.999, with recoveries of doxorubicin-doxorubicinol and epirubicin-epirubicinol of 67%-109% and 61%-109% respectively, and 93%- 109% for the other compounds. The limits of detection and quantification were 0.4 ng/mL in a 50-mL sample (40 pg/injection) for all anthracyclines tested. The method proved to be precise and accurate, as the within-day and between- day coefficients of variation were less than 10% and the accuracy of the assay was in the range of 91%-107%. Overall results indicate that it is feasible to analyze all the anthracyclines used in clinical practice and their major metabolites with a single optimized method, thereby simplifying their monitoring in chemotherapeutic regimens of cancer patients.","author":[{"dropping-particle":"","family":"Fogli","given":"Stefano","non-dropping-particle":"","parse-names":false,"suffix":""},{"dropping-particle":"","family":"Danesi","given":"Romano","non-dropping-particle":"","parse-names":false,"suffix":""},{"dropping-particle":"","family":"Innocenti","given":"Federico","non-dropping-particle":"","parse-names":false,"suffix":""},{"dropping-particle":"","family":"Paolo","given":"Antonello","non-dropping-particle":"Di","parse-names":false,"suffix":""},{"dropping-particle":"","family":"Bocci","given":"Guido","non-dropping-particle":"","parse-names":false,"suffix":""},{"dropping-particle":"","family":"Barbara","given":"Cecilia","non-dropping-particle":"","parse-names":false,"suffix":""},{"dropping-particle":"","family":"Tacca","given":"Mario","non-dropping-particle":"Del","parse-names":false,"suffix":""}],"container-title":"Therapeutic Drug Monitoring","id":"ITEM-1","issue":"3","issued":{"date-parts":[["1999"]]},"page":"367-375","title":"An improved HPLC method for therapeutic drug monitoring of daunorubicin, idarubicin, doxorubicin, epirubicin, and their 13-dihydro metabolites in human plasma","type":"article-journal","volume":"21"},"uris":["http://www.mendeley.com/documents/?uuid=a35327cf-2860-463c-9627-2e1c15e26f01"]},{"id":"ITEM-2","itemData":{"DOI":"10.1016/j.jchromb.2009.09.044","ISSN":"15700232","abstract":"A quantitative HPLC method with fluorescence detection has been developed for the simultaneous determination of four anthracyclines (doxorubicin, epirubicin, daunorubicin and idarubicin) and their respective 13-S-dihydro metabolites (doxorubicinol, epirubicinol, daunorubicinol and idarubicinol) in plasma and saliva, using epidaunorubicin as internal standard. A progressive optimization matrix led to a two-step extraction based on a protein precipitation with ethanol followed by a liquid-liquid extraction with dichloromethane after pH adjustment to 8.5. The chromatographic separation was performed in 14 min on a C18 column, applying gradient elution with a mixture of 0.1% formic acid in water and 0.1% formic acid in acetonitrile. The analytes were detected and quantified at an excitation and emission wavelength of 480 and 555 nm, respectively. Limit of detection (LOD) and lower limit of quantification (LLOQ) were 0.3 or 0.75, and 1 or 2.5 ng/mL, respectively. Linearity by means of weighted (1/x) regression was obtained from the LLOQ up to 1000 or 2500 ng/mL for the parent drugs and up to 400 or 1000 ng/mL for the metabolites. Intra-assay and inter-assay relative standard deviation values were all less than 14% at low, medium and high levels, and below 17% at the LLOQ. Accuracy ranged between 91 and 113% at low, medium and high concentrations and between 83 and 118% at the LLOQ. Absolute recoveries were between 78 and 88% in plasma, and between 70 and 79% in saliva, respectively. Autosampler, benchtop, freeze-thaw and long-term stability samples fulfilled acceptance criteria. This selective method was applied successfully to the analysis of plasma and saliva samples from patients administered epirubicin intravenously. © 2009 Elsevier B.V. All rights reserved.","author":[{"dropping-particle":"","family":"Maudens","given":"Kristof E.","non-dropping-particle":"","parse-names":false,"suffix":""},{"dropping-particle":"","family":"Stove","given":"Christophe P.","non-dropping-particle":"","parse-names":false,"suffix":""},{"dropping-particle":"","family":"Cocquyt","given":"Veronique F.J.","non-dropping-particle":"","parse-names":false,"suffix":""},{"dropping-particle":"","family":"Denys","given":"Hannelore","non-dropping-particle":"","parse-names":false,"suffix":""},{"dropping-particle":"","family":"Lambert","given":"Willy E.","non-dropping-particle":"","parse-names":false,"suffix":""}],"container-title":"Journal of Chromatography B: Analytical Technologies in the Biomedical and Life Sciences","id":"ITEM-2","issue":"30","issued":{"date-parts":[["2009"]]},"page":"3907-3915","title":"Development and validation of a liquid chromatographic method for the simultaneous determination of four anthracyclines and their respective 13-S-dihydro metabolites in plasma and saliva","type":"article-journal","volume":"877"},"uris":["http://www.mendeley.com/documents/?uuid=31854416-3f13-4172-9e2f-0ab113fdf4f9"]},{"id":"ITEM-3","itemData":{"DOI":"10.1007/s002800050614","ISSN":"03445704","abstract":"A three-compartment model was fitted to idarubicin data in a NONMEM pooled-data approach. Clearance (CL) of 221.7 ml/min was relatively high, and drug distribution was rapid (CL(D) = 248.3 ml/min) and extensive [steady-state volume of distribution (V(ss)) 24 l]. The area under the concentration-time curve (AUC) of idarubicinol was 8 times that of idarubicin. Concentrations of idarubicin (idarubicinol) measured in the myocardium at 24 h after i.v. administration of idarubicin were 20 (5) times those determined in plasma. Tissue concentrations of idarubicinol were up to 400 times those of idarubicin, indicating that the active metabolite contributes significantly to the overall drug action.","author":[{"dropping-particle":"","family":"Looby","given":"Michael","non-dropping-particle":"","parse-names":false,"suffix":""},{"dropping-particle":"","family":"Linke","given":"Ronald","non-dropping-particle":"","parse-names":false,"suffix":""},{"dropping-particle":"","family":"Weiss","given":"Michael","non-dropping-particle":"","parse-names":false,"suffix":""}],"container-title":"Cancer Chemotherapy and Pharmacology","id":"ITEM-3","issue":"6","issued":{"date-parts":[["1997"]]},"page":"554-556","title":"Pharmacokinetics and tissue distribution of idarubicin and its active metabolite idarubicinol in the rabbit","type":"article-journal","volume":"39"},"uris":["http://www.mendeley.com/documents/?uuid=bf965162-1b41-4620-9d66-6e0f6228a4ff"]}],"mendeley":{"formattedCitation":"[68], [87], [88]","plainTextFormattedCitation":"[68], [87], [88]","previouslyFormattedCitation":"[68], [87], [88]"},"properties":{"noteIndex":0},"schema":"https://github.com/citation-style-language/schema/raw/master/csl-citation.json"}</w:instrText>
      </w:r>
      <w:r w:rsidR="00A60D9B">
        <w:rPr>
          <w:rFonts w:ascii="Times New Roman" w:hAnsi="Times New Roman" w:cs="Times New Roman"/>
          <w:color w:val="212121"/>
          <w:sz w:val="24"/>
          <w:szCs w:val="24"/>
          <w:shd w:val="clear" w:color="auto" w:fill="FFFFFF"/>
        </w:rPr>
        <w:fldChar w:fldCharType="separate"/>
      </w:r>
      <w:r w:rsidR="004818CD" w:rsidRPr="004818CD">
        <w:rPr>
          <w:rFonts w:ascii="Times New Roman" w:hAnsi="Times New Roman" w:cs="Times New Roman"/>
          <w:noProof/>
          <w:color w:val="212121"/>
          <w:sz w:val="24"/>
          <w:szCs w:val="24"/>
          <w:shd w:val="clear" w:color="auto" w:fill="FFFFFF"/>
        </w:rPr>
        <w:t>[68], [87], [88]</w:t>
      </w:r>
      <w:r w:rsidR="00A60D9B">
        <w:rPr>
          <w:rFonts w:ascii="Times New Roman" w:hAnsi="Times New Roman" w:cs="Times New Roman"/>
          <w:color w:val="212121"/>
          <w:sz w:val="24"/>
          <w:szCs w:val="24"/>
          <w:shd w:val="clear" w:color="auto" w:fill="FFFFFF"/>
        </w:rPr>
        <w:fldChar w:fldCharType="end"/>
      </w:r>
      <w:r w:rsidR="00A60D9B">
        <w:rPr>
          <w:rFonts w:ascii="Times New Roman" w:hAnsi="Times New Roman" w:cs="Times New Roman"/>
          <w:color w:val="212121"/>
          <w:sz w:val="24"/>
          <w:szCs w:val="24"/>
          <w:shd w:val="clear" w:color="auto" w:fill="FFFFFF"/>
        </w:rPr>
        <w:t xml:space="preserve"> </w:t>
      </w:r>
      <w:r w:rsidR="006C6CAA" w:rsidRPr="00E11754">
        <w:rPr>
          <w:rFonts w:ascii="Times New Roman" w:hAnsi="Times New Roman" w:cs="Times New Roman"/>
          <w:color w:val="212121"/>
          <w:sz w:val="24"/>
          <w:szCs w:val="24"/>
          <w:shd w:val="clear" w:color="auto" w:fill="FFFFFF"/>
        </w:rPr>
        <w:t>bądź SPE z użyciem kolumienek C18</w:t>
      </w:r>
      <w:r w:rsidR="00A60D9B">
        <w:rPr>
          <w:rFonts w:ascii="Times New Roman" w:hAnsi="Times New Roman" w:cs="Times New Roman"/>
          <w:color w:val="212121"/>
          <w:sz w:val="24"/>
          <w:szCs w:val="24"/>
          <w:shd w:val="clear" w:color="auto" w:fill="FFFFFF"/>
        </w:rPr>
        <w:t xml:space="preserve"> </w:t>
      </w:r>
      <w:r w:rsidR="00A60D9B">
        <w:rPr>
          <w:rFonts w:ascii="Times New Roman" w:hAnsi="Times New Roman" w:cs="Times New Roman"/>
          <w:color w:val="212121"/>
          <w:sz w:val="24"/>
          <w:szCs w:val="24"/>
          <w:shd w:val="clear" w:color="auto" w:fill="FFFFFF"/>
        </w:rPr>
        <w:fldChar w:fldCharType="begin" w:fldLock="1"/>
      </w:r>
      <w:r w:rsidR="003F195C">
        <w:rPr>
          <w:rFonts w:ascii="Times New Roman" w:hAnsi="Times New Roman" w:cs="Times New Roman"/>
          <w:color w:val="212121"/>
          <w:sz w:val="24"/>
          <w:szCs w:val="24"/>
          <w:shd w:val="clear" w:color="auto" w:fill="FFFFFF"/>
        </w:rPr>
        <w:instrText>ADDIN CSL_CITATION {"citationItems":[{"id":"ITEM-1","itemData":{"ISSN":"08876924","abstract":"Idarubicin is the first anthracycline that can be successfully administered via the oral route and thus may facilitate antineoplastic chemotherapy at an improved quality of life. These perspectives are somewhat hampered by the large variation in bioavailability between individual patients and the obvious requirement to monitor plasma concentration and area-under-the curve values (AUC) for an appropriate adjustment of idarubicin dose. In this study we describe the pharmacokinetics of idarubicin and its main metabolite idarubicinol in 12 patients after oral application of 20 mg/m2 idarubicin on 3 consecutive days and demonstrate that the 24-h trough levels shows a high correlation with AUC and may thus allow a rapid and easy determination of individual drug concentrations and an appropriate dose adjustment. The average terminal half-life was 30.5 h for idarubicin and 66.9 h for idarubicinol. The AUC for idarubicin and its main metabolite idarubicinol revealed a substantial interpatient variation with AUC values ranging from 25.7 to 114 ng x h/ml (average 58.1 ng x h/ml) for idarubicin and from 109.4-445.2 ng x h/ml (average 287.3 ng x h/ml) for idarubicinol. However, the ratio of idarubicin/idarubicinol differed only two-fold from 1:3.7 to 1:7.7 with an average of 1:5.1. Both idarubicin and idarubicinol concentrations were highly reproducible, however, upon measurements after repeated applications within individual patients. Moreover, idarubicinol and idarubicin AUCs showed a good correlation with r = 0.78, indicating that the interindividual variations of idarubicin AUC reflects differences in absorption rather than in metabolism. In order to describe the interindividual bioavailability of idarubicin - represented by the respective AUC - measurement of a single data point with a high correlation with the AUC would be ideal. Our study demonstrates that the 24-h trough level shows such an excellent correlation (r = 0.96) with AUC, making it the perfect candidate for fast estimates of the individual bioavailability in a given patient. On this basis, the longitudinal measurement of the 24-h trough level may allow the assessment of the impact of interindividual variations in AUC on clinical outcome and toxicity.","author":[{"dropping-particle":"","family":"Schleyer","given":"E.","non-dropping-particle":"","parse-names":false,"suffix":""},{"dropping-particle":"","family":"Kühn","given":"S.","non-dropping-particle":"","parse-names":false,"suffix":""},{"dropping-particle":"","family":"Rührs","given":"H.","non-dropping-particle":"","parse-names":false,"suffix":""},{"dropping-particle":"","family":"Unterhalt","given":"M.","non-dropping-particle":"","parse-names":false,"suffix":""},{"dropping-particle":"","family":"Kaufmann","given":"C. C.","non-dropping-particle":"","parse-names":false,"suffix":""},{"dropping-particle":"","family":"Kern","given":"W.","non-dropping-particle":"","parse-names":false,"suffix":""},{"dropping-particle":"","family":"Braess","given":"J.","non-dropping-particle":"","parse-names":false,"suffix":""},{"dropping-particle":"","family":"Sträubel","given":"G.","non-dropping-particle":"","parse-names":false,"suffix":""},{"dropping-particle":"","family":"Hiddemann","given":"W.","non-dropping-particle":"","parse-names":false,"suffix":""}],"container-title":"Leukemia","id":"ITEM-1","issue":"4","issued":{"date-parts":[["1996"]]},"page":"707-712","title":"Oral idarubicin pharmacokinetics - Correlation of trough level with idarubicin area under curve","type":"article-journal","volume":"10"},"uris":["http://www.mendeley.com/documents/?uuid=bea1a85e-079e-4b59-8186-80ea9eed8a3e"]},{"id":"ITEM-2","itemData":{"DOI":"10.1007/BF00685117","ISSN":"03445704","abstract":"A total of 9 patients entered in a phase I trial who received oral idarubicin daily for 3 days took part in pharmacokinetic studies, and bioavailability studies were performed on 13 additional patients receiving single doses of oral idarubicin alternating with i.v. treatment. The data were best fit by a two-compartment model (distribution and elimination compartments for i.v. drug and absorption and single-phase elimination for oral drug). For different idarubicin doses in the phase I and bioavailability studies, the median values for the terminal half-life of idarubicin varied from 5.6 to 11.6 h. High concentrations of the active metabolite idarubicinol were formed. Idarubicinol was climinated more slowly than was the parent compound, with median half-lives for different dose levels varying from 8 to 32.7 h. Although most pharmacokinetic parameters were similar in plasma and whole blood, peak concentrations and AUCs in whole blood were about 3-4 times those calculated in plasma for idarubicin and about 1.5-2 times those determined in plasma for idarubicinol, indicating fairly extensive uptake into erythrocytes. Oral bioavailability was determined by comparing oral idarubicin to i.v. drug with respect to the combined idarubicin and idarubicinol plasma AUCs, and it varied from 12%-49% (median, 29%). Bioavailability was essentially the same (30%) when whole-blood values were used. Urinary excretion of the drug was &lt;5% of the delivered dose by 96 h. Granulocytopenia correlated with plasma idarubicinol \"estimated\" clearance and steady-state volume of distribution, with whole-blood idarubicinol AUC, area under the moment curve (AuMC), and \"estimated\" clearance and volume of distribution, and with whole-blood combined idarubicin and idarubicinol AUCs. This suggests that drug contained in erythrocytes plays a major role in toxicity and that idarubicinol may play a larger role in toxicity than does the parent compound. © 1991 Springer-Verlag.","author":[{"dropping-particle":"","family":"Stewart","given":"David J.","non-dropping-particle":"","parse-names":false,"suffix":""},{"dropping-particle":"","family":"Grewaal","given":"Darshan","non-dropping-particle":"","parse-names":false,"suffix":""},{"dropping-particle":"","family":"Green","given":"Robert M.","non-dropping-particle":"","parse-names":false,"suffix":""},{"dropping-particle":"","family":"Verma","given":"Shailendra","non-dropping-particle":"","parse-names":false,"suffix":""},{"dropping-particle":"","family":"Maroun","given":"Jean A.","non-dropping-particle":"","parse-names":false,"suffix":""},{"dropping-particle":"","family":"Redmond","given":"Deidre","non-dropping-particle":"","parse-names":false,"suffix":""},{"dropping-particle":"","family":"Robillard","given":"Lucille","non-dropping-particle":"","parse-names":false,"suffix":""},{"dropping-particle":"","family":"Gupta","given":"Sunil","non-dropping-particle":"","parse-names":false,"suffix":""}],"container-title":"Cancer Chemotherapy and Pharmacology","id":"ITEM-2","issue":"4","issued":{"date-parts":[["1991"]]},"page":"308-314","title":"Bioavailability and pharmacology of oral idarubicin","type":"article-journal","volume":"27"},"uris":["http://www.mendeley.com/documents/?uuid=a93f0d47-761b-4ac9-8c26-baadad600de5"]},{"id":"ITEM-3","itemData":{"DOI":"10.1007/s00280-006-0332-4","ISSN":"03445704","abstract":"Objective: High dose (HD) Ara-C combined with a single HD idarubicin dose (IDA) is an efficient and safe salvage regimen for patients with refractory or relapsed acute lymphoblastic leukemia as indicated by phase II studies. No data are available on the pharmacokinetics of IDA after a rapid HD intravenous infusion. An open phase II pharmacokinetic and clinical study was performed to evaluate antileukemic efficacy, IDA pharmacokinetics and to investigate the presence of IDA and its reduced metabolite idarubicinol (IDAol) in cerebrospinal fluid (CSF) of patients treated with HD-IDA. Patients and methods: Twenty-five patients with refractory or relapsed acute lymphoblastic leukemia received Ara-C 3 g/m2 from days 1-5, idarubicin (HD-IDA) 40 mg/m2 as rapid intravenous (i.v.) infusion on day 3 and subcutaneous G-CSF 5 μg/kg from day 7 until PMN recovery. Pharmacokinetics of IDA was evaluated after HD idarubicin administration in nine of these patients. CSF samples were collected in 15 patients at different times. IDA and IDAol concentrations were quantified by a validated HPLC assay described in detail elsewhere. Results: Eleven patients (44%, 95% CI: 23-65%) achieved complete remission with median disease free survival for 6 months. After administration of HD-IDA i.v. bolus of 40 mg/m2, plasma level profiles of unchanged drug and IDAol were similar to those previously described after standard dose and measured with the same analytical method. The mean terminal half-life measured for IDA in this group of patients (14.9 h) was not significantly different from the mean value observed after standard dose (13.9 h, P = 0.72). IDAol t 1/2 was also similar after HD-IDA (46.2 h) and standard dose (39.4 h, P = 0.79). Pharmacokinetic data reveal that in our series of patients IDA and IDAol clearances are significantly higher than those observed in patients treated with 12 mg/m 2 of IDA but, although the administered dose (mg/m2) of the drug is 3.3 times higher, IDA exposure (measured in terms of AUC) is only 2.3 times and IDAol exposition 2.1 times greater. Furthermore, HD infusion resulted in a ratio between the AUC of parent drug and idarubicinol not different from the value observed with the standard-dose. IDA and IDAol were measurable only in 3 of the 15 cerebrospinal fluid samples collected. Conclusion: Responses observed in our series are comparable to those reported with other salvage regimens. The IDA exposure lower than expected may explain the safety of the …","author":[{"dropping-particle":"","family":"Tedeschi","given":"Alessandra","non-dropping-particle":"","parse-names":false,"suffix":""},{"dropping-particle":"","family":"Montillo","given":"Marco","non-dropping-particle":"","parse-names":false,"suffix":""},{"dropping-particle":"","family":"Strocchi","given":"Elena","non-dropping-particle":"","parse-names":false,"suffix":""},{"dropping-particle":"","family":"Cafro","given":"Anna Maria","non-dropping-particle":"","parse-names":false,"suffix":""},{"dropping-particle":"","family":"Tresoldi","given":"Elisabetta","non-dropping-particle":"","parse-names":false,"suffix":""},{"dropping-particle":"","family":"Intropido","given":"Liliana","non-dropping-particle":"","parse-names":false,"suffix":""},{"dropping-particle":"","family":"Nichelatti","given":"Michele","non-dropping-particle":"","parse-names":false,"suffix":""},{"dropping-particle":"","family":"Marbello","given":"Laura","non-dropping-particle":"","parse-names":false,"suffix":""},{"dropping-particle":"","family":"Baratè","given":"Claudia","non-dropping-particle":"","parse-names":false,"suffix":""},{"dropping-particle":"","family":"Camaggi","given":"Carlo Maurizio","non-dropping-particle":"","parse-names":false,"suffix":""},{"dropping-particle":"","family":"Morra","given":"Enrica","non-dropping-particle":"","parse-names":false,"suffix":""}],"container-title":"Cancer Chemotherapy and Pharmacology","id":"ITEM-3","issue":"6","issued":{"date-parts":[["2007"]]},"page":"771-779","title":"High-dose idarubicin in combination with Ara-C in patients with relapsed or refractory acute lymphoblastic leukemia: A pharmacokinetic and clinical study","type":"article-journal","volume":"59"},"uris":["http://www.mendeley.com/documents/?uuid=8fa699f5-e64d-4192-8285-9e1657ffb224"]},{"id":"ITEM-4","itemData":{"DOI":"10.1002/rcm.1642","ISSN":"09514198","abstract":"Health-care workers handling antineoplastic agents may be exposed to extremely low doses of these drugs. Very sensitive and specific analytical methods are therefore needed for biological monitoring. The aim of this study was to develop and validate a method for trace level determination of doxorubicin, epirubicin, daunorubicin and idarubicin in human urine, using epi-daunorubicin as an internal standard. Solid-phase extraction (SPE) was used for sample preparation. Urine samples were loaded onto Bond Elut C18 cartridges. The analytes were eluted in methylene chloride/2-propanol (1:1, v/v) and then evaporated to dryness. The residue was reconstituted with the mobile phase prior to high-performance liquid chromatography/tandem mass spectrometry (HPLC/MS/ MS) analysis. Quantitation of each analyte was performed using the multiple reaction monitoring (MRM) method. The urine assay was linear over the range 0.1-2.0 μg/L, with a lower limit of quantification (LLOQ) of 0.10 μg/L for doxorubicin and epirubicin, and 0.03 μg/L for daunorubicin and idarubicin. The respective limits of detection (LODs) were 0.04 and 0.01 μg/L. The precision and accuracy of the assay were determined on three different days. The within-series precision was found to be always less than 13.9% for all the analytes. The overall precision expressed as relative standard deviation (RSD) was always less than 10.6%. The recovery of anthracyclines was assessed at two concentrations of the range tested (0.1 and 2.0 μg/L) and it ranged from 87.7% (daunorubicin) to 102.0% (doxorubicin) and from 79.1% (daunorubicin) to 90.7% (idarubicin) for the lower and the higher level, respectively, with a RSD always less than 9.1%. The uncertainty of the present assay was also evaluated and the combined uncertainty was always less than 20% over all the days of the validation study. This is the first method that makes use of LC/MS/MS for the biological monitoring of occupational exposure to anthracyclines. Copyright © 2004 John Wiley &amp; Sons, Ltd.","author":[{"dropping-particle":"","family":"Sottani","given":"Cristina","non-dropping-particle":"","parse-names":false,"suffix":""},{"dropping-particle":"","family":"Tranfo","given":"Giovanna","non-dropping-particle":"","parse-names":false,"suffix":""},{"dropping-particle":"","family":"Bettinelli","given":"Maurizio","non-dropping-particle":"","parse-names":false,"suffix":""},{"dropping-particle":"","family":"Faranda","given":"Paolo","non-dropping-particle":"","parse-names":false,"suffix":""},{"dropping-particle":"","family":"Spagnoli","given":"Mariangela","non-dropping-particle":"","parse-names":false,"suffix":""},{"dropping-particle":"","family":"Minoia","given":"Claudio","non-dropping-particle":"","parse-names":false,"suffix":""}],"container-title":"Rapid Communications in Mass Spectrometry","id":"ITEM-4","issue":"20","issued":{"date-parts":[["2004"]]},"page":"2426-2436","title":"Trace determination of anthracyclines in urine: A new high-performance liquid chromatography/tandem mass spectrometry method for assessing exposure of hospital personnel","type":"article-journal","volume":"18"},"uris":["http://www.mendeley.com/documents/?uuid=c2101765-022b-47e8-8beb-c12cf909e5b3"]},{"id":"ITEM-5","itemData":{"DOI":"10.1016/S0378-4347(99)00529-0","ISSN":"13872273","PMID":"10718646","abstract":"A sensitive and very specific method, using liquid chromatography- electrospray mass spectrometry (LC-ES-MS), was developed for the determination of epirubicin, doxorubicin, daunorubicin, idarubicin and the respective active metabolites of the last three, namely doxorubicinol, daunorubicinol and idarubicinol in human serum, using aclarubicin as internal standard. Once thawed, 0.5-ml serum samples underwent an automated solid- phase extraction, using C18 Bond Elut cartridges (Varian) and a Zymark Rapid-Trace robot. After elution of the compounds with chloroform-2-propanol (4:1, v/v) and evaporation, the residue was reconstituted with a mixture of 5 Mm ammonium formate buffer (Ph 4.5)-acetonitrile (60:40, v/v). The chromatographic separation was performed using a Symmetry C18, 3.5 μm (150x1 mm I.D.) reversed-phase column, and a mixture of 5 Mm ammonium formate buffer (Ph 3)-acetonitrile (70:30, v/v) as mobile phase, delivered at 50 μl/min. The compounds were detected in the selected ion monitoring mode using, as quantitation ions, m/z 291 for idarubicin and idarubicinol, m/z 321 for daunorubicin and daunorubicinol, m/z 361 for epirubicin and doxorubicin, m/z 363 for doxorubicinol and m/z 812 for aclarubicin (I.S.). Extraction recovery was between 71 and 105% depending on compounds and concentration. The limit of detection was 0.5 ng/ml for daunorubicin and idarubicinol, 1 ng/ml for doxorubicin, epirubicin and idarubicin, 2 ng/ml for daunorubicinol and 2.5 ng/ml for doxorubicinol. The limit of quantitation (LOQ) was 2.5 ng/ml for doxorubicin, epirubicin and daunorubicinol, and 5 ng/ml for daunorubicin, idarubicin, doxorubicinol and idarubicinol. Linearity was verified from these LOQs up to 2000 ng/ml for the parent drugs (r≥0.992) and 200 ng/ml for the active metabolites (r≥0.985). Above LOQ, the within-day and between-day precision relative standard deviation values were all less than 15%. This assay was applied successfully to the analysis of human serum samples collected in patients administered doxorubicin or daunorubicin intravenously. This method is rapid, reliable, allows an easy sample preparation owing to the automated extraction and a high selectivity owing to MS detection. (C) 2000 Elsevier Science B.V.","author":[{"dropping-particle":"","family":"Lachâtre","given":"F.","non-dropping-particle":"","parse-names":false,"suffix":""},{"dropping-particle":"","family":"Marquet","given":"P.","non-dropping-particle":"","parse-names":false,"suffix":""},{"dropping-particle":"","family":"Ragot","given":"S.","non-dropping-particle":"","parse-names":false,"suffix":""},{"dropping-particle":"","family":"Gaulier","given":"J. M.","non-dropping-particle":"","parse-names":false,"suffix":""},{"dropping-particle":"","family":"Cardot","given":"P.","non-dropping-particle":"","parse-names":false,"suffix":""},{"dropping-particle":"","family":"Dupuy","given":"J. L.","non-dropping-particle":"","parse-names":false,"suffix":""}],"container-title":"Journal of Chromatography B: Biomedical Sciences and Applications","id":"ITEM-5","issue":"2","issued":{"date-parts":[["2000"]]},"page":"281-291","title":"Simultaneous determination of four anthracyclines and three metabolites in human serum by liquid chromatography-electrospray mass spectrometry","type":"article-journal","volume":"738"},"uris":["http://www.mendeley.com/documents/?uuid=992a15b5-431d-4899-8103-a61cc23e8610"]},{"id":"ITEM-6","itemData":{"DOI":"10.1007/BF00686300","ISSN":"03445704","abstract":"A specific, sensitive, and reliable high-performance liquid chromatographic (HPLC) method for the determination of idarubicin (IDA) and its known fluorescent metabolites idarubicinol (IDAol) and 4-demethoxy-daunomycinone (AG1) in biological fluids (human plasma and urine) was developed and tested. Plasma samples were solid-phase-extracted (C18 bonded silica cartridges). Complete separation of unchanged drugs and metabolites was achieved on a Cyanopropyl chromatographic column (25 cm×4.6 mm inside diameter; particle size, 5 μm) using fluorescence detection (excitation wavelength, 470 nm; emission wavelength, 580 nm). Sensitivity was better than 0.2 ng/ml for all analytes; rates of recovery of unchanged drug and metabolites were better than 84.5% (IDA), 80.3% (IDAol), and 83.9% (AG1). The interassay coefficient of variation was 6.5% for IDA, 5.8% for IDAol, and 9.8% for AG1. Mean intra-assay precision was 4.6% for IDA, 5.9% for IDAol, and 5.0% for AG1 at sample concentrations of above 1 ng/ml and 12.1% for IDA, 10.8% for IDAol, and 14.1% for AG1 at sample concentrations of below 1 ng/ml. © 1992 Springer-Verlag.","author":[{"dropping-particle":"","family":"Camaggi","given":"Carlo M.","non-dropping-particle":"","parse-names":false,"suffix":""},{"dropping-particle":"","family":"Carisi","given":"Patrizia","non-dropping-particle":"","parse-names":false,"suffix":""},{"dropping-particle":"","family":"Strocchi","given":"Elena","non-dropping-particle":"","parse-names":false,"suffix":""},{"dropping-particle":"","family":"Pannuti","given":"Franco","non-dropping-particle":"","parse-names":false,"suffix":""}],"container-title":"Cancer Chemotherapy and Pharmacology","id":"ITEM-6","issue":"4","issued":{"date-parts":[["1992"]]},"page":"303-306","title":"High-performance liquid chromatographic analysis of idarubicin and fluorescent metabolites in biological fluids","type":"article-journal","volume":"30"},"uris":["http://www.mendeley.com/documents/?uuid=1b867c50-4fe5-4b1f-8bc2-bec53793d7e2"]}],"mendeley":{"formattedCitation":"[55], [84], [89]–[92]","plainTextFormattedCitation":"[55], [84], [89]–[92]","previouslyFormattedCitation":"[55], [84], [89]–[92]"},"properties":{"noteIndex":0},"schema":"https://github.com/citation-style-language/schema/raw/master/csl-citation.json"}</w:instrText>
      </w:r>
      <w:r w:rsidR="00A60D9B">
        <w:rPr>
          <w:rFonts w:ascii="Times New Roman" w:hAnsi="Times New Roman" w:cs="Times New Roman"/>
          <w:color w:val="212121"/>
          <w:sz w:val="24"/>
          <w:szCs w:val="24"/>
          <w:shd w:val="clear" w:color="auto" w:fill="FFFFFF"/>
        </w:rPr>
        <w:fldChar w:fldCharType="separate"/>
      </w:r>
      <w:r w:rsidR="003F195C" w:rsidRPr="003F195C">
        <w:rPr>
          <w:rFonts w:ascii="Times New Roman" w:hAnsi="Times New Roman" w:cs="Times New Roman"/>
          <w:noProof/>
          <w:color w:val="212121"/>
          <w:sz w:val="24"/>
          <w:szCs w:val="24"/>
          <w:shd w:val="clear" w:color="auto" w:fill="FFFFFF"/>
        </w:rPr>
        <w:t>[55], [84], [89]–[92]</w:t>
      </w:r>
      <w:r w:rsidR="00A60D9B">
        <w:rPr>
          <w:rFonts w:ascii="Times New Roman" w:hAnsi="Times New Roman" w:cs="Times New Roman"/>
          <w:color w:val="212121"/>
          <w:sz w:val="24"/>
          <w:szCs w:val="24"/>
          <w:shd w:val="clear" w:color="auto" w:fill="FFFFFF"/>
        </w:rPr>
        <w:fldChar w:fldCharType="end"/>
      </w:r>
      <w:r w:rsidR="006C6CAA" w:rsidRPr="2506C974">
        <w:rPr>
          <w:rFonts w:ascii="Times New Roman" w:hAnsi="Times New Roman" w:cs="Times New Roman"/>
          <w:color w:val="212121"/>
          <w:sz w:val="24"/>
          <w:szCs w:val="24"/>
          <w:shd w:val="clear" w:color="auto" w:fill="FFFFFF"/>
        </w:rPr>
        <w:t xml:space="preserve">. Brakowało natomiast doniesień opisujących </w:t>
      </w:r>
      <w:r w:rsidR="006C6CAA" w:rsidRPr="00E11754">
        <w:rPr>
          <w:rFonts w:ascii="Times New Roman" w:hAnsi="Times New Roman" w:cs="Times New Roman"/>
          <w:color w:val="212121"/>
          <w:sz w:val="24"/>
          <w:szCs w:val="24"/>
          <w:shd w:val="clear" w:color="auto" w:fill="FFFFFF"/>
        </w:rPr>
        <w:t>procedury</w:t>
      </w:r>
      <w:r w:rsidR="00522A7A" w:rsidRPr="00E11754">
        <w:rPr>
          <w:rFonts w:ascii="Times New Roman" w:hAnsi="Times New Roman" w:cs="Times New Roman"/>
          <w:color w:val="212121"/>
          <w:sz w:val="24"/>
          <w:szCs w:val="24"/>
          <w:shd w:val="clear" w:color="auto" w:fill="FFFFFF"/>
        </w:rPr>
        <w:t xml:space="preserve"> </w:t>
      </w:r>
      <w:r w:rsidR="006C6CAA" w:rsidRPr="00E11754">
        <w:rPr>
          <w:rFonts w:ascii="Times New Roman" w:hAnsi="Times New Roman" w:cs="Times New Roman"/>
          <w:color w:val="212121"/>
          <w:sz w:val="24"/>
          <w:szCs w:val="24"/>
          <w:shd w:val="clear" w:color="auto" w:fill="FFFFFF"/>
        </w:rPr>
        <w:t xml:space="preserve">z zastosowaniem SPE bazującej na innych złożach fazy stacjonarnej, jak również SPME. Tym samym, zainteresowano się tym tematem, aby zaproponować aktualną metodę LC-FL wraz z jej pełną walidacją oraz aplikacją kliniczną do monitorowania </w:t>
      </w:r>
      <w:proofErr w:type="spellStart"/>
      <w:r w:rsidR="006C6CAA" w:rsidRPr="00E11754">
        <w:rPr>
          <w:rFonts w:ascii="Times New Roman" w:hAnsi="Times New Roman" w:cs="Times New Roman"/>
          <w:color w:val="212121"/>
          <w:sz w:val="24"/>
          <w:szCs w:val="24"/>
          <w:shd w:val="clear" w:color="auto" w:fill="FFFFFF"/>
        </w:rPr>
        <w:t>idarubicyny</w:t>
      </w:r>
      <w:proofErr w:type="spellEnd"/>
      <w:r w:rsidR="006C6CAA" w:rsidRPr="00E11754">
        <w:rPr>
          <w:rFonts w:ascii="Times New Roman" w:hAnsi="Times New Roman" w:cs="Times New Roman"/>
          <w:color w:val="212121"/>
          <w:sz w:val="24"/>
          <w:szCs w:val="24"/>
          <w:shd w:val="clear" w:color="auto" w:fill="FFFFFF"/>
        </w:rPr>
        <w:t xml:space="preserve"> w osoczu i moczu ludzkim. </w:t>
      </w:r>
      <w:r w:rsidR="006C6CAA" w:rsidRPr="00E11754">
        <w:rPr>
          <w:rFonts w:ascii="Times New Roman" w:hAnsi="Times New Roman" w:cs="Times New Roman"/>
          <w:sz w:val="24"/>
          <w:szCs w:val="24"/>
          <w:shd w:val="clear" w:color="auto" w:fill="FFFFFF"/>
        </w:rPr>
        <w:tab/>
      </w:r>
    </w:p>
    <w:p w14:paraId="7CB082FB" w14:textId="455AC2CC" w:rsidR="68F04FAE" w:rsidRPr="00E11754" w:rsidRDefault="68F04FAE" w:rsidP="00BC798E">
      <w:pPr>
        <w:spacing w:before="120" w:after="120" w:line="360" w:lineRule="auto"/>
        <w:jc w:val="both"/>
        <w:rPr>
          <w:rFonts w:ascii="Times New Roman" w:hAnsi="Times New Roman" w:cs="Times New Roman"/>
          <w:b/>
          <w:bCs/>
          <w:i/>
          <w:iCs/>
          <w:sz w:val="24"/>
          <w:szCs w:val="24"/>
        </w:rPr>
      </w:pPr>
      <w:r w:rsidRPr="00E11754">
        <w:rPr>
          <w:rFonts w:ascii="Times New Roman" w:hAnsi="Times New Roman" w:cs="Times New Roman"/>
          <w:b/>
          <w:bCs/>
          <w:i/>
          <w:iCs/>
          <w:sz w:val="24"/>
          <w:szCs w:val="24"/>
        </w:rPr>
        <w:t>Część doświadczalna i wyniki badań</w:t>
      </w:r>
    </w:p>
    <w:p w14:paraId="7BFC2E17" w14:textId="53DD8ACC" w:rsidR="006C6CAA" w:rsidRPr="00E11754" w:rsidRDefault="006C6CAA" w:rsidP="006C6CAA">
      <w:pPr>
        <w:spacing w:line="360" w:lineRule="auto"/>
        <w:jc w:val="both"/>
        <w:rPr>
          <w:rFonts w:ascii="Times New Roman" w:hAnsi="Times New Roman" w:cs="Times New Roman"/>
          <w:sz w:val="24"/>
          <w:szCs w:val="24"/>
          <w:shd w:val="clear" w:color="auto" w:fill="FFFFFF"/>
        </w:rPr>
      </w:pPr>
      <w:r w:rsidRPr="00E11754">
        <w:rPr>
          <w:rFonts w:ascii="Times New Roman" w:hAnsi="Times New Roman" w:cs="Times New Roman"/>
          <w:sz w:val="24"/>
          <w:szCs w:val="24"/>
          <w:shd w:val="clear" w:color="auto" w:fill="FFFFFF"/>
        </w:rPr>
        <w:tab/>
        <w:t xml:space="preserve">W trakcie optymalizowania warunków rozdzielenia </w:t>
      </w:r>
      <w:r w:rsidR="00482D91" w:rsidRPr="00E11754">
        <w:rPr>
          <w:rFonts w:ascii="Times New Roman" w:hAnsi="Times New Roman" w:cs="Times New Roman"/>
          <w:sz w:val="24"/>
          <w:szCs w:val="24"/>
          <w:shd w:val="clear" w:color="auto" w:fill="FFFFFF"/>
        </w:rPr>
        <w:t>chromatograficznego</w:t>
      </w:r>
      <w:r w:rsidRPr="00E11754">
        <w:rPr>
          <w:rFonts w:ascii="Times New Roman" w:hAnsi="Times New Roman" w:cs="Times New Roman"/>
          <w:sz w:val="24"/>
          <w:szCs w:val="24"/>
          <w:shd w:val="clear" w:color="auto" w:fill="FFFFFF"/>
        </w:rPr>
        <w:t xml:space="preserve"> sprawdzano sześć kolumn analitycznych (</w:t>
      </w:r>
      <w:r w:rsidR="004C0BBA" w:rsidRPr="00E11754">
        <w:rPr>
          <w:rFonts w:ascii="Times New Roman" w:hAnsi="Times New Roman" w:cs="Times New Roman"/>
          <w:sz w:val="24"/>
          <w:szCs w:val="24"/>
          <w:shd w:val="clear" w:color="auto" w:fill="FFFFFF"/>
        </w:rPr>
        <w:t>Discovery</w:t>
      </w:r>
      <w:r w:rsidR="00950E22" w:rsidRPr="00E11754">
        <w:rPr>
          <w:rFonts w:ascii="Times New Roman" w:hAnsi="Times New Roman" w:cs="Times New Roman"/>
          <w:sz w:val="24"/>
          <w:szCs w:val="24"/>
          <w:shd w:val="clear" w:color="auto" w:fill="FFFFFF"/>
        </w:rPr>
        <w:t>® HS C18</w:t>
      </w:r>
      <w:r w:rsidR="0033122F" w:rsidRPr="00E11754">
        <w:rPr>
          <w:rFonts w:ascii="Times New Roman" w:hAnsi="Times New Roman" w:cs="Times New Roman"/>
          <w:sz w:val="24"/>
          <w:szCs w:val="24"/>
          <w:shd w:val="clear" w:color="auto" w:fill="FFFFFF"/>
        </w:rPr>
        <w:t xml:space="preserve"> o dwóch różnych długościach (150</w:t>
      </w:r>
      <w:r w:rsidR="006E2DB7" w:rsidRPr="00E11754">
        <w:rPr>
          <w:rFonts w:ascii="Times New Roman" w:hAnsi="Times New Roman" w:cs="Times New Roman"/>
          <w:sz w:val="24"/>
          <w:szCs w:val="24"/>
          <w:shd w:val="clear" w:color="auto" w:fill="FFFFFF"/>
        </w:rPr>
        <w:t xml:space="preserve"> i 250 mm)</w:t>
      </w:r>
      <w:r w:rsidR="004E0C60" w:rsidRPr="00E11754">
        <w:rPr>
          <w:rFonts w:ascii="Times New Roman" w:hAnsi="Times New Roman" w:cs="Times New Roman"/>
          <w:sz w:val="24"/>
          <w:szCs w:val="24"/>
          <w:shd w:val="clear" w:color="auto" w:fill="FFFFFF"/>
        </w:rPr>
        <w:t xml:space="preserve">, </w:t>
      </w:r>
      <w:proofErr w:type="spellStart"/>
      <w:r w:rsidR="004E0C60" w:rsidRPr="00E11754">
        <w:rPr>
          <w:rFonts w:ascii="Times New Roman" w:hAnsi="Times New Roman" w:cs="Times New Roman"/>
          <w:sz w:val="24"/>
          <w:szCs w:val="24"/>
          <w:shd w:val="clear" w:color="auto" w:fill="FFFFFF"/>
        </w:rPr>
        <w:t>Synergi</w:t>
      </w:r>
      <w:proofErr w:type="spellEnd"/>
      <w:r w:rsidR="004E0C60" w:rsidRPr="00E11754">
        <w:rPr>
          <w:rFonts w:ascii="Times New Roman" w:hAnsi="Times New Roman" w:cs="Times New Roman"/>
          <w:sz w:val="24"/>
          <w:szCs w:val="24"/>
          <w:shd w:val="clear" w:color="auto" w:fill="FFFFFF"/>
        </w:rPr>
        <w:t xml:space="preserve"> 4µ Hydro-RP 80A 150</w:t>
      </w:r>
      <w:r w:rsidR="00D6709F" w:rsidRPr="00E11754">
        <w:rPr>
          <w:rFonts w:ascii="Times New Roman" w:hAnsi="Times New Roman" w:cs="Times New Roman"/>
          <w:sz w:val="24"/>
          <w:szCs w:val="24"/>
          <w:shd w:val="clear" w:color="auto" w:fill="FFFFFF"/>
        </w:rPr>
        <w:t xml:space="preserve">, </w:t>
      </w:r>
      <w:proofErr w:type="spellStart"/>
      <w:r w:rsidR="00D6709F" w:rsidRPr="00E11754">
        <w:rPr>
          <w:rFonts w:ascii="Times New Roman" w:hAnsi="Times New Roman" w:cs="Times New Roman"/>
          <w:sz w:val="24"/>
          <w:szCs w:val="24"/>
          <w:shd w:val="clear" w:color="auto" w:fill="FFFFFF"/>
        </w:rPr>
        <w:t>Synergi</w:t>
      </w:r>
      <w:proofErr w:type="spellEnd"/>
      <w:r w:rsidR="00D6709F" w:rsidRPr="00E11754">
        <w:rPr>
          <w:rFonts w:ascii="Times New Roman" w:hAnsi="Times New Roman" w:cs="Times New Roman"/>
          <w:sz w:val="24"/>
          <w:szCs w:val="24"/>
          <w:shd w:val="clear" w:color="auto" w:fill="FFFFFF"/>
        </w:rPr>
        <w:t xml:space="preserve"> 4µ </w:t>
      </w:r>
      <w:r w:rsidR="0061028F" w:rsidRPr="00E11754">
        <w:rPr>
          <w:rFonts w:ascii="Times New Roman" w:hAnsi="Times New Roman" w:cs="Times New Roman"/>
          <w:sz w:val="24"/>
          <w:szCs w:val="24"/>
          <w:shd w:val="clear" w:color="auto" w:fill="FFFFFF"/>
        </w:rPr>
        <w:t>MAX</w:t>
      </w:r>
      <w:r w:rsidR="00D6709F" w:rsidRPr="00E11754">
        <w:rPr>
          <w:rFonts w:ascii="Times New Roman" w:hAnsi="Times New Roman" w:cs="Times New Roman"/>
          <w:sz w:val="24"/>
          <w:szCs w:val="24"/>
          <w:shd w:val="clear" w:color="auto" w:fill="FFFFFF"/>
        </w:rPr>
        <w:t>-RP 80A 150</w:t>
      </w:r>
      <w:r w:rsidR="004C369D" w:rsidRPr="00E11754">
        <w:rPr>
          <w:rFonts w:ascii="Times New Roman" w:hAnsi="Times New Roman" w:cs="Times New Roman"/>
          <w:sz w:val="24"/>
          <w:szCs w:val="24"/>
          <w:shd w:val="clear" w:color="auto" w:fill="FFFFFF"/>
        </w:rPr>
        <w:t xml:space="preserve">, </w:t>
      </w:r>
      <w:proofErr w:type="spellStart"/>
      <w:r w:rsidR="00737D7C" w:rsidRPr="00E11754">
        <w:rPr>
          <w:rFonts w:ascii="Times New Roman" w:hAnsi="Times New Roman" w:cs="Times New Roman"/>
          <w:sz w:val="24"/>
          <w:szCs w:val="24"/>
          <w:shd w:val="clear" w:color="auto" w:fill="FFFFFF"/>
        </w:rPr>
        <w:t>InertSustian</w:t>
      </w:r>
      <w:proofErr w:type="spellEnd"/>
      <w:r w:rsidR="00737D7C" w:rsidRPr="00E11754">
        <w:rPr>
          <w:rFonts w:ascii="Times New Roman" w:hAnsi="Times New Roman" w:cs="Times New Roman"/>
          <w:sz w:val="24"/>
          <w:szCs w:val="24"/>
          <w:shd w:val="clear" w:color="auto" w:fill="FFFFFF"/>
        </w:rPr>
        <w:t xml:space="preserve"> C18</w:t>
      </w:r>
      <w:r w:rsidR="00A00105" w:rsidRPr="00E11754">
        <w:rPr>
          <w:rFonts w:ascii="Times New Roman" w:hAnsi="Times New Roman" w:cs="Times New Roman"/>
          <w:sz w:val="24"/>
          <w:szCs w:val="24"/>
          <w:shd w:val="clear" w:color="auto" w:fill="FFFFFF"/>
        </w:rPr>
        <w:t> </w:t>
      </w:r>
      <w:r w:rsidR="00737D7C" w:rsidRPr="00E11754">
        <w:rPr>
          <w:rFonts w:ascii="Times New Roman" w:hAnsi="Times New Roman" w:cs="Times New Roman"/>
          <w:sz w:val="24"/>
          <w:szCs w:val="24"/>
          <w:shd w:val="clear" w:color="auto" w:fill="FFFFFF"/>
        </w:rPr>
        <w:t>150</w:t>
      </w:r>
      <w:r w:rsidR="00A00105" w:rsidRPr="00E11754">
        <w:rPr>
          <w:rFonts w:ascii="Times New Roman" w:hAnsi="Times New Roman" w:cs="Times New Roman"/>
          <w:sz w:val="24"/>
          <w:szCs w:val="24"/>
          <w:shd w:val="clear" w:color="auto" w:fill="FFFFFF"/>
        </w:rPr>
        <w:t xml:space="preserve"> oraz </w:t>
      </w:r>
      <w:proofErr w:type="spellStart"/>
      <w:r w:rsidR="00A00105" w:rsidRPr="00E11754">
        <w:rPr>
          <w:rFonts w:ascii="Times New Roman" w:hAnsi="Times New Roman" w:cs="Times New Roman"/>
          <w:sz w:val="24"/>
          <w:szCs w:val="24"/>
          <w:shd w:val="clear" w:color="auto" w:fill="FFFFFF"/>
        </w:rPr>
        <w:t>Hypersil</w:t>
      </w:r>
      <w:proofErr w:type="spellEnd"/>
      <w:r w:rsidR="00A00105" w:rsidRPr="00E11754">
        <w:rPr>
          <w:rFonts w:ascii="Times New Roman" w:hAnsi="Times New Roman" w:cs="Times New Roman"/>
          <w:sz w:val="24"/>
          <w:szCs w:val="24"/>
          <w:shd w:val="clear" w:color="auto" w:fill="FFFFFF"/>
        </w:rPr>
        <w:t xml:space="preserve"> BDS C18</w:t>
      </w:r>
      <w:r w:rsidRPr="00E11754">
        <w:rPr>
          <w:rFonts w:ascii="Times New Roman" w:hAnsi="Times New Roman" w:cs="Times New Roman"/>
          <w:sz w:val="24"/>
          <w:szCs w:val="24"/>
          <w:shd w:val="clear" w:color="auto" w:fill="FFFFFF"/>
        </w:rPr>
        <w:t>), jak i zmieniano skład procentowy fazy ruchomej będącej mieszaniną 0,1% kwasu mrówkowego w wodzie (A) i ACN (B) (</w:t>
      </w:r>
      <w:r w:rsidR="004A764D" w:rsidRPr="00E11754">
        <w:rPr>
          <w:rFonts w:ascii="Times New Roman" w:hAnsi="Times New Roman" w:cs="Times New Roman"/>
          <w:sz w:val="24"/>
          <w:szCs w:val="24"/>
          <w:shd w:val="clear" w:color="auto" w:fill="FFFFFF"/>
        </w:rPr>
        <w:t xml:space="preserve">A </w:t>
      </w:r>
      <w:r w:rsidR="005D00DE" w:rsidRPr="00E11754">
        <w:rPr>
          <w:rFonts w:ascii="Times New Roman" w:hAnsi="Times New Roman" w:cs="Times New Roman"/>
          <w:sz w:val="24"/>
          <w:szCs w:val="24"/>
          <w:shd w:val="clear" w:color="auto" w:fill="FFFFFF"/>
        </w:rPr>
        <w:t xml:space="preserve">– od 63 do 75 % oraz B </w:t>
      </w:r>
      <w:r w:rsidR="002826F2" w:rsidRPr="00E11754">
        <w:rPr>
          <w:rFonts w:ascii="Times New Roman" w:hAnsi="Times New Roman" w:cs="Times New Roman"/>
          <w:sz w:val="24"/>
          <w:szCs w:val="24"/>
          <w:shd w:val="clear" w:color="auto" w:fill="FFFFFF"/>
        </w:rPr>
        <w:t>– od 37 do 25 %)</w:t>
      </w:r>
      <w:r w:rsidRPr="00E11754">
        <w:rPr>
          <w:rFonts w:ascii="Times New Roman" w:hAnsi="Times New Roman" w:cs="Times New Roman"/>
          <w:sz w:val="24"/>
          <w:szCs w:val="24"/>
          <w:shd w:val="clear" w:color="auto" w:fill="FFFFFF"/>
        </w:rPr>
        <w:t>.</w:t>
      </w:r>
      <w:r w:rsidR="00482D91" w:rsidRPr="00E11754">
        <w:rPr>
          <w:rFonts w:ascii="Times New Roman" w:hAnsi="Times New Roman" w:cs="Times New Roman"/>
          <w:sz w:val="24"/>
          <w:szCs w:val="24"/>
          <w:shd w:val="clear" w:color="auto" w:fill="FFFFFF"/>
        </w:rPr>
        <w:t xml:space="preserve"> </w:t>
      </w:r>
      <w:r w:rsidR="68F04FAE" w:rsidRPr="00E11754">
        <w:rPr>
          <w:rFonts w:ascii="Times New Roman" w:hAnsi="Times New Roman" w:cs="Times New Roman"/>
          <w:sz w:val="24"/>
          <w:szCs w:val="24"/>
        </w:rPr>
        <w:t xml:space="preserve">Temperatura kolumny, podobnie jak w poprzednich pracach, wynosiła 30 </w:t>
      </w:r>
      <w:proofErr w:type="spellStart"/>
      <w:r w:rsidR="68F04FAE" w:rsidRPr="00E11754">
        <w:rPr>
          <w:rFonts w:ascii="Times New Roman" w:hAnsi="Times New Roman" w:cs="Times New Roman"/>
          <w:sz w:val="24"/>
          <w:szCs w:val="24"/>
          <w:vertAlign w:val="superscript"/>
        </w:rPr>
        <w:t>o</w:t>
      </w:r>
      <w:r w:rsidR="68F04FAE" w:rsidRPr="00E11754">
        <w:rPr>
          <w:rFonts w:ascii="Times New Roman" w:hAnsi="Times New Roman" w:cs="Times New Roman"/>
          <w:sz w:val="24"/>
          <w:szCs w:val="24"/>
        </w:rPr>
        <w:t>C.</w:t>
      </w:r>
      <w:proofErr w:type="spellEnd"/>
      <w:r w:rsidRPr="00E11754">
        <w:rPr>
          <w:rFonts w:ascii="Times New Roman" w:hAnsi="Times New Roman" w:cs="Times New Roman"/>
          <w:sz w:val="24"/>
          <w:szCs w:val="24"/>
          <w:shd w:val="clear" w:color="auto" w:fill="FFFFFF"/>
        </w:rPr>
        <w:t xml:space="preserve"> Najefektywniejsze rozdzielenie </w:t>
      </w:r>
      <w:proofErr w:type="spellStart"/>
      <w:r w:rsidRPr="00E11754">
        <w:rPr>
          <w:rFonts w:ascii="Times New Roman" w:hAnsi="Times New Roman" w:cs="Times New Roman"/>
          <w:sz w:val="24"/>
          <w:szCs w:val="24"/>
          <w:shd w:val="clear" w:color="auto" w:fill="FFFFFF"/>
        </w:rPr>
        <w:t>analitów</w:t>
      </w:r>
      <w:proofErr w:type="spellEnd"/>
      <w:r w:rsidRPr="00E11754">
        <w:rPr>
          <w:rFonts w:ascii="Times New Roman" w:hAnsi="Times New Roman" w:cs="Times New Roman"/>
          <w:sz w:val="24"/>
          <w:szCs w:val="24"/>
          <w:shd w:val="clear" w:color="auto" w:fill="FFFFFF"/>
        </w:rPr>
        <w:t xml:space="preserve"> (</w:t>
      </w:r>
      <w:proofErr w:type="spellStart"/>
      <w:r w:rsidRPr="00E11754">
        <w:rPr>
          <w:rFonts w:ascii="Times New Roman" w:hAnsi="Times New Roman" w:cs="Times New Roman"/>
          <w:sz w:val="24"/>
          <w:szCs w:val="24"/>
          <w:shd w:val="clear" w:color="auto" w:fill="FFFFFF"/>
        </w:rPr>
        <w:t>idarubicyny</w:t>
      </w:r>
      <w:proofErr w:type="spellEnd"/>
      <w:r w:rsidRPr="00E11754">
        <w:rPr>
          <w:rFonts w:ascii="Times New Roman" w:hAnsi="Times New Roman" w:cs="Times New Roman"/>
          <w:sz w:val="24"/>
          <w:szCs w:val="24"/>
          <w:shd w:val="clear" w:color="auto" w:fill="FFFFFF"/>
        </w:rPr>
        <w:t xml:space="preserve"> i </w:t>
      </w:r>
      <w:proofErr w:type="spellStart"/>
      <w:r w:rsidRPr="00E11754">
        <w:rPr>
          <w:rFonts w:ascii="Times New Roman" w:hAnsi="Times New Roman" w:cs="Times New Roman"/>
          <w:sz w:val="24"/>
          <w:szCs w:val="24"/>
          <w:shd w:val="clear" w:color="auto" w:fill="FFFFFF"/>
        </w:rPr>
        <w:t>daunorubicyny</w:t>
      </w:r>
      <w:proofErr w:type="spellEnd"/>
      <w:r w:rsidRPr="00E11754">
        <w:rPr>
          <w:rFonts w:ascii="Times New Roman" w:hAnsi="Times New Roman" w:cs="Times New Roman"/>
          <w:sz w:val="24"/>
          <w:szCs w:val="24"/>
          <w:shd w:val="clear" w:color="auto" w:fill="FFFFFF"/>
        </w:rPr>
        <w:t xml:space="preserve"> użytej jako IS) oraz kształt ich pików otrzymano po zastosowaniu kolumny Discovery HS C18, 250 x 4.6, 5 µm, gdy jako fazę ruchomą zastosowano mieszaninę A:B w proporcjach 67:33, (</w:t>
      </w:r>
      <w:r w:rsidRPr="00E11754">
        <w:rPr>
          <w:rFonts w:ascii="Times New Roman" w:hAnsi="Times New Roman" w:cs="Times New Roman"/>
          <w:i/>
          <w:iCs/>
          <w:sz w:val="24"/>
          <w:szCs w:val="24"/>
          <w:shd w:val="clear" w:color="auto" w:fill="FFFFFF"/>
        </w:rPr>
        <w:t>v</w:t>
      </w:r>
      <w:r w:rsidRPr="00E11754">
        <w:rPr>
          <w:rFonts w:ascii="Times New Roman" w:hAnsi="Times New Roman" w:cs="Times New Roman"/>
          <w:sz w:val="24"/>
          <w:szCs w:val="24"/>
          <w:shd w:val="clear" w:color="auto" w:fill="FFFFFF"/>
        </w:rPr>
        <w:t>/</w:t>
      </w:r>
      <w:r w:rsidRPr="00E11754">
        <w:rPr>
          <w:rFonts w:ascii="Times New Roman" w:hAnsi="Times New Roman" w:cs="Times New Roman"/>
          <w:i/>
          <w:iCs/>
          <w:sz w:val="24"/>
          <w:szCs w:val="24"/>
          <w:shd w:val="clear" w:color="auto" w:fill="FFFFFF"/>
        </w:rPr>
        <w:t>v</w:t>
      </w:r>
      <w:r w:rsidRPr="00E11754">
        <w:rPr>
          <w:rFonts w:ascii="Times New Roman" w:hAnsi="Times New Roman" w:cs="Times New Roman"/>
          <w:sz w:val="24"/>
          <w:szCs w:val="24"/>
          <w:shd w:val="clear" w:color="auto" w:fill="FFFFFF"/>
        </w:rPr>
        <w:t xml:space="preserve">) dla próbek osocza oraz </w:t>
      </w:r>
      <w:r w:rsidR="2C092957" w:rsidRPr="00E11754">
        <w:rPr>
          <w:rFonts w:ascii="Times New Roman" w:hAnsi="Times New Roman" w:cs="Times New Roman"/>
          <w:sz w:val="24"/>
          <w:szCs w:val="24"/>
        </w:rPr>
        <w:t>68:32, (</w:t>
      </w:r>
      <w:r w:rsidR="2C092957" w:rsidRPr="00E11754">
        <w:rPr>
          <w:rFonts w:ascii="Times New Roman" w:hAnsi="Times New Roman" w:cs="Times New Roman"/>
          <w:i/>
          <w:iCs/>
          <w:sz w:val="24"/>
          <w:szCs w:val="24"/>
        </w:rPr>
        <w:t>v</w:t>
      </w:r>
      <w:r w:rsidR="2C092957" w:rsidRPr="00E11754">
        <w:rPr>
          <w:rFonts w:ascii="Times New Roman" w:hAnsi="Times New Roman" w:cs="Times New Roman"/>
          <w:sz w:val="24"/>
          <w:szCs w:val="24"/>
        </w:rPr>
        <w:t>/</w:t>
      </w:r>
      <w:r w:rsidR="2C092957" w:rsidRPr="00E11754">
        <w:rPr>
          <w:rFonts w:ascii="Times New Roman" w:hAnsi="Times New Roman" w:cs="Times New Roman"/>
          <w:i/>
          <w:iCs/>
          <w:sz w:val="24"/>
          <w:szCs w:val="24"/>
        </w:rPr>
        <w:t>v</w:t>
      </w:r>
      <w:r w:rsidR="2C092957" w:rsidRPr="00E11754">
        <w:rPr>
          <w:rFonts w:ascii="Times New Roman" w:hAnsi="Times New Roman" w:cs="Times New Roman"/>
          <w:sz w:val="24"/>
          <w:szCs w:val="24"/>
        </w:rPr>
        <w:t>) dla próbek moczu. P</w:t>
      </w:r>
      <w:r w:rsidRPr="00E11754">
        <w:rPr>
          <w:rFonts w:ascii="Times New Roman" w:hAnsi="Times New Roman" w:cs="Times New Roman"/>
          <w:sz w:val="24"/>
          <w:szCs w:val="24"/>
          <w:shd w:val="clear" w:color="auto" w:fill="FFFFFF"/>
        </w:rPr>
        <w:t xml:space="preserve">rzepływ fazy ruchomej wynosił 1 ml/min, a objętość </w:t>
      </w:r>
      <w:proofErr w:type="spellStart"/>
      <w:r w:rsidRPr="00E11754">
        <w:rPr>
          <w:rFonts w:ascii="Times New Roman" w:hAnsi="Times New Roman" w:cs="Times New Roman"/>
          <w:sz w:val="24"/>
          <w:szCs w:val="24"/>
          <w:shd w:val="clear" w:color="auto" w:fill="FFFFFF"/>
        </w:rPr>
        <w:t>nastrzyku</w:t>
      </w:r>
      <w:proofErr w:type="spellEnd"/>
      <w:r w:rsidRPr="00E11754">
        <w:rPr>
          <w:rFonts w:ascii="Times New Roman" w:hAnsi="Times New Roman" w:cs="Times New Roman"/>
          <w:sz w:val="24"/>
          <w:szCs w:val="24"/>
          <w:shd w:val="clear" w:color="auto" w:fill="FFFFFF"/>
        </w:rPr>
        <w:t xml:space="preserve"> była na poziomie 20 µl. </w:t>
      </w:r>
      <w:proofErr w:type="spellStart"/>
      <w:r w:rsidRPr="00E11754">
        <w:rPr>
          <w:rFonts w:ascii="Times New Roman" w:hAnsi="Times New Roman" w:cs="Times New Roman"/>
          <w:sz w:val="24"/>
          <w:szCs w:val="24"/>
          <w:shd w:val="clear" w:color="auto" w:fill="FFFFFF"/>
        </w:rPr>
        <w:t>Anality</w:t>
      </w:r>
      <w:proofErr w:type="spellEnd"/>
      <w:r w:rsidRPr="00E11754">
        <w:rPr>
          <w:rFonts w:ascii="Times New Roman" w:hAnsi="Times New Roman" w:cs="Times New Roman"/>
          <w:sz w:val="24"/>
          <w:szCs w:val="24"/>
          <w:shd w:val="clear" w:color="auto" w:fill="FFFFFF"/>
        </w:rPr>
        <w:t xml:space="preserve"> monitorowano przy długość fali wzbudzenia i emisji </w:t>
      </w:r>
      <w:r w:rsidR="00482D91" w:rsidRPr="00E11754">
        <w:rPr>
          <w:rFonts w:ascii="Times New Roman" w:hAnsi="Times New Roman" w:cs="Times New Roman"/>
          <w:sz w:val="24"/>
          <w:szCs w:val="24"/>
          <w:shd w:val="clear" w:color="auto" w:fill="FFFFFF"/>
        </w:rPr>
        <w:t>wynoszącej</w:t>
      </w:r>
      <w:r w:rsidRPr="00E11754">
        <w:rPr>
          <w:rFonts w:ascii="Times New Roman" w:hAnsi="Times New Roman" w:cs="Times New Roman"/>
          <w:sz w:val="24"/>
          <w:szCs w:val="24"/>
          <w:shd w:val="clear" w:color="auto" w:fill="FFFFFF"/>
        </w:rPr>
        <w:t xml:space="preserve"> odpowiednio </w:t>
      </w:r>
      <w:r w:rsidRPr="00E11754">
        <w:rPr>
          <w:rFonts w:ascii="Times New Roman" w:hAnsi="Times New Roman" w:cs="Times New Roman"/>
          <w:sz w:val="24"/>
          <w:szCs w:val="24"/>
        </w:rPr>
        <w:t xml:space="preserve">λ= 487 </w:t>
      </w:r>
      <w:proofErr w:type="spellStart"/>
      <w:r w:rsidRPr="00E11754">
        <w:rPr>
          <w:rFonts w:ascii="Times New Roman" w:hAnsi="Times New Roman" w:cs="Times New Roman"/>
          <w:sz w:val="24"/>
          <w:szCs w:val="24"/>
        </w:rPr>
        <w:t>nm</w:t>
      </w:r>
      <w:proofErr w:type="spellEnd"/>
      <w:r w:rsidRPr="00E11754">
        <w:rPr>
          <w:rFonts w:ascii="Times New Roman" w:hAnsi="Times New Roman" w:cs="Times New Roman"/>
          <w:sz w:val="24"/>
          <w:szCs w:val="24"/>
        </w:rPr>
        <w:t xml:space="preserve"> i λ= 547 nm. </w:t>
      </w:r>
    </w:p>
    <w:p w14:paraId="1299038C" w14:textId="499700E0" w:rsidR="006C6CAA" w:rsidRPr="00E11754" w:rsidRDefault="006C6CAA" w:rsidP="2100169C">
      <w:pPr>
        <w:spacing w:line="360" w:lineRule="auto"/>
        <w:jc w:val="both"/>
        <w:rPr>
          <w:rFonts w:ascii="Times New Roman" w:hAnsi="Times New Roman" w:cs="Times New Roman"/>
          <w:color w:val="212121"/>
          <w:sz w:val="24"/>
          <w:szCs w:val="24"/>
        </w:rPr>
      </w:pPr>
      <w:r w:rsidRPr="00E11754">
        <w:rPr>
          <w:rFonts w:ascii="Times New Roman" w:hAnsi="Times New Roman" w:cs="Times New Roman"/>
          <w:color w:val="212121"/>
          <w:sz w:val="24"/>
          <w:szCs w:val="24"/>
          <w:shd w:val="clear" w:color="auto" w:fill="FFFFFF"/>
        </w:rPr>
        <w:tab/>
        <w:t xml:space="preserve">Następnie, podjęto badania dotyczące opracowania protokołu izolacji </w:t>
      </w:r>
      <w:proofErr w:type="spellStart"/>
      <w:r w:rsidRPr="00E11754">
        <w:rPr>
          <w:rFonts w:ascii="Times New Roman" w:hAnsi="Times New Roman" w:cs="Times New Roman"/>
          <w:color w:val="212121"/>
          <w:sz w:val="24"/>
          <w:szCs w:val="24"/>
          <w:shd w:val="clear" w:color="auto" w:fill="FFFFFF"/>
        </w:rPr>
        <w:t>idarubicyny</w:t>
      </w:r>
      <w:proofErr w:type="spellEnd"/>
      <w:r w:rsidRPr="00E11754">
        <w:rPr>
          <w:rFonts w:ascii="Times New Roman" w:hAnsi="Times New Roman" w:cs="Times New Roman"/>
          <w:color w:val="212121"/>
          <w:sz w:val="24"/>
          <w:szCs w:val="24"/>
          <w:shd w:val="clear" w:color="auto" w:fill="FFFFFF"/>
        </w:rPr>
        <w:t xml:space="preserve"> z osocza </w:t>
      </w:r>
      <w:r w:rsidR="00C2168A" w:rsidRPr="00E11754">
        <w:rPr>
          <w:rFonts w:ascii="Times New Roman" w:hAnsi="Times New Roman" w:cs="Times New Roman"/>
          <w:color w:val="212121"/>
          <w:sz w:val="24"/>
          <w:szCs w:val="24"/>
          <w:shd w:val="clear" w:color="auto" w:fill="FFFFFF"/>
        </w:rPr>
        <w:t xml:space="preserve">i </w:t>
      </w:r>
      <w:r w:rsidRPr="00E11754">
        <w:rPr>
          <w:rFonts w:ascii="Times New Roman" w:hAnsi="Times New Roman" w:cs="Times New Roman"/>
          <w:color w:val="212121"/>
          <w:sz w:val="24"/>
          <w:szCs w:val="24"/>
          <w:shd w:val="clear" w:color="auto" w:fill="FFFFFF"/>
        </w:rPr>
        <w:t xml:space="preserve">moczu. W pierwszej kolejności zastosowano </w:t>
      </w:r>
      <w:proofErr w:type="spellStart"/>
      <w:r w:rsidRPr="00E11754">
        <w:rPr>
          <w:rFonts w:ascii="Times New Roman" w:hAnsi="Times New Roman" w:cs="Times New Roman"/>
          <w:color w:val="212121"/>
          <w:sz w:val="24"/>
          <w:szCs w:val="24"/>
          <w:shd w:val="clear" w:color="auto" w:fill="FFFFFF"/>
        </w:rPr>
        <w:t>deproteinizację</w:t>
      </w:r>
      <w:proofErr w:type="spellEnd"/>
      <w:r w:rsidRPr="00E11754">
        <w:rPr>
          <w:rFonts w:ascii="Times New Roman" w:hAnsi="Times New Roman" w:cs="Times New Roman"/>
          <w:color w:val="212121"/>
          <w:sz w:val="24"/>
          <w:szCs w:val="24"/>
          <w:shd w:val="clear" w:color="auto" w:fill="FFFFFF"/>
        </w:rPr>
        <w:t xml:space="preserve">, w ramach której użyto </w:t>
      </w:r>
      <w:r w:rsidR="0021614A" w:rsidRPr="00E11754">
        <w:rPr>
          <w:rFonts w:ascii="Times New Roman" w:hAnsi="Times New Roman" w:cs="Times New Roman"/>
          <w:color w:val="212121"/>
          <w:sz w:val="24"/>
          <w:szCs w:val="24"/>
        </w:rPr>
        <w:t>ACN.</w:t>
      </w:r>
      <w:r w:rsidRPr="00E11754">
        <w:rPr>
          <w:rFonts w:ascii="Times New Roman" w:hAnsi="Times New Roman" w:cs="Times New Roman"/>
          <w:color w:val="212121"/>
          <w:sz w:val="24"/>
          <w:szCs w:val="24"/>
          <w:shd w:val="clear" w:color="auto" w:fill="FFFFFF"/>
        </w:rPr>
        <w:t xml:space="preserve"> Ponadto, przeprowadzono szereg procedur LLE, gdzie zastosowano łącznie</w:t>
      </w:r>
      <w:r w:rsidRPr="00E11754">
        <w:rPr>
          <w:rFonts w:ascii="Times New Roman" w:hAnsi="Times New Roman" w:cs="Times New Roman"/>
          <w:color w:val="212121"/>
          <w:sz w:val="24"/>
          <w:szCs w:val="24"/>
        </w:rPr>
        <w:t xml:space="preserve"> </w:t>
      </w:r>
      <w:r w:rsidR="0021614A" w:rsidRPr="00E11754">
        <w:rPr>
          <w:rFonts w:ascii="Times New Roman" w:hAnsi="Times New Roman" w:cs="Times New Roman"/>
          <w:color w:val="212121"/>
          <w:sz w:val="24"/>
          <w:szCs w:val="24"/>
        </w:rPr>
        <w:t>9 rodzajów</w:t>
      </w:r>
      <w:r w:rsidRPr="00E11754">
        <w:rPr>
          <w:rFonts w:ascii="Times New Roman" w:hAnsi="Times New Roman" w:cs="Times New Roman"/>
          <w:color w:val="212121"/>
          <w:sz w:val="24"/>
          <w:szCs w:val="24"/>
          <w:shd w:val="clear" w:color="auto" w:fill="FFFFFF"/>
        </w:rPr>
        <w:t xml:space="preserve"> odczynników. Wśród nich, testowano DCHM oraz mieszaniny </w:t>
      </w:r>
      <w:proofErr w:type="spellStart"/>
      <w:r w:rsidRPr="00E11754">
        <w:rPr>
          <w:rFonts w:ascii="Times New Roman" w:hAnsi="Times New Roman" w:cs="Times New Roman"/>
          <w:color w:val="212121"/>
          <w:sz w:val="24"/>
          <w:szCs w:val="24"/>
          <w:shd w:val="clear" w:color="auto" w:fill="FFFFFF"/>
        </w:rPr>
        <w:t>Chl</w:t>
      </w:r>
      <w:proofErr w:type="spellEnd"/>
      <w:r w:rsidRPr="00E11754">
        <w:rPr>
          <w:rFonts w:ascii="Times New Roman" w:hAnsi="Times New Roman" w:cs="Times New Roman"/>
          <w:color w:val="212121"/>
          <w:sz w:val="24"/>
          <w:szCs w:val="24"/>
          <w:shd w:val="clear" w:color="auto" w:fill="FFFFFF"/>
        </w:rPr>
        <w:t xml:space="preserve"> z </w:t>
      </w:r>
      <w:proofErr w:type="spellStart"/>
      <w:r w:rsidRPr="00E11754">
        <w:rPr>
          <w:rFonts w:ascii="Times New Roman" w:hAnsi="Times New Roman" w:cs="Times New Roman"/>
          <w:color w:val="212121"/>
          <w:sz w:val="24"/>
          <w:szCs w:val="24"/>
          <w:shd w:val="clear" w:color="auto" w:fill="FFFFFF"/>
        </w:rPr>
        <w:t>MeOH</w:t>
      </w:r>
      <w:proofErr w:type="spellEnd"/>
      <w:r w:rsidRPr="00E11754">
        <w:rPr>
          <w:rFonts w:ascii="Times New Roman" w:hAnsi="Times New Roman" w:cs="Times New Roman"/>
          <w:color w:val="212121"/>
          <w:sz w:val="24"/>
          <w:szCs w:val="24"/>
          <w:shd w:val="clear" w:color="auto" w:fill="FFFFFF"/>
        </w:rPr>
        <w:t xml:space="preserve">, 1-propranolem bądź 2-propranolem. Oceniano także wpływ NaOH, jak również buforu </w:t>
      </w:r>
      <w:r w:rsidRPr="00E11754">
        <w:rPr>
          <w:rFonts w:ascii="Times New Roman" w:hAnsi="Times New Roman" w:cs="Times New Roman"/>
          <w:color w:val="212121"/>
          <w:sz w:val="24"/>
          <w:szCs w:val="24"/>
          <w:shd w:val="clear" w:color="auto" w:fill="FFFFFF"/>
        </w:rPr>
        <w:lastRenderedPageBreak/>
        <w:t>fosforanowego (</w:t>
      </w:r>
      <w:proofErr w:type="spellStart"/>
      <w:r w:rsidRPr="00E11754">
        <w:rPr>
          <w:rFonts w:ascii="Times New Roman" w:hAnsi="Times New Roman" w:cs="Times New Roman"/>
          <w:color w:val="212121"/>
          <w:sz w:val="24"/>
          <w:szCs w:val="24"/>
          <w:shd w:val="clear" w:color="auto" w:fill="FFFFFF"/>
        </w:rPr>
        <w:t>pH</w:t>
      </w:r>
      <w:proofErr w:type="spellEnd"/>
      <w:r w:rsidRPr="00E11754">
        <w:rPr>
          <w:rFonts w:ascii="Times New Roman" w:hAnsi="Times New Roman" w:cs="Times New Roman"/>
          <w:color w:val="212121"/>
          <w:sz w:val="24"/>
          <w:szCs w:val="24"/>
          <w:shd w:val="clear" w:color="auto" w:fill="FFFFFF"/>
        </w:rPr>
        <w:t xml:space="preserve"> 8,5) na wydajność ekstrakcji prowadząc ten proces w dwóch wariantach tj.  </w:t>
      </w:r>
      <w:r w:rsidR="68F04FAE" w:rsidRPr="00E11754">
        <w:rPr>
          <w:rFonts w:ascii="Times New Roman" w:hAnsi="Times New Roman" w:cs="Times New Roman"/>
          <w:color w:val="212121"/>
          <w:sz w:val="24"/>
          <w:szCs w:val="24"/>
        </w:rPr>
        <w:t>bez użycia ultradźwięków,</w:t>
      </w:r>
      <w:r w:rsidRPr="00E11754">
        <w:rPr>
          <w:rFonts w:ascii="Times New Roman" w:hAnsi="Times New Roman" w:cs="Times New Roman"/>
          <w:color w:val="212121"/>
          <w:sz w:val="24"/>
          <w:szCs w:val="24"/>
          <w:shd w:val="clear" w:color="auto" w:fill="FFFFFF"/>
        </w:rPr>
        <w:t xml:space="preserve"> jak i w połączeniu z ultradźwiękami</w:t>
      </w:r>
      <w:r w:rsidR="2C092957" w:rsidRPr="00E11754">
        <w:rPr>
          <w:rFonts w:ascii="Times New Roman" w:hAnsi="Times New Roman" w:cs="Times New Roman"/>
          <w:color w:val="212121"/>
          <w:sz w:val="24"/>
          <w:szCs w:val="24"/>
        </w:rPr>
        <w:t xml:space="preserve"> w temperaturze 37°C przez 10 min</w:t>
      </w:r>
      <w:r w:rsidR="00C2168A" w:rsidRPr="00E11754">
        <w:rPr>
          <w:rFonts w:ascii="Times New Roman" w:hAnsi="Times New Roman" w:cs="Times New Roman"/>
          <w:color w:val="212121"/>
          <w:sz w:val="24"/>
          <w:szCs w:val="24"/>
          <w:shd w:val="clear" w:color="auto" w:fill="FFFFFF"/>
        </w:rPr>
        <w:t>.</w:t>
      </w:r>
      <w:r w:rsidRPr="00E11754">
        <w:rPr>
          <w:rFonts w:ascii="Times New Roman" w:hAnsi="Times New Roman" w:cs="Times New Roman"/>
          <w:color w:val="212121"/>
          <w:sz w:val="24"/>
          <w:szCs w:val="24"/>
          <w:shd w:val="clear" w:color="auto" w:fill="FFFFFF"/>
        </w:rPr>
        <w:t xml:space="preserve"> W przypadku prób osocza oraz moczu, najwyższe wyniki ekstrakcji </w:t>
      </w:r>
      <w:proofErr w:type="spellStart"/>
      <w:r w:rsidRPr="00E11754">
        <w:rPr>
          <w:rFonts w:ascii="Times New Roman" w:hAnsi="Times New Roman" w:cs="Times New Roman"/>
          <w:color w:val="212121"/>
          <w:sz w:val="24"/>
          <w:szCs w:val="24"/>
          <w:shd w:val="clear" w:color="auto" w:fill="FFFFFF"/>
        </w:rPr>
        <w:t>idarubicyny</w:t>
      </w:r>
      <w:proofErr w:type="spellEnd"/>
      <w:r w:rsidRPr="00E11754">
        <w:rPr>
          <w:rFonts w:ascii="Times New Roman" w:hAnsi="Times New Roman" w:cs="Times New Roman"/>
          <w:color w:val="212121"/>
          <w:sz w:val="24"/>
          <w:szCs w:val="24"/>
          <w:shd w:val="clear" w:color="auto" w:fill="FFFFFF"/>
        </w:rPr>
        <w:t xml:space="preserve"> otrzymano po zastosowaniu mieszaniny </w:t>
      </w:r>
      <w:proofErr w:type="spellStart"/>
      <w:r w:rsidRPr="00E11754">
        <w:rPr>
          <w:rFonts w:ascii="Times New Roman" w:hAnsi="Times New Roman" w:cs="Times New Roman"/>
          <w:color w:val="212121"/>
          <w:sz w:val="24"/>
          <w:szCs w:val="24"/>
          <w:shd w:val="clear" w:color="auto" w:fill="FFFFFF"/>
        </w:rPr>
        <w:t>Chl</w:t>
      </w:r>
      <w:proofErr w:type="spellEnd"/>
      <w:r w:rsidRPr="00E11754">
        <w:rPr>
          <w:rFonts w:ascii="Times New Roman" w:hAnsi="Times New Roman" w:cs="Times New Roman"/>
          <w:color w:val="212121"/>
          <w:sz w:val="24"/>
          <w:szCs w:val="24"/>
          <w:shd w:val="clear" w:color="auto" w:fill="FFFFFF"/>
        </w:rPr>
        <w:t xml:space="preserve">: 2-propanol (4:1, </w:t>
      </w:r>
      <w:r w:rsidRPr="00E11754">
        <w:rPr>
          <w:rFonts w:ascii="Times New Roman" w:hAnsi="Times New Roman" w:cs="Times New Roman"/>
          <w:i/>
          <w:iCs/>
          <w:color w:val="212121"/>
          <w:sz w:val="24"/>
          <w:szCs w:val="24"/>
          <w:shd w:val="clear" w:color="auto" w:fill="FFFFFF"/>
        </w:rPr>
        <w:t>v/v</w:t>
      </w:r>
      <w:r w:rsidRPr="00E11754">
        <w:rPr>
          <w:rFonts w:ascii="Times New Roman" w:hAnsi="Times New Roman" w:cs="Times New Roman"/>
          <w:color w:val="212121"/>
          <w:sz w:val="24"/>
          <w:szCs w:val="24"/>
          <w:shd w:val="clear" w:color="auto" w:fill="FFFFFF"/>
        </w:rPr>
        <w:t>) bez wspomagania ultradźwiękami. Kolejne eksperymenty dotyczyły ekstrakcji SPE</w:t>
      </w:r>
      <w:r w:rsidR="00482D91" w:rsidRPr="00E11754">
        <w:rPr>
          <w:rFonts w:ascii="Times New Roman" w:hAnsi="Times New Roman" w:cs="Times New Roman"/>
          <w:color w:val="212121"/>
          <w:sz w:val="24"/>
          <w:szCs w:val="24"/>
          <w:shd w:val="clear" w:color="auto" w:fill="FFFFFF"/>
        </w:rPr>
        <w:t xml:space="preserve"> bazującej</w:t>
      </w:r>
      <w:r w:rsidRPr="00E11754">
        <w:rPr>
          <w:rFonts w:ascii="Times New Roman" w:hAnsi="Times New Roman" w:cs="Times New Roman"/>
          <w:color w:val="212121"/>
          <w:sz w:val="24"/>
          <w:szCs w:val="24"/>
          <w:shd w:val="clear" w:color="auto" w:fill="FFFFFF"/>
        </w:rPr>
        <w:t xml:space="preserve"> na złożach C18 (40 mg) oraz HLB (30 mg). Badane próbki przed ekstrakcją zakwaszano 0,1 M kwasem solnym, oceniano zastosowanie buforu fosforanowego (</w:t>
      </w:r>
      <w:proofErr w:type="spellStart"/>
      <w:r w:rsidRPr="00E11754">
        <w:rPr>
          <w:rFonts w:ascii="Times New Roman" w:hAnsi="Times New Roman" w:cs="Times New Roman"/>
          <w:color w:val="212121"/>
          <w:sz w:val="24"/>
          <w:szCs w:val="24"/>
          <w:shd w:val="clear" w:color="auto" w:fill="FFFFFF"/>
        </w:rPr>
        <w:t>pH</w:t>
      </w:r>
      <w:proofErr w:type="spellEnd"/>
      <w:r w:rsidRPr="00E11754">
        <w:rPr>
          <w:rFonts w:ascii="Times New Roman" w:hAnsi="Times New Roman" w:cs="Times New Roman"/>
          <w:color w:val="212121"/>
          <w:sz w:val="24"/>
          <w:szCs w:val="24"/>
          <w:shd w:val="clear" w:color="auto" w:fill="FFFFFF"/>
        </w:rPr>
        <w:t xml:space="preserve"> 8,5) bądź alkalizacji za pomocą 1 M NaOH, a także wpływ ultradźwięków. Do przemywania złoża używano wody, natomiast do </w:t>
      </w:r>
      <w:proofErr w:type="spellStart"/>
      <w:r w:rsidRPr="00E11754">
        <w:rPr>
          <w:rFonts w:ascii="Times New Roman" w:hAnsi="Times New Roman" w:cs="Times New Roman"/>
          <w:color w:val="212121"/>
          <w:sz w:val="24"/>
          <w:szCs w:val="24"/>
          <w:shd w:val="clear" w:color="auto" w:fill="FFFFFF"/>
        </w:rPr>
        <w:t>elucji</w:t>
      </w:r>
      <w:proofErr w:type="spellEnd"/>
      <w:r w:rsidRPr="00E11754">
        <w:rPr>
          <w:rFonts w:ascii="Times New Roman" w:hAnsi="Times New Roman" w:cs="Times New Roman"/>
          <w:color w:val="212121"/>
          <w:sz w:val="24"/>
          <w:szCs w:val="24"/>
          <w:shd w:val="clear" w:color="auto" w:fill="FFFFFF"/>
        </w:rPr>
        <w:t xml:space="preserve"> </w:t>
      </w:r>
      <w:proofErr w:type="spellStart"/>
      <w:r w:rsidRPr="00E11754">
        <w:rPr>
          <w:rFonts w:ascii="Times New Roman" w:hAnsi="Times New Roman" w:cs="Times New Roman"/>
          <w:color w:val="212121"/>
          <w:sz w:val="24"/>
          <w:szCs w:val="24"/>
          <w:shd w:val="clear" w:color="auto" w:fill="FFFFFF"/>
        </w:rPr>
        <w:t>analitów</w:t>
      </w:r>
      <w:proofErr w:type="spellEnd"/>
      <w:r w:rsidRPr="00E11754">
        <w:rPr>
          <w:rFonts w:ascii="Times New Roman" w:hAnsi="Times New Roman" w:cs="Times New Roman"/>
          <w:color w:val="212121"/>
          <w:sz w:val="24"/>
          <w:szCs w:val="24"/>
          <w:shd w:val="clear" w:color="auto" w:fill="FFFFFF"/>
        </w:rPr>
        <w:t xml:space="preserve"> testowano różnorodne odczynniki (</w:t>
      </w:r>
      <w:proofErr w:type="spellStart"/>
      <w:r w:rsidRPr="00E11754">
        <w:rPr>
          <w:rFonts w:ascii="Times New Roman" w:hAnsi="Times New Roman" w:cs="Times New Roman"/>
          <w:color w:val="212121"/>
          <w:sz w:val="24"/>
          <w:szCs w:val="24"/>
          <w:shd w:val="clear" w:color="auto" w:fill="FFFFFF"/>
        </w:rPr>
        <w:t>MeOH</w:t>
      </w:r>
      <w:proofErr w:type="spellEnd"/>
      <w:r w:rsidRPr="00E11754">
        <w:rPr>
          <w:rFonts w:ascii="Times New Roman" w:hAnsi="Times New Roman" w:cs="Times New Roman"/>
          <w:color w:val="212121"/>
          <w:sz w:val="24"/>
          <w:szCs w:val="24"/>
          <w:shd w:val="clear" w:color="auto" w:fill="FFFFFF"/>
        </w:rPr>
        <w:t xml:space="preserve">, </w:t>
      </w:r>
      <w:proofErr w:type="spellStart"/>
      <w:r w:rsidRPr="00E11754">
        <w:rPr>
          <w:rFonts w:ascii="Times New Roman" w:hAnsi="Times New Roman" w:cs="Times New Roman"/>
          <w:color w:val="212121"/>
          <w:sz w:val="24"/>
          <w:szCs w:val="24"/>
          <w:shd w:val="clear" w:color="auto" w:fill="FFFFFF"/>
        </w:rPr>
        <w:t>ACN:MeOH</w:t>
      </w:r>
      <w:proofErr w:type="spellEnd"/>
      <w:r w:rsidRPr="00E11754">
        <w:rPr>
          <w:rFonts w:ascii="Times New Roman" w:hAnsi="Times New Roman" w:cs="Times New Roman"/>
          <w:color w:val="212121"/>
          <w:sz w:val="24"/>
          <w:szCs w:val="24"/>
          <w:shd w:val="clear" w:color="auto" w:fill="FFFFFF"/>
        </w:rPr>
        <w:t xml:space="preserve"> (1:1, </w:t>
      </w:r>
      <w:r w:rsidRPr="00E11754">
        <w:rPr>
          <w:rFonts w:ascii="Times New Roman" w:hAnsi="Times New Roman" w:cs="Times New Roman"/>
          <w:i/>
          <w:iCs/>
          <w:color w:val="212121"/>
          <w:sz w:val="24"/>
          <w:szCs w:val="24"/>
          <w:shd w:val="clear" w:color="auto" w:fill="FFFFFF"/>
        </w:rPr>
        <w:t>v</w:t>
      </w:r>
      <w:r w:rsidRPr="00E11754">
        <w:rPr>
          <w:rFonts w:ascii="Times New Roman" w:hAnsi="Times New Roman" w:cs="Times New Roman"/>
          <w:color w:val="212121"/>
          <w:sz w:val="24"/>
          <w:szCs w:val="24"/>
          <w:shd w:val="clear" w:color="auto" w:fill="FFFFFF"/>
        </w:rPr>
        <w:t>/</w:t>
      </w:r>
      <w:r w:rsidRPr="00E11754">
        <w:rPr>
          <w:rFonts w:ascii="Times New Roman" w:hAnsi="Times New Roman" w:cs="Times New Roman"/>
          <w:i/>
          <w:iCs/>
          <w:color w:val="212121"/>
          <w:sz w:val="24"/>
          <w:szCs w:val="24"/>
          <w:shd w:val="clear" w:color="auto" w:fill="FFFFFF"/>
        </w:rPr>
        <w:t>v</w:t>
      </w:r>
      <w:r w:rsidRPr="00E11754">
        <w:rPr>
          <w:rFonts w:ascii="Times New Roman" w:hAnsi="Times New Roman" w:cs="Times New Roman"/>
          <w:color w:val="212121"/>
          <w:sz w:val="24"/>
          <w:szCs w:val="24"/>
          <w:shd w:val="clear" w:color="auto" w:fill="FFFFFF"/>
        </w:rPr>
        <w:t xml:space="preserve">), DCHM:2-propanol (1:1, </w:t>
      </w:r>
      <w:r w:rsidRPr="00E11754">
        <w:rPr>
          <w:rFonts w:ascii="Times New Roman" w:hAnsi="Times New Roman" w:cs="Times New Roman"/>
          <w:i/>
          <w:iCs/>
          <w:color w:val="212121"/>
          <w:sz w:val="24"/>
          <w:szCs w:val="24"/>
          <w:shd w:val="clear" w:color="auto" w:fill="FFFFFF"/>
        </w:rPr>
        <w:t>v</w:t>
      </w:r>
      <w:r w:rsidRPr="00E11754">
        <w:rPr>
          <w:rFonts w:ascii="Times New Roman" w:hAnsi="Times New Roman" w:cs="Times New Roman"/>
          <w:color w:val="212121"/>
          <w:sz w:val="24"/>
          <w:szCs w:val="24"/>
          <w:shd w:val="clear" w:color="auto" w:fill="FFFFFF"/>
        </w:rPr>
        <w:t>/</w:t>
      </w:r>
      <w:r w:rsidRPr="00E11754">
        <w:rPr>
          <w:rFonts w:ascii="Times New Roman" w:hAnsi="Times New Roman" w:cs="Times New Roman"/>
          <w:i/>
          <w:iCs/>
          <w:color w:val="212121"/>
          <w:sz w:val="24"/>
          <w:szCs w:val="24"/>
          <w:shd w:val="clear" w:color="auto" w:fill="FFFFFF"/>
        </w:rPr>
        <w:t>v</w:t>
      </w:r>
      <w:r w:rsidRPr="00E11754">
        <w:rPr>
          <w:rFonts w:ascii="Times New Roman" w:hAnsi="Times New Roman" w:cs="Times New Roman"/>
          <w:color w:val="212121"/>
          <w:sz w:val="24"/>
          <w:szCs w:val="24"/>
          <w:shd w:val="clear" w:color="auto" w:fill="FFFFFF"/>
        </w:rPr>
        <w:t xml:space="preserve">).  Najwyższą wydajność </w:t>
      </w:r>
      <w:r w:rsidR="00C2168A" w:rsidRPr="00E11754">
        <w:rPr>
          <w:rFonts w:ascii="Times New Roman" w:hAnsi="Times New Roman" w:cs="Times New Roman"/>
          <w:color w:val="212121"/>
          <w:sz w:val="24"/>
          <w:szCs w:val="24"/>
          <w:shd w:val="clear" w:color="auto" w:fill="FFFFFF"/>
        </w:rPr>
        <w:t>ekstrakcji</w:t>
      </w:r>
      <w:r w:rsidRPr="00E11754">
        <w:rPr>
          <w:rFonts w:ascii="Times New Roman" w:hAnsi="Times New Roman" w:cs="Times New Roman"/>
          <w:color w:val="212121"/>
          <w:sz w:val="24"/>
          <w:szCs w:val="24"/>
          <w:shd w:val="clear" w:color="auto" w:fill="FFFFFF"/>
        </w:rPr>
        <w:t xml:space="preserve"> </w:t>
      </w:r>
      <w:proofErr w:type="spellStart"/>
      <w:r w:rsidRPr="00E11754">
        <w:rPr>
          <w:rFonts w:ascii="Times New Roman" w:hAnsi="Times New Roman" w:cs="Times New Roman"/>
          <w:color w:val="212121"/>
          <w:sz w:val="24"/>
          <w:szCs w:val="24"/>
          <w:shd w:val="clear" w:color="auto" w:fill="FFFFFF"/>
        </w:rPr>
        <w:t>idarubicyny</w:t>
      </w:r>
      <w:proofErr w:type="spellEnd"/>
      <w:r w:rsidRPr="00E11754">
        <w:rPr>
          <w:rFonts w:ascii="Times New Roman" w:hAnsi="Times New Roman" w:cs="Times New Roman"/>
          <w:color w:val="212121"/>
          <w:sz w:val="24"/>
          <w:szCs w:val="24"/>
          <w:shd w:val="clear" w:color="auto" w:fill="FFFFFF"/>
        </w:rPr>
        <w:t xml:space="preserve"> osiągnięto stosując kolumienki SPE ze złożem HLB, 0,1 M kwas solny do modyfikacji </w:t>
      </w:r>
      <w:proofErr w:type="spellStart"/>
      <w:r w:rsidRPr="00E11754">
        <w:rPr>
          <w:rFonts w:ascii="Times New Roman" w:hAnsi="Times New Roman" w:cs="Times New Roman"/>
          <w:color w:val="212121"/>
          <w:sz w:val="24"/>
          <w:szCs w:val="24"/>
          <w:shd w:val="clear" w:color="auto" w:fill="FFFFFF"/>
        </w:rPr>
        <w:t>pH</w:t>
      </w:r>
      <w:proofErr w:type="spellEnd"/>
      <w:r w:rsidRPr="00E11754">
        <w:rPr>
          <w:rFonts w:ascii="Times New Roman" w:hAnsi="Times New Roman" w:cs="Times New Roman"/>
          <w:color w:val="212121"/>
          <w:sz w:val="24"/>
          <w:szCs w:val="24"/>
          <w:shd w:val="clear" w:color="auto" w:fill="FFFFFF"/>
        </w:rPr>
        <w:t xml:space="preserve"> matrycy próby biologicznej, wodę do przemywania złoża oraz </w:t>
      </w:r>
      <w:proofErr w:type="spellStart"/>
      <w:r w:rsidRPr="00E11754">
        <w:rPr>
          <w:rFonts w:ascii="Times New Roman" w:hAnsi="Times New Roman" w:cs="Times New Roman"/>
          <w:color w:val="212121"/>
          <w:sz w:val="24"/>
          <w:szCs w:val="24"/>
          <w:shd w:val="clear" w:color="auto" w:fill="FFFFFF"/>
        </w:rPr>
        <w:t>MeOH</w:t>
      </w:r>
      <w:proofErr w:type="spellEnd"/>
      <w:r w:rsidRPr="00E11754">
        <w:rPr>
          <w:rFonts w:ascii="Times New Roman" w:hAnsi="Times New Roman" w:cs="Times New Roman"/>
          <w:color w:val="212121"/>
          <w:sz w:val="24"/>
          <w:szCs w:val="24"/>
          <w:shd w:val="clear" w:color="auto" w:fill="FFFFFF"/>
        </w:rPr>
        <w:t xml:space="preserve"> do </w:t>
      </w:r>
      <w:proofErr w:type="spellStart"/>
      <w:r w:rsidRPr="00E11754">
        <w:rPr>
          <w:rFonts w:ascii="Times New Roman" w:hAnsi="Times New Roman" w:cs="Times New Roman"/>
          <w:color w:val="212121"/>
          <w:sz w:val="24"/>
          <w:szCs w:val="24"/>
          <w:shd w:val="clear" w:color="auto" w:fill="FFFFFF"/>
        </w:rPr>
        <w:t>elucji</w:t>
      </w:r>
      <w:proofErr w:type="spellEnd"/>
      <w:r w:rsidRPr="00E11754">
        <w:rPr>
          <w:rFonts w:ascii="Times New Roman" w:hAnsi="Times New Roman" w:cs="Times New Roman"/>
          <w:color w:val="212121"/>
          <w:sz w:val="24"/>
          <w:szCs w:val="24"/>
          <w:shd w:val="clear" w:color="auto" w:fill="FFFFFF"/>
        </w:rPr>
        <w:t xml:space="preserve"> </w:t>
      </w:r>
      <w:proofErr w:type="spellStart"/>
      <w:r w:rsidRPr="00E11754">
        <w:rPr>
          <w:rFonts w:ascii="Times New Roman" w:hAnsi="Times New Roman" w:cs="Times New Roman"/>
          <w:color w:val="212121"/>
          <w:sz w:val="24"/>
          <w:szCs w:val="24"/>
          <w:shd w:val="clear" w:color="auto" w:fill="FFFFFF"/>
        </w:rPr>
        <w:t>analitów</w:t>
      </w:r>
      <w:proofErr w:type="spellEnd"/>
      <w:r w:rsidRPr="00E11754">
        <w:rPr>
          <w:rFonts w:ascii="Times New Roman" w:hAnsi="Times New Roman" w:cs="Times New Roman"/>
          <w:color w:val="212121"/>
          <w:sz w:val="24"/>
          <w:szCs w:val="24"/>
          <w:shd w:val="clear" w:color="auto" w:fill="FFFFFF"/>
        </w:rPr>
        <w:t xml:space="preserve"> ze złoża. Dla osocza, efektywność tego procesu wynosiła 99,4 ± 4,0 %, a dla moczu 95,2 ± 3,7 %. Ostatni wariant badań dotyczył eksperymentów opartych na procedurze SPME. Jak bowiem wspomniano, w literaturze brakuje opisu tej techniki w kontekście ekstrakcji </w:t>
      </w:r>
      <w:proofErr w:type="spellStart"/>
      <w:r w:rsidRPr="00E11754">
        <w:rPr>
          <w:rFonts w:ascii="Times New Roman" w:hAnsi="Times New Roman" w:cs="Times New Roman"/>
          <w:color w:val="212121"/>
          <w:sz w:val="24"/>
          <w:szCs w:val="24"/>
          <w:shd w:val="clear" w:color="auto" w:fill="FFFFFF"/>
        </w:rPr>
        <w:t>idarubicyny</w:t>
      </w:r>
      <w:proofErr w:type="spellEnd"/>
      <w:r w:rsidRPr="00E11754">
        <w:rPr>
          <w:rFonts w:ascii="Times New Roman" w:hAnsi="Times New Roman" w:cs="Times New Roman"/>
          <w:color w:val="212121"/>
          <w:sz w:val="24"/>
          <w:szCs w:val="24"/>
          <w:shd w:val="clear" w:color="auto" w:fill="FFFFFF"/>
        </w:rPr>
        <w:t xml:space="preserve"> z płynów ustrojowych. W tym celu, do izolacji tej </w:t>
      </w:r>
      <w:proofErr w:type="spellStart"/>
      <w:r w:rsidRPr="00E11754">
        <w:rPr>
          <w:rFonts w:ascii="Times New Roman" w:hAnsi="Times New Roman" w:cs="Times New Roman"/>
          <w:color w:val="212121"/>
          <w:sz w:val="24"/>
          <w:szCs w:val="24"/>
          <w:shd w:val="clear" w:color="auto" w:fill="FFFFFF"/>
        </w:rPr>
        <w:t>antracykliny</w:t>
      </w:r>
      <w:proofErr w:type="spellEnd"/>
      <w:r w:rsidRPr="00E11754">
        <w:rPr>
          <w:rFonts w:ascii="Times New Roman" w:hAnsi="Times New Roman" w:cs="Times New Roman"/>
          <w:color w:val="212121"/>
          <w:sz w:val="24"/>
          <w:szCs w:val="24"/>
          <w:shd w:val="clear" w:color="auto" w:fill="FFFFFF"/>
        </w:rPr>
        <w:t xml:space="preserve"> z próbek biologicznych zastosowano złoże C18, które kondycjonowano w mieszaninie </w:t>
      </w:r>
      <w:proofErr w:type="spellStart"/>
      <w:r w:rsidRPr="00E11754">
        <w:rPr>
          <w:rFonts w:ascii="Times New Roman" w:hAnsi="Times New Roman" w:cs="Times New Roman"/>
          <w:color w:val="212121"/>
          <w:sz w:val="24"/>
          <w:szCs w:val="24"/>
          <w:shd w:val="clear" w:color="auto" w:fill="FFFFFF"/>
        </w:rPr>
        <w:t>MeOH</w:t>
      </w:r>
      <w:proofErr w:type="spellEnd"/>
      <w:r w:rsidRPr="00E11754">
        <w:rPr>
          <w:rFonts w:ascii="Times New Roman" w:hAnsi="Times New Roman" w:cs="Times New Roman"/>
          <w:color w:val="212121"/>
          <w:sz w:val="24"/>
          <w:szCs w:val="24"/>
          <w:shd w:val="clear" w:color="auto" w:fill="FFFFFF"/>
        </w:rPr>
        <w:t xml:space="preserve"> z wodą w proporcji (1:1, </w:t>
      </w:r>
      <w:r w:rsidRPr="00E11754">
        <w:rPr>
          <w:rFonts w:ascii="Times New Roman" w:hAnsi="Times New Roman" w:cs="Times New Roman"/>
          <w:i/>
          <w:iCs/>
          <w:color w:val="212121"/>
          <w:sz w:val="24"/>
          <w:szCs w:val="24"/>
          <w:shd w:val="clear" w:color="auto" w:fill="FFFFFF"/>
        </w:rPr>
        <w:t>v</w:t>
      </w:r>
      <w:r w:rsidRPr="00E11754">
        <w:rPr>
          <w:rFonts w:ascii="Times New Roman" w:hAnsi="Times New Roman" w:cs="Times New Roman"/>
          <w:color w:val="212121"/>
          <w:sz w:val="24"/>
          <w:szCs w:val="24"/>
          <w:shd w:val="clear" w:color="auto" w:fill="FFFFFF"/>
        </w:rPr>
        <w:t>/</w:t>
      </w:r>
      <w:r w:rsidRPr="00E11754">
        <w:rPr>
          <w:rFonts w:ascii="Times New Roman" w:hAnsi="Times New Roman" w:cs="Times New Roman"/>
          <w:i/>
          <w:iCs/>
          <w:color w:val="212121"/>
          <w:sz w:val="24"/>
          <w:szCs w:val="24"/>
          <w:shd w:val="clear" w:color="auto" w:fill="FFFFFF"/>
        </w:rPr>
        <w:t>v</w:t>
      </w:r>
      <w:r w:rsidRPr="00E11754">
        <w:rPr>
          <w:rFonts w:ascii="Times New Roman" w:hAnsi="Times New Roman" w:cs="Times New Roman"/>
          <w:color w:val="212121"/>
          <w:sz w:val="24"/>
          <w:szCs w:val="24"/>
          <w:shd w:val="clear" w:color="auto" w:fill="FFFFFF"/>
        </w:rPr>
        <w:t xml:space="preserve">). Następnie, próbki zakwaszono 0,1 M kwasem solnym i poddano ekstrakcji trwającej 100 min, przemywano wodą (10 s) oraz poddano desorpcji stosując sześć wariantów mieszanin. Najwyższą wydajność dla tej techniki uzyskano, gdy jako rozpuszczalnik desorbujący użyto DCHM:2-propanol (1:1, </w:t>
      </w:r>
      <w:r w:rsidRPr="00E11754">
        <w:rPr>
          <w:rFonts w:ascii="Times New Roman" w:hAnsi="Times New Roman" w:cs="Times New Roman"/>
          <w:i/>
          <w:iCs/>
          <w:color w:val="212121"/>
          <w:sz w:val="24"/>
          <w:szCs w:val="24"/>
          <w:shd w:val="clear" w:color="auto" w:fill="FFFFFF"/>
        </w:rPr>
        <w:t>v</w:t>
      </w:r>
      <w:r w:rsidRPr="00E11754">
        <w:rPr>
          <w:rFonts w:ascii="Times New Roman" w:hAnsi="Times New Roman" w:cs="Times New Roman"/>
          <w:color w:val="212121"/>
          <w:sz w:val="24"/>
          <w:szCs w:val="24"/>
          <w:shd w:val="clear" w:color="auto" w:fill="FFFFFF"/>
        </w:rPr>
        <w:t>/</w:t>
      </w:r>
      <w:r w:rsidRPr="00E11754">
        <w:rPr>
          <w:rFonts w:ascii="Times New Roman" w:hAnsi="Times New Roman" w:cs="Times New Roman"/>
          <w:i/>
          <w:iCs/>
          <w:color w:val="212121"/>
          <w:sz w:val="24"/>
          <w:szCs w:val="24"/>
          <w:shd w:val="clear" w:color="auto" w:fill="FFFFFF"/>
        </w:rPr>
        <w:t>v</w:t>
      </w:r>
      <w:r w:rsidRPr="00E11754">
        <w:rPr>
          <w:rFonts w:ascii="Times New Roman" w:hAnsi="Times New Roman" w:cs="Times New Roman"/>
          <w:color w:val="212121"/>
          <w:sz w:val="24"/>
          <w:szCs w:val="24"/>
          <w:shd w:val="clear" w:color="auto" w:fill="FFFFFF"/>
        </w:rPr>
        <w:t xml:space="preserve">). Efektywność tego procesu była wówczas na poziomie 59,2 ± 3,1 % dla prób osocza oraz 58,5 ± 2,7 % dla prób moczu. To oznacza, że SPME jest mniej efektywną procedurą niż SPE, ale może być stosowane do izolacji </w:t>
      </w:r>
      <w:proofErr w:type="spellStart"/>
      <w:r w:rsidRPr="00E11754">
        <w:rPr>
          <w:rFonts w:ascii="Times New Roman" w:hAnsi="Times New Roman" w:cs="Times New Roman"/>
          <w:color w:val="212121"/>
          <w:sz w:val="24"/>
          <w:szCs w:val="24"/>
          <w:shd w:val="clear" w:color="auto" w:fill="FFFFFF"/>
        </w:rPr>
        <w:t>idarubicyny</w:t>
      </w:r>
      <w:proofErr w:type="spellEnd"/>
      <w:r w:rsidRPr="00E11754">
        <w:rPr>
          <w:rFonts w:ascii="Times New Roman" w:hAnsi="Times New Roman" w:cs="Times New Roman"/>
          <w:color w:val="212121"/>
          <w:sz w:val="24"/>
          <w:szCs w:val="24"/>
          <w:shd w:val="clear" w:color="auto" w:fill="FFFFFF"/>
        </w:rPr>
        <w:t xml:space="preserve"> z próbek pochodzących od pacjentów</w:t>
      </w:r>
      <w:r w:rsidR="2100169C" w:rsidRPr="00E11754">
        <w:rPr>
          <w:rFonts w:ascii="Times New Roman" w:hAnsi="Times New Roman" w:cs="Times New Roman"/>
          <w:color w:val="212121"/>
          <w:sz w:val="24"/>
          <w:szCs w:val="24"/>
        </w:rPr>
        <w:t>, dla których ten cytostatyk jest podawany w wyższych dawkach (lek</w:t>
      </w:r>
      <w:r w:rsidRPr="00E11754">
        <w:rPr>
          <w:rFonts w:ascii="Times New Roman" w:hAnsi="Times New Roman" w:cs="Times New Roman"/>
          <w:color w:val="212121"/>
          <w:sz w:val="24"/>
          <w:szCs w:val="24"/>
          <w:shd w:val="clear" w:color="auto" w:fill="FFFFFF"/>
        </w:rPr>
        <w:t xml:space="preserve"> będzie osiągał wówczas wyższe poziomy stężeń).</w:t>
      </w:r>
    </w:p>
    <w:p w14:paraId="14812EEE" w14:textId="18B4DCD9" w:rsidR="006C6CAA" w:rsidRPr="00E11754" w:rsidRDefault="000149A4" w:rsidP="006C6CAA">
      <w:pPr>
        <w:spacing w:line="360" w:lineRule="auto"/>
        <w:jc w:val="both"/>
        <w:rPr>
          <w:rFonts w:ascii="Times New Roman" w:hAnsi="Times New Roman" w:cs="Times New Roman"/>
          <w:color w:val="212121"/>
          <w:sz w:val="24"/>
          <w:szCs w:val="24"/>
          <w:shd w:val="clear" w:color="auto" w:fill="FFFFFF"/>
        </w:rPr>
      </w:pPr>
      <w:r w:rsidRPr="00E11754">
        <w:rPr>
          <w:rFonts w:ascii="Times New Roman" w:hAnsi="Times New Roman" w:cs="Times New Roman"/>
          <w:color w:val="212121"/>
          <w:sz w:val="24"/>
          <w:szCs w:val="24"/>
          <w:shd w:val="clear" w:color="auto" w:fill="FFFFFF"/>
        </w:rPr>
        <w:tab/>
      </w:r>
      <w:r w:rsidR="006C6CAA" w:rsidRPr="00E11754">
        <w:rPr>
          <w:rFonts w:ascii="Times New Roman" w:hAnsi="Times New Roman" w:cs="Times New Roman"/>
          <w:color w:val="212121"/>
          <w:sz w:val="24"/>
          <w:szCs w:val="24"/>
          <w:shd w:val="clear" w:color="auto" w:fill="FFFFFF"/>
        </w:rPr>
        <w:t xml:space="preserve">Podsumowując wyniki badań dotyczące optymalizacji procedury przygotowania prób do analizy LC-FL najbardziej optymalną metodą do ekstrakcji </w:t>
      </w:r>
      <w:proofErr w:type="spellStart"/>
      <w:r w:rsidR="006C6CAA" w:rsidRPr="00E11754">
        <w:rPr>
          <w:rFonts w:ascii="Times New Roman" w:hAnsi="Times New Roman" w:cs="Times New Roman"/>
          <w:color w:val="212121"/>
          <w:sz w:val="24"/>
          <w:szCs w:val="24"/>
          <w:shd w:val="clear" w:color="auto" w:fill="FFFFFF"/>
        </w:rPr>
        <w:t>idarubicyny</w:t>
      </w:r>
      <w:proofErr w:type="spellEnd"/>
      <w:r w:rsidR="006C6CAA" w:rsidRPr="00E11754">
        <w:rPr>
          <w:rFonts w:ascii="Times New Roman" w:hAnsi="Times New Roman" w:cs="Times New Roman"/>
          <w:color w:val="212121"/>
          <w:sz w:val="24"/>
          <w:szCs w:val="24"/>
          <w:shd w:val="clear" w:color="auto" w:fill="FFFFFF"/>
        </w:rPr>
        <w:t xml:space="preserve"> z 1 ml moczu oraz </w:t>
      </w:r>
      <w:r w:rsidR="006C6CAA" w:rsidRPr="00E11754">
        <w:rPr>
          <w:rFonts w:ascii="Times New Roman" w:hAnsi="Times New Roman" w:cs="Times New Roman"/>
          <w:sz w:val="24"/>
          <w:szCs w:val="24"/>
          <w:shd w:val="clear" w:color="auto" w:fill="FFFFFF"/>
        </w:rPr>
        <w:t xml:space="preserve">0,5 </w:t>
      </w:r>
      <w:r w:rsidR="006C6CAA" w:rsidRPr="00E11754">
        <w:rPr>
          <w:rFonts w:ascii="Times New Roman" w:hAnsi="Times New Roman" w:cs="Times New Roman"/>
          <w:color w:val="212121"/>
          <w:sz w:val="24"/>
          <w:szCs w:val="24"/>
          <w:shd w:val="clear" w:color="auto" w:fill="FFFFFF"/>
        </w:rPr>
        <w:t xml:space="preserve">ml osocza było SPE ze złożem HLB, zakwaszenie prób 0,1 M kwasem solnym oraz zastosowanie wody do przemywania złoża i </w:t>
      </w:r>
      <w:proofErr w:type="spellStart"/>
      <w:r w:rsidR="006C6CAA" w:rsidRPr="00E11754">
        <w:rPr>
          <w:rFonts w:ascii="Times New Roman" w:hAnsi="Times New Roman" w:cs="Times New Roman"/>
          <w:color w:val="212121"/>
          <w:sz w:val="24"/>
          <w:szCs w:val="24"/>
          <w:shd w:val="clear" w:color="auto" w:fill="FFFFFF"/>
        </w:rPr>
        <w:t>MeOH</w:t>
      </w:r>
      <w:proofErr w:type="spellEnd"/>
      <w:r w:rsidR="006C6CAA" w:rsidRPr="00E11754">
        <w:rPr>
          <w:rFonts w:ascii="Times New Roman" w:hAnsi="Times New Roman" w:cs="Times New Roman"/>
          <w:color w:val="212121"/>
          <w:sz w:val="24"/>
          <w:szCs w:val="24"/>
          <w:shd w:val="clear" w:color="auto" w:fill="FFFFFF"/>
        </w:rPr>
        <w:t xml:space="preserve"> do </w:t>
      </w:r>
      <w:proofErr w:type="spellStart"/>
      <w:r w:rsidR="006C6CAA" w:rsidRPr="00E11754">
        <w:rPr>
          <w:rFonts w:ascii="Times New Roman" w:hAnsi="Times New Roman" w:cs="Times New Roman"/>
          <w:color w:val="212121"/>
          <w:sz w:val="24"/>
          <w:szCs w:val="24"/>
          <w:shd w:val="clear" w:color="auto" w:fill="FFFFFF"/>
        </w:rPr>
        <w:t>elucji</w:t>
      </w:r>
      <w:proofErr w:type="spellEnd"/>
      <w:r w:rsidR="006C6CAA" w:rsidRPr="00E11754">
        <w:rPr>
          <w:rFonts w:ascii="Times New Roman" w:hAnsi="Times New Roman" w:cs="Times New Roman"/>
          <w:color w:val="212121"/>
          <w:sz w:val="24"/>
          <w:szCs w:val="24"/>
          <w:shd w:val="clear" w:color="auto" w:fill="FFFFFF"/>
        </w:rPr>
        <w:t xml:space="preserve"> </w:t>
      </w:r>
      <w:proofErr w:type="spellStart"/>
      <w:r w:rsidR="006C6CAA" w:rsidRPr="00E11754">
        <w:rPr>
          <w:rFonts w:ascii="Times New Roman" w:hAnsi="Times New Roman" w:cs="Times New Roman"/>
          <w:color w:val="212121"/>
          <w:sz w:val="24"/>
          <w:szCs w:val="24"/>
        </w:rPr>
        <w:t>analitów</w:t>
      </w:r>
      <w:proofErr w:type="spellEnd"/>
      <w:r w:rsidR="006C6CAA" w:rsidRPr="00E11754">
        <w:rPr>
          <w:rFonts w:ascii="Times New Roman" w:hAnsi="Times New Roman" w:cs="Times New Roman"/>
          <w:color w:val="212121"/>
          <w:sz w:val="24"/>
          <w:szCs w:val="24"/>
        </w:rPr>
        <w:t>.</w:t>
      </w:r>
    </w:p>
    <w:p w14:paraId="3AF21CA1" w14:textId="77ADFEC4" w:rsidR="006C6CAA" w:rsidRPr="00E11754" w:rsidRDefault="006C6CAA" w:rsidP="006C6CAA">
      <w:pPr>
        <w:spacing w:line="360" w:lineRule="auto"/>
        <w:jc w:val="both"/>
        <w:rPr>
          <w:rFonts w:ascii="Times New Roman" w:hAnsi="Times New Roman" w:cs="Times New Roman"/>
          <w:color w:val="212121"/>
          <w:sz w:val="24"/>
          <w:szCs w:val="24"/>
          <w:shd w:val="clear" w:color="auto" w:fill="FFFFFF"/>
        </w:rPr>
      </w:pPr>
      <w:r w:rsidRPr="00E11754">
        <w:rPr>
          <w:rFonts w:ascii="Times New Roman" w:hAnsi="Times New Roman" w:cs="Times New Roman"/>
          <w:color w:val="212121"/>
          <w:sz w:val="24"/>
          <w:szCs w:val="24"/>
          <w:shd w:val="clear" w:color="auto" w:fill="FFFFFF"/>
        </w:rPr>
        <w:tab/>
        <w:t xml:space="preserve">Kolejnym etapem była walidacja opracowanej metody. Potwierdzono selektywność (Fig. 4 i 5. w publikacji 3) i liniowość w zakresie 0,1-50 </w:t>
      </w:r>
      <w:proofErr w:type="spellStart"/>
      <w:r w:rsidRPr="00E11754">
        <w:rPr>
          <w:rFonts w:ascii="Times New Roman" w:hAnsi="Times New Roman" w:cs="Times New Roman"/>
          <w:color w:val="212121"/>
          <w:sz w:val="24"/>
          <w:szCs w:val="24"/>
          <w:shd w:val="clear" w:color="auto" w:fill="FFFFFF"/>
        </w:rPr>
        <w:t>ng</w:t>
      </w:r>
      <w:proofErr w:type="spellEnd"/>
      <w:r w:rsidRPr="00E11754">
        <w:rPr>
          <w:rFonts w:ascii="Times New Roman" w:hAnsi="Times New Roman" w:cs="Times New Roman"/>
          <w:color w:val="212121"/>
          <w:sz w:val="24"/>
          <w:szCs w:val="24"/>
          <w:shd w:val="clear" w:color="auto" w:fill="FFFFFF"/>
        </w:rPr>
        <w:t xml:space="preserve">/ml dla prób osocza oraz w zakresie 0,25-200 </w:t>
      </w:r>
      <w:proofErr w:type="spellStart"/>
      <w:r w:rsidRPr="00E11754">
        <w:rPr>
          <w:rFonts w:ascii="Times New Roman" w:hAnsi="Times New Roman" w:cs="Times New Roman"/>
          <w:color w:val="212121"/>
          <w:sz w:val="24"/>
          <w:szCs w:val="24"/>
          <w:shd w:val="clear" w:color="auto" w:fill="FFFFFF"/>
        </w:rPr>
        <w:t>ng</w:t>
      </w:r>
      <w:proofErr w:type="spellEnd"/>
      <w:r w:rsidRPr="00E11754">
        <w:rPr>
          <w:rFonts w:ascii="Times New Roman" w:hAnsi="Times New Roman" w:cs="Times New Roman"/>
          <w:color w:val="212121"/>
          <w:sz w:val="24"/>
          <w:szCs w:val="24"/>
          <w:shd w:val="clear" w:color="auto" w:fill="FFFFFF"/>
        </w:rPr>
        <w:t xml:space="preserve">/ml dla prób moczu. LOD oraz LOQ dla prób osocza wynosiło 0,05 i 0,1 </w:t>
      </w:r>
      <w:proofErr w:type="spellStart"/>
      <w:r w:rsidRPr="00E11754">
        <w:rPr>
          <w:rFonts w:ascii="Times New Roman" w:hAnsi="Times New Roman" w:cs="Times New Roman"/>
          <w:color w:val="212121"/>
          <w:sz w:val="24"/>
          <w:szCs w:val="24"/>
          <w:shd w:val="clear" w:color="auto" w:fill="FFFFFF"/>
        </w:rPr>
        <w:t>ng</w:t>
      </w:r>
      <w:proofErr w:type="spellEnd"/>
      <w:r w:rsidRPr="00E11754">
        <w:rPr>
          <w:rFonts w:ascii="Times New Roman" w:hAnsi="Times New Roman" w:cs="Times New Roman"/>
          <w:color w:val="212121"/>
          <w:sz w:val="24"/>
          <w:szCs w:val="24"/>
          <w:shd w:val="clear" w:color="auto" w:fill="FFFFFF"/>
        </w:rPr>
        <w:t xml:space="preserve">/ml, gdy dla moczu było na poziomie 0,125 oraz 0,25 </w:t>
      </w:r>
      <w:proofErr w:type="spellStart"/>
      <w:r w:rsidRPr="00E11754">
        <w:rPr>
          <w:rFonts w:ascii="Times New Roman" w:hAnsi="Times New Roman" w:cs="Times New Roman"/>
          <w:color w:val="212121"/>
          <w:sz w:val="24"/>
          <w:szCs w:val="24"/>
          <w:shd w:val="clear" w:color="auto" w:fill="FFFFFF"/>
        </w:rPr>
        <w:t>ng</w:t>
      </w:r>
      <w:proofErr w:type="spellEnd"/>
      <w:r w:rsidRPr="00E11754">
        <w:rPr>
          <w:rFonts w:ascii="Times New Roman" w:hAnsi="Times New Roman" w:cs="Times New Roman"/>
          <w:color w:val="212121"/>
          <w:sz w:val="24"/>
          <w:szCs w:val="24"/>
          <w:shd w:val="clear" w:color="auto" w:fill="FFFFFF"/>
        </w:rPr>
        <w:t xml:space="preserve">/ml. Dokładność oraz precyzja </w:t>
      </w:r>
      <w:r w:rsidRPr="00E11754">
        <w:rPr>
          <w:rFonts w:ascii="Times New Roman" w:hAnsi="Times New Roman" w:cs="Times New Roman"/>
          <w:color w:val="212121"/>
          <w:sz w:val="24"/>
          <w:szCs w:val="24"/>
          <w:shd w:val="clear" w:color="auto" w:fill="FFFFFF"/>
        </w:rPr>
        <w:lastRenderedPageBreak/>
        <w:t xml:space="preserve">mieściły się w granicach wyznaczonych przez kryteria metod analitycznych (Tabela 3. w publikacji 3), a roztwory </w:t>
      </w:r>
      <w:proofErr w:type="spellStart"/>
      <w:r w:rsidRPr="00E11754">
        <w:rPr>
          <w:rFonts w:ascii="Times New Roman" w:hAnsi="Times New Roman" w:cs="Times New Roman"/>
          <w:color w:val="212121"/>
          <w:sz w:val="24"/>
          <w:szCs w:val="24"/>
          <w:shd w:val="clear" w:color="auto" w:fill="FFFFFF"/>
        </w:rPr>
        <w:t>idarubicyny</w:t>
      </w:r>
      <w:proofErr w:type="spellEnd"/>
      <w:r w:rsidRPr="00E11754">
        <w:rPr>
          <w:rFonts w:ascii="Times New Roman" w:hAnsi="Times New Roman" w:cs="Times New Roman"/>
          <w:color w:val="212121"/>
          <w:sz w:val="24"/>
          <w:szCs w:val="24"/>
          <w:shd w:val="clear" w:color="auto" w:fill="FFFFFF"/>
        </w:rPr>
        <w:t xml:space="preserve"> oraz próbki zawierające ten cytostatyk były stabilne w testowanych warunkach eksperymentalnych (Tabela S2. w </w:t>
      </w:r>
      <w:proofErr w:type="spellStart"/>
      <w:r w:rsidRPr="00E11754">
        <w:rPr>
          <w:rFonts w:ascii="Times New Roman" w:hAnsi="Times New Roman" w:cs="Times New Roman"/>
          <w:color w:val="212121"/>
          <w:sz w:val="24"/>
          <w:szCs w:val="24"/>
          <w:shd w:val="clear" w:color="auto" w:fill="FFFFFF"/>
        </w:rPr>
        <w:t>Supplementary</w:t>
      </w:r>
      <w:proofErr w:type="spellEnd"/>
      <w:r w:rsidR="2100169C" w:rsidRPr="00E11754">
        <w:rPr>
          <w:rFonts w:ascii="Times New Roman" w:hAnsi="Times New Roman" w:cs="Times New Roman"/>
          <w:color w:val="212121"/>
          <w:sz w:val="24"/>
          <w:szCs w:val="24"/>
        </w:rPr>
        <w:t xml:space="preserve"> Data</w:t>
      </w:r>
      <w:r w:rsidRPr="00E11754">
        <w:rPr>
          <w:rFonts w:ascii="Times New Roman" w:hAnsi="Times New Roman" w:cs="Times New Roman"/>
          <w:color w:val="212121"/>
          <w:sz w:val="24"/>
          <w:szCs w:val="24"/>
          <w:shd w:val="clear" w:color="auto" w:fill="FFFFFF"/>
        </w:rPr>
        <w:t>).</w:t>
      </w:r>
    </w:p>
    <w:p w14:paraId="754120DB" w14:textId="517E41C8" w:rsidR="006C6CAA" w:rsidRPr="00E11754" w:rsidRDefault="006C6CAA" w:rsidP="2100169C">
      <w:pPr>
        <w:spacing w:line="360" w:lineRule="auto"/>
        <w:jc w:val="both"/>
        <w:rPr>
          <w:rFonts w:ascii="Times New Roman" w:hAnsi="Times New Roman" w:cs="Times New Roman"/>
          <w:color w:val="212121"/>
          <w:sz w:val="24"/>
          <w:szCs w:val="24"/>
        </w:rPr>
      </w:pPr>
      <w:r w:rsidRPr="00E11754">
        <w:rPr>
          <w:rFonts w:ascii="Times New Roman" w:hAnsi="Times New Roman" w:cs="Times New Roman"/>
          <w:color w:val="212121"/>
          <w:sz w:val="24"/>
          <w:szCs w:val="24"/>
          <w:shd w:val="clear" w:color="auto" w:fill="FFFFFF"/>
        </w:rPr>
        <w:tab/>
        <w:t xml:space="preserve">Opracowaną i poddaną walidacji metodę zastosowano do oznaczania </w:t>
      </w:r>
      <w:proofErr w:type="spellStart"/>
      <w:r w:rsidRPr="00E11754">
        <w:rPr>
          <w:rFonts w:ascii="Times New Roman" w:hAnsi="Times New Roman" w:cs="Times New Roman"/>
          <w:color w:val="212121"/>
          <w:sz w:val="24"/>
          <w:szCs w:val="24"/>
          <w:shd w:val="clear" w:color="auto" w:fill="FFFFFF"/>
        </w:rPr>
        <w:t>idarubicyny</w:t>
      </w:r>
      <w:proofErr w:type="spellEnd"/>
      <w:r w:rsidRPr="00E11754">
        <w:rPr>
          <w:rFonts w:ascii="Times New Roman" w:hAnsi="Times New Roman" w:cs="Times New Roman"/>
          <w:color w:val="212121"/>
          <w:sz w:val="24"/>
          <w:szCs w:val="24"/>
          <w:shd w:val="clear" w:color="auto" w:fill="FFFFFF"/>
        </w:rPr>
        <w:t xml:space="preserve"> w materiale biologicznym pobranym od 17-letniego pacjenta chorego na RMA, który otrzymywał </w:t>
      </w:r>
      <w:proofErr w:type="spellStart"/>
      <w:r w:rsidRPr="00E11754">
        <w:rPr>
          <w:rFonts w:ascii="Times New Roman" w:hAnsi="Times New Roman" w:cs="Times New Roman"/>
          <w:color w:val="212121"/>
          <w:sz w:val="24"/>
          <w:szCs w:val="24"/>
          <w:shd w:val="clear" w:color="auto" w:fill="FFFFFF"/>
        </w:rPr>
        <w:t>idarubicynę</w:t>
      </w:r>
      <w:proofErr w:type="spellEnd"/>
      <w:r w:rsidRPr="00E11754">
        <w:rPr>
          <w:rFonts w:ascii="Times New Roman" w:hAnsi="Times New Roman" w:cs="Times New Roman"/>
          <w:color w:val="212121"/>
          <w:sz w:val="24"/>
          <w:szCs w:val="24"/>
          <w:shd w:val="clear" w:color="auto" w:fill="FFFFFF"/>
        </w:rPr>
        <w:t xml:space="preserve"> doustnie w dawce 10 mg. Lek był przyjmowany 1, 4, 7 oraz 10 dnia terapii zgodnie ze schematem O-TIDA/O-TE (</w:t>
      </w:r>
      <w:proofErr w:type="spellStart"/>
      <w:r w:rsidRPr="00E11754">
        <w:rPr>
          <w:rFonts w:ascii="Times New Roman" w:hAnsi="Times New Roman" w:cs="Times New Roman"/>
          <w:color w:val="212121"/>
          <w:sz w:val="24"/>
          <w:szCs w:val="24"/>
          <w:shd w:val="clear" w:color="auto" w:fill="FFFFFF"/>
        </w:rPr>
        <w:t>t</w:t>
      </w:r>
      <w:r w:rsidR="4EF80E68" w:rsidRPr="02602357">
        <w:rPr>
          <w:rFonts w:ascii="Times New Roman" w:eastAsiaTheme="majorEastAsia" w:hAnsi="Times New Roman" w:cs="Times New Roman"/>
          <w:sz w:val="24"/>
          <w:szCs w:val="24"/>
        </w:rPr>
        <w:t>rofosfamid</w:t>
      </w:r>
      <w:proofErr w:type="spellEnd"/>
      <w:r w:rsidR="4EF80E68" w:rsidRPr="02602357">
        <w:rPr>
          <w:rFonts w:ascii="Times New Roman" w:eastAsiaTheme="majorEastAsia" w:hAnsi="Times New Roman" w:cs="Times New Roman"/>
          <w:sz w:val="24"/>
          <w:szCs w:val="24"/>
        </w:rPr>
        <w:t xml:space="preserve">, </w:t>
      </w:r>
      <w:proofErr w:type="spellStart"/>
      <w:r w:rsidR="4EF80E68" w:rsidRPr="02602357">
        <w:rPr>
          <w:rFonts w:ascii="Times New Roman" w:eastAsiaTheme="majorEastAsia" w:hAnsi="Times New Roman" w:cs="Times New Roman"/>
          <w:sz w:val="24"/>
          <w:szCs w:val="24"/>
        </w:rPr>
        <w:t>idarubicyna</w:t>
      </w:r>
      <w:proofErr w:type="spellEnd"/>
      <w:r w:rsidR="4EF80E68" w:rsidRPr="02602357">
        <w:rPr>
          <w:rFonts w:ascii="Times New Roman" w:eastAsiaTheme="majorEastAsia" w:hAnsi="Times New Roman" w:cs="Times New Roman"/>
          <w:sz w:val="24"/>
          <w:szCs w:val="24"/>
        </w:rPr>
        <w:t xml:space="preserve">, </w:t>
      </w:r>
      <w:proofErr w:type="spellStart"/>
      <w:r w:rsidR="4EF80E68" w:rsidRPr="02602357">
        <w:rPr>
          <w:rFonts w:ascii="Times New Roman" w:eastAsiaTheme="majorEastAsia" w:hAnsi="Times New Roman" w:cs="Times New Roman"/>
          <w:sz w:val="24"/>
          <w:szCs w:val="24"/>
        </w:rPr>
        <w:t>etopozyd</w:t>
      </w:r>
      <w:proofErr w:type="spellEnd"/>
      <w:r w:rsidR="4EF80E68" w:rsidRPr="02602357">
        <w:rPr>
          <w:rFonts w:ascii="Times New Roman" w:eastAsiaTheme="majorEastAsia" w:hAnsi="Times New Roman" w:cs="Times New Roman"/>
          <w:sz w:val="24"/>
          <w:szCs w:val="24"/>
        </w:rPr>
        <w:t>)</w:t>
      </w:r>
      <w:r w:rsidRPr="00E11754">
        <w:rPr>
          <w:rFonts w:ascii="Times New Roman" w:hAnsi="Times New Roman" w:cs="Times New Roman"/>
          <w:color w:val="212121"/>
          <w:sz w:val="24"/>
          <w:szCs w:val="24"/>
          <w:shd w:val="clear" w:color="auto" w:fill="FFFFFF"/>
        </w:rPr>
        <w:t xml:space="preserve"> według protokołu </w:t>
      </w:r>
      <w:proofErr w:type="spellStart"/>
      <w:r w:rsidRPr="02602357">
        <w:rPr>
          <w:rFonts w:ascii="Times New Roman" w:hAnsi="Times New Roman" w:cs="Times New Roman"/>
          <w:i/>
          <w:iCs/>
          <w:sz w:val="24"/>
          <w:szCs w:val="24"/>
          <w:shd w:val="clear" w:color="auto" w:fill="FFFFFF"/>
        </w:rPr>
        <w:t>Cooperative</w:t>
      </w:r>
      <w:proofErr w:type="spellEnd"/>
      <w:r w:rsidRPr="02602357">
        <w:rPr>
          <w:rFonts w:ascii="Times New Roman" w:hAnsi="Times New Roman" w:cs="Times New Roman"/>
          <w:i/>
          <w:iCs/>
          <w:sz w:val="24"/>
          <w:szCs w:val="24"/>
          <w:shd w:val="clear" w:color="auto" w:fill="FFFFFF"/>
        </w:rPr>
        <w:t> </w:t>
      </w:r>
      <w:proofErr w:type="spellStart"/>
      <w:r w:rsidRPr="02602357">
        <w:rPr>
          <w:rFonts w:ascii="Times New Roman" w:hAnsi="Times New Roman" w:cs="Times New Roman"/>
          <w:i/>
          <w:iCs/>
          <w:sz w:val="24"/>
          <w:szCs w:val="24"/>
          <w:shd w:val="clear" w:color="auto" w:fill="FFFFFF"/>
        </w:rPr>
        <w:t>Weichteilsarkom</w:t>
      </w:r>
      <w:proofErr w:type="spellEnd"/>
      <w:r w:rsidRPr="02602357">
        <w:rPr>
          <w:rFonts w:ascii="Times New Roman" w:hAnsi="Times New Roman" w:cs="Times New Roman"/>
          <w:i/>
          <w:iCs/>
          <w:sz w:val="24"/>
          <w:szCs w:val="24"/>
          <w:shd w:val="clear" w:color="auto" w:fill="FFFFFF"/>
        </w:rPr>
        <w:t xml:space="preserve"> </w:t>
      </w:r>
      <w:proofErr w:type="spellStart"/>
      <w:r w:rsidRPr="02602357">
        <w:rPr>
          <w:rFonts w:ascii="Times New Roman" w:hAnsi="Times New Roman" w:cs="Times New Roman"/>
          <w:i/>
          <w:iCs/>
          <w:sz w:val="24"/>
          <w:szCs w:val="24"/>
          <w:shd w:val="clear" w:color="auto" w:fill="FFFFFF"/>
        </w:rPr>
        <w:t>Study</w:t>
      </w:r>
      <w:proofErr w:type="spellEnd"/>
      <w:r w:rsidRPr="02602357">
        <w:rPr>
          <w:rFonts w:ascii="Times New Roman" w:hAnsi="Times New Roman" w:cs="Times New Roman"/>
          <w:i/>
          <w:iCs/>
          <w:sz w:val="24"/>
          <w:szCs w:val="24"/>
          <w:shd w:val="clear" w:color="auto" w:fill="FFFFFF"/>
        </w:rPr>
        <w:t xml:space="preserve"> </w:t>
      </w:r>
      <w:proofErr w:type="spellStart"/>
      <w:r w:rsidRPr="02602357">
        <w:rPr>
          <w:rFonts w:ascii="Times New Roman" w:hAnsi="Times New Roman" w:cs="Times New Roman"/>
          <w:i/>
          <w:iCs/>
          <w:sz w:val="24"/>
          <w:szCs w:val="24"/>
          <w:shd w:val="clear" w:color="auto" w:fill="FFFFFF"/>
        </w:rPr>
        <w:t>Group</w:t>
      </w:r>
      <w:proofErr w:type="spellEnd"/>
      <w:r w:rsidRPr="02602357">
        <w:rPr>
          <w:rFonts w:ascii="Times New Roman" w:hAnsi="Times New Roman" w:cs="Times New Roman"/>
          <w:i/>
          <w:iCs/>
          <w:sz w:val="24"/>
          <w:szCs w:val="24"/>
          <w:shd w:val="clear" w:color="auto" w:fill="FFFFFF"/>
        </w:rPr>
        <w:t xml:space="preserve"> </w:t>
      </w:r>
      <w:r w:rsidRPr="00E11754">
        <w:rPr>
          <w:rFonts w:ascii="Times New Roman" w:hAnsi="Times New Roman" w:cs="Times New Roman"/>
          <w:color w:val="212121"/>
          <w:sz w:val="24"/>
          <w:szCs w:val="24"/>
          <w:shd w:val="clear" w:color="auto" w:fill="FFFFFF"/>
        </w:rPr>
        <w:t xml:space="preserve">(CWS)-2006. Próbki krwi oraz moczu były pobierane 1 oraz 10 dnia leczenia onkologicznego. W przypadku podania </w:t>
      </w:r>
      <w:r w:rsidR="00311736" w:rsidRPr="00E11754">
        <w:rPr>
          <w:rFonts w:ascii="Times New Roman" w:hAnsi="Times New Roman" w:cs="Times New Roman"/>
          <w:color w:val="212121"/>
          <w:sz w:val="24"/>
          <w:szCs w:val="24"/>
          <w:shd w:val="clear" w:color="auto" w:fill="FFFFFF"/>
        </w:rPr>
        <w:t>leku</w:t>
      </w:r>
      <w:r w:rsidRPr="00E11754">
        <w:rPr>
          <w:rFonts w:ascii="Times New Roman" w:hAnsi="Times New Roman" w:cs="Times New Roman"/>
          <w:color w:val="212121"/>
          <w:sz w:val="24"/>
          <w:szCs w:val="24"/>
          <w:shd w:val="clear" w:color="auto" w:fill="FFFFFF"/>
        </w:rPr>
        <w:t xml:space="preserve"> pierwszego dnia</w:t>
      </w:r>
      <w:r w:rsidR="0010625F" w:rsidRPr="00E11754">
        <w:rPr>
          <w:rFonts w:ascii="Times New Roman" w:hAnsi="Times New Roman" w:cs="Times New Roman"/>
          <w:color w:val="212121"/>
          <w:sz w:val="24"/>
          <w:szCs w:val="24"/>
          <w:shd w:val="clear" w:color="auto" w:fill="FFFFFF"/>
        </w:rPr>
        <w:t>,</w:t>
      </w:r>
      <w:r w:rsidRPr="00E11754">
        <w:rPr>
          <w:rFonts w:ascii="Times New Roman" w:hAnsi="Times New Roman" w:cs="Times New Roman"/>
          <w:color w:val="212121"/>
          <w:sz w:val="24"/>
          <w:szCs w:val="24"/>
          <w:shd w:val="clear" w:color="auto" w:fill="FFFFFF"/>
        </w:rPr>
        <w:t xml:space="preserve"> w osoczu stężenie leku wzrastało do osiągnięcia maksymalnego poziomu w czwartej godzinie od momentu podania leku i wynosiło 1,44 </w:t>
      </w:r>
      <w:proofErr w:type="spellStart"/>
      <w:r w:rsidRPr="00E11754">
        <w:rPr>
          <w:rFonts w:ascii="Times New Roman" w:hAnsi="Times New Roman" w:cs="Times New Roman"/>
          <w:color w:val="212121"/>
          <w:sz w:val="24"/>
          <w:szCs w:val="24"/>
          <w:shd w:val="clear" w:color="auto" w:fill="FFFFFF"/>
        </w:rPr>
        <w:t>ng</w:t>
      </w:r>
      <w:proofErr w:type="spellEnd"/>
      <w:r w:rsidRPr="00E11754">
        <w:rPr>
          <w:rFonts w:ascii="Times New Roman" w:hAnsi="Times New Roman" w:cs="Times New Roman"/>
          <w:color w:val="212121"/>
          <w:sz w:val="24"/>
          <w:szCs w:val="24"/>
          <w:shd w:val="clear" w:color="auto" w:fill="FFFFFF"/>
        </w:rPr>
        <w:t>/ml (Fig</w:t>
      </w:r>
      <w:r w:rsidR="2100169C" w:rsidRPr="00E11754">
        <w:rPr>
          <w:rFonts w:ascii="Times New Roman" w:hAnsi="Times New Roman" w:cs="Times New Roman"/>
          <w:color w:val="212121"/>
          <w:sz w:val="24"/>
          <w:szCs w:val="24"/>
        </w:rPr>
        <w:t xml:space="preserve">. 2. </w:t>
      </w:r>
      <w:r w:rsidRPr="00E11754">
        <w:rPr>
          <w:rFonts w:ascii="Times New Roman" w:hAnsi="Times New Roman" w:cs="Times New Roman"/>
          <w:color w:val="212121"/>
          <w:sz w:val="24"/>
          <w:szCs w:val="24"/>
          <w:shd w:val="clear" w:color="auto" w:fill="FFFFFF"/>
        </w:rPr>
        <w:t xml:space="preserve">w publikacji 3). W kolejnych przedziałach czasowych poziom leku zmniejszał się do wartości 0,31 </w:t>
      </w:r>
      <w:proofErr w:type="spellStart"/>
      <w:r w:rsidRPr="00E11754">
        <w:rPr>
          <w:rFonts w:ascii="Times New Roman" w:hAnsi="Times New Roman" w:cs="Times New Roman"/>
          <w:color w:val="212121"/>
          <w:sz w:val="24"/>
          <w:szCs w:val="24"/>
          <w:shd w:val="clear" w:color="auto" w:fill="FFFFFF"/>
        </w:rPr>
        <w:t>ng</w:t>
      </w:r>
      <w:proofErr w:type="spellEnd"/>
      <w:r w:rsidRPr="00E11754">
        <w:rPr>
          <w:rFonts w:ascii="Times New Roman" w:hAnsi="Times New Roman" w:cs="Times New Roman"/>
          <w:color w:val="212121"/>
          <w:sz w:val="24"/>
          <w:szCs w:val="24"/>
          <w:shd w:val="clear" w:color="auto" w:fill="FFFFFF"/>
        </w:rPr>
        <w:t xml:space="preserve">/ml w 24 h od podania leku. Podobny profil zaobserwowano po analizie próbek otrzymanych po podaniu leku 10 dnia terapii. Stężenie </w:t>
      </w:r>
      <w:proofErr w:type="spellStart"/>
      <w:r w:rsidRPr="00E11754">
        <w:rPr>
          <w:rFonts w:ascii="Times New Roman" w:hAnsi="Times New Roman" w:cs="Times New Roman"/>
          <w:color w:val="212121"/>
          <w:sz w:val="24"/>
          <w:szCs w:val="24"/>
          <w:shd w:val="clear" w:color="auto" w:fill="FFFFFF"/>
        </w:rPr>
        <w:t>C</w:t>
      </w:r>
      <w:r w:rsidRPr="00E11754">
        <w:rPr>
          <w:rFonts w:ascii="Times New Roman" w:hAnsi="Times New Roman" w:cs="Times New Roman"/>
          <w:color w:val="212121"/>
          <w:sz w:val="24"/>
          <w:szCs w:val="24"/>
          <w:shd w:val="clear" w:color="auto" w:fill="FFFFFF"/>
          <w:vertAlign w:val="subscript"/>
        </w:rPr>
        <w:t>max</w:t>
      </w:r>
      <w:proofErr w:type="spellEnd"/>
      <w:r w:rsidRPr="00E11754">
        <w:rPr>
          <w:rFonts w:ascii="Times New Roman" w:hAnsi="Times New Roman" w:cs="Times New Roman"/>
          <w:color w:val="212121"/>
          <w:sz w:val="24"/>
          <w:szCs w:val="24"/>
          <w:shd w:val="clear" w:color="auto" w:fill="FFFFFF"/>
        </w:rPr>
        <w:t xml:space="preserve"> osiągnięto również w 4 h od momentu podania leku i wynosiło 1,81 </w:t>
      </w:r>
      <w:proofErr w:type="spellStart"/>
      <w:r w:rsidRPr="00E11754">
        <w:rPr>
          <w:rFonts w:ascii="Times New Roman" w:hAnsi="Times New Roman" w:cs="Times New Roman"/>
          <w:color w:val="212121"/>
          <w:sz w:val="24"/>
          <w:szCs w:val="24"/>
          <w:shd w:val="clear" w:color="auto" w:fill="FFFFFF"/>
        </w:rPr>
        <w:t>ng</w:t>
      </w:r>
      <w:proofErr w:type="spellEnd"/>
      <w:r w:rsidRPr="00E11754">
        <w:rPr>
          <w:rFonts w:ascii="Times New Roman" w:hAnsi="Times New Roman" w:cs="Times New Roman"/>
          <w:color w:val="212121"/>
          <w:sz w:val="24"/>
          <w:szCs w:val="24"/>
          <w:shd w:val="clear" w:color="auto" w:fill="FFFFFF"/>
        </w:rPr>
        <w:t xml:space="preserve">/ml, natomiast w kolejnych godzinach malało do wartości 0,44 </w:t>
      </w:r>
      <w:proofErr w:type="spellStart"/>
      <w:r w:rsidRPr="00E11754">
        <w:rPr>
          <w:rFonts w:ascii="Times New Roman" w:hAnsi="Times New Roman" w:cs="Times New Roman"/>
          <w:color w:val="212121"/>
          <w:sz w:val="24"/>
          <w:szCs w:val="24"/>
          <w:shd w:val="clear" w:color="auto" w:fill="FFFFFF"/>
        </w:rPr>
        <w:t>ng</w:t>
      </w:r>
      <w:proofErr w:type="spellEnd"/>
      <w:r w:rsidRPr="00E11754">
        <w:rPr>
          <w:rFonts w:ascii="Times New Roman" w:hAnsi="Times New Roman" w:cs="Times New Roman"/>
          <w:color w:val="212121"/>
          <w:sz w:val="24"/>
          <w:szCs w:val="24"/>
          <w:shd w:val="clear" w:color="auto" w:fill="FFFFFF"/>
        </w:rPr>
        <w:t xml:space="preserve">/ml (24 h). Profile </w:t>
      </w:r>
      <w:proofErr w:type="spellStart"/>
      <w:r w:rsidRPr="00E11754">
        <w:rPr>
          <w:rFonts w:ascii="Times New Roman" w:hAnsi="Times New Roman" w:cs="Times New Roman"/>
          <w:color w:val="212121"/>
          <w:sz w:val="24"/>
          <w:szCs w:val="24"/>
          <w:shd w:val="clear" w:color="auto" w:fill="FFFFFF"/>
        </w:rPr>
        <w:t>idarubicyny</w:t>
      </w:r>
      <w:proofErr w:type="spellEnd"/>
      <w:r w:rsidRPr="00E11754">
        <w:rPr>
          <w:rFonts w:ascii="Times New Roman" w:hAnsi="Times New Roman" w:cs="Times New Roman"/>
          <w:color w:val="212121"/>
          <w:sz w:val="24"/>
          <w:szCs w:val="24"/>
          <w:shd w:val="clear" w:color="auto" w:fill="FFFFFF"/>
        </w:rPr>
        <w:t xml:space="preserve"> w moczu w pierwszym i dziesiątym dniu leczenia wskazywały, że stężenie w moczu </w:t>
      </w:r>
      <w:r w:rsidR="2506C974" w:rsidRPr="2506C974">
        <w:rPr>
          <w:rFonts w:ascii="Times New Roman" w:hAnsi="Times New Roman" w:cs="Times New Roman"/>
          <w:color w:val="212121"/>
          <w:sz w:val="24"/>
          <w:szCs w:val="24"/>
        </w:rPr>
        <w:t>w przedziale 12-20 h</w:t>
      </w:r>
      <w:r w:rsidRPr="00E11754">
        <w:rPr>
          <w:rFonts w:ascii="Times New Roman" w:hAnsi="Times New Roman" w:cs="Times New Roman"/>
          <w:color w:val="212121"/>
          <w:sz w:val="24"/>
          <w:szCs w:val="24"/>
          <w:shd w:val="clear" w:color="auto" w:fill="FFFFFF"/>
        </w:rPr>
        <w:t xml:space="preserve"> od momentu podania leku wzrastało odpowiednio do stężenia 142,33 </w:t>
      </w:r>
      <w:proofErr w:type="spellStart"/>
      <w:r w:rsidRPr="00E11754">
        <w:rPr>
          <w:rFonts w:ascii="Times New Roman" w:hAnsi="Times New Roman" w:cs="Times New Roman"/>
          <w:color w:val="212121"/>
          <w:sz w:val="24"/>
          <w:szCs w:val="24"/>
          <w:shd w:val="clear" w:color="auto" w:fill="FFFFFF"/>
        </w:rPr>
        <w:t>ng</w:t>
      </w:r>
      <w:proofErr w:type="spellEnd"/>
      <w:r w:rsidRPr="00E11754">
        <w:rPr>
          <w:rFonts w:ascii="Times New Roman" w:hAnsi="Times New Roman" w:cs="Times New Roman"/>
          <w:color w:val="212121"/>
          <w:sz w:val="24"/>
          <w:szCs w:val="24"/>
          <w:shd w:val="clear" w:color="auto" w:fill="FFFFFF"/>
        </w:rPr>
        <w:t xml:space="preserve">/ml (1 dzień) i 159,91 </w:t>
      </w:r>
      <w:proofErr w:type="spellStart"/>
      <w:r w:rsidRPr="00E11754">
        <w:rPr>
          <w:rFonts w:ascii="Times New Roman" w:hAnsi="Times New Roman" w:cs="Times New Roman"/>
          <w:color w:val="212121"/>
          <w:sz w:val="24"/>
          <w:szCs w:val="24"/>
          <w:shd w:val="clear" w:color="auto" w:fill="FFFFFF"/>
        </w:rPr>
        <w:t>ng</w:t>
      </w:r>
      <w:proofErr w:type="spellEnd"/>
      <w:r w:rsidRPr="00E11754">
        <w:rPr>
          <w:rFonts w:ascii="Times New Roman" w:hAnsi="Times New Roman" w:cs="Times New Roman"/>
          <w:color w:val="212121"/>
          <w:sz w:val="24"/>
          <w:szCs w:val="24"/>
        </w:rPr>
        <w:t xml:space="preserve">/ml (10 dzień) </w:t>
      </w:r>
      <w:r w:rsidR="2C092957" w:rsidRPr="00E11754">
        <w:rPr>
          <w:rFonts w:ascii="Times New Roman" w:hAnsi="Times New Roman" w:cs="Times New Roman"/>
          <w:color w:val="212121"/>
          <w:sz w:val="24"/>
          <w:szCs w:val="24"/>
          <w:shd w:val="clear" w:color="auto" w:fill="FFFFFF"/>
        </w:rPr>
        <w:t>(Fig. 3. w publikacji 3)</w:t>
      </w:r>
      <w:r w:rsidRPr="2506C974">
        <w:rPr>
          <w:rFonts w:ascii="Times New Roman" w:hAnsi="Times New Roman" w:cs="Times New Roman"/>
          <w:color w:val="212121"/>
          <w:sz w:val="24"/>
          <w:szCs w:val="24"/>
        </w:rPr>
        <w:t xml:space="preserve">. Po tym punkcie czasowym, stężenie leku malało. </w:t>
      </w:r>
    </w:p>
    <w:p w14:paraId="5E965FA0" w14:textId="564F49A8" w:rsidR="006C6CAA" w:rsidRPr="00E11754" w:rsidRDefault="006C6CAA" w:rsidP="006C6CAA">
      <w:pPr>
        <w:spacing w:line="360" w:lineRule="auto"/>
        <w:jc w:val="both"/>
        <w:rPr>
          <w:rFonts w:ascii="Times New Roman" w:hAnsi="Times New Roman" w:cs="Times New Roman"/>
          <w:color w:val="212121"/>
          <w:sz w:val="24"/>
          <w:szCs w:val="24"/>
          <w:shd w:val="clear" w:color="auto" w:fill="FFFFFF"/>
        </w:rPr>
      </w:pPr>
      <w:r w:rsidRPr="00E11754">
        <w:rPr>
          <w:rFonts w:ascii="Times New Roman" w:hAnsi="Times New Roman" w:cs="Times New Roman"/>
          <w:color w:val="212121"/>
          <w:sz w:val="24"/>
          <w:szCs w:val="24"/>
          <w:shd w:val="clear" w:color="auto" w:fill="FFFFFF"/>
        </w:rPr>
        <w:tab/>
      </w:r>
      <w:r w:rsidRPr="00E11754">
        <w:rPr>
          <w:rFonts w:ascii="Times New Roman" w:hAnsi="Times New Roman" w:cs="Times New Roman"/>
          <w:color w:val="212121"/>
          <w:sz w:val="24"/>
          <w:szCs w:val="24"/>
        </w:rPr>
        <w:t>The dane dowodzą, że u</w:t>
      </w:r>
      <w:r w:rsidR="2100169C" w:rsidRPr="00E11754">
        <w:rPr>
          <w:rFonts w:ascii="Times New Roman" w:hAnsi="Times New Roman" w:cs="Times New Roman"/>
          <w:color w:val="212121"/>
          <w:sz w:val="24"/>
          <w:szCs w:val="24"/>
        </w:rPr>
        <w:t xml:space="preserve">zyskane </w:t>
      </w:r>
      <w:r w:rsidRPr="00E11754">
        <w:rPr>
          <w:rFonts w:ascii="Times New Roman" w:hAnsi="Times New Roman" w:cs="Times New Roman"/>
          <w:color w:val="212121"/>
          <w:sz w:val="24"/>
          <w:szCs w:val="24"/>
        </w:rPr>
        <w:t>profile leku</w:t>
      </w:r>
      <w:r w:rsidRPr="00E11754">
        <w:rPr>
          <w:rFonts w:ascii="Times New Roman" w:hAnsi="Times New Roman" w:cs="Times New Roman"/>
          <w:color w:val="212121"/>
          <w:sz w:val="24"/>
          <w:szCs w:val="24"/>
          <w:shd w:val="clear" w:color="auto" w:fill="FFFFFF"/>
        </w:rPr>
        <w:t xml:space="preserve"> w moczu</w:t>
      </w:r>
      <w:r w:rsidRPr="00E11754">
        <w:rPr>
          <w:rFonts w:ascii="Times New Roman" w:hAnsi="Times New Roman" w:cs="Times New Roman"/>
          <w:color w:val="212121"/>
          <w:sz w:val="24"/>
          <w:szCs w:val="24"/>
        </w:rPr>
        <w:t xml:space="preserve"> </w:t>
      </w:r>
      <w:r w:rsidRPr="00E11754">
        <w:rPr>
          <w:rFonts w:ascii="Times New Roman" w:hAnsi="Times New Roman" w:cs="Times New Roman"/>
          <w:color w:val="212121"/>
          <w:sz w:val="24"/>
          <w:szCs w:val="24"/>
          <w:shd w:val="clear" w:color="auto" w:fill="FFFFFF"/>
        </w:rPr>
        <w:t xml:space="preserve">są 100 i 90 razy wyższe niż obliczone dla prób osocza. Ponadto, powyższe badanie wskazuje, że </w:t>
      </w:r>
      <w:proofErr w:type="spellStart"/>
      <w:r w:rsidRPr="00E11754">
        <w:rPr>
          <w:rFonts w:ascii="Times New Roman" w:hAnsi="Times New Roman" w:cs="Times New Roman"/>
          <w:color w:val="212121"/>
          <w:sz w:val="24"/>
          <w:szCs w:val="24"/>
          <w:shd w:val="clear" w:color="auto" w:fill="FFFFFF"/>
        </w:rPr>
        <w:t>idarubicyna</w:t>
      </w:r>
      <w:proofErr w:type="spellEnd"/>
      <w:r w:rsidRPr="00E11754">
        <w:rPr>
          <w:rFonts w:ascii="Times New Roman" w:hAnsi="Times New Roman" w:cs="Times New Roman"/>
          <w:color w:val="212121"/>
          <w:sz w:val="24"/>
          <w:szCs w:val="24"/>
          <w:shd w:val="clear" w:color="auto" w:fill="FFFFFF"/>
        </w:rPr>
        <w:t xml:space="preserve"> utrzymuje się w osoczu oraz moczu do 24 h po podaniu</w:t>
      </w:r>
      <w:r w:rsidRPr="00E11754">
        <w:rPr>
          <w:rFonts w:ascii="Times New Roman" w:hAnsi="Times New Roman" w:cs="Times New Roman"/>
          <w:color w:val="212121"/>
          <w:sz w:val="24"/>
          <w:szCs w:val="24"/>
        </w:rPr>
        <w:t xml:space="preserve"> także</w:t>
      </w:r>
      <w:r w:rsidRPr="00E11754">
        <w:rPr>
          <w:rFonts w:ascii="Times New Roman" w:hAnsi="Times New Roman" w:cs="Times New Roman"/>
          <w:color w:val="212121"/>
          <w:sz w:val="24"/>
          <w:szCs w:val="24"/>
          <w:shd w:val="clear" w:color="auto" w:fill="FFFFFF"/>
        </w:rPr>
        <w:t xml:space="preserve"> w przypadku podania doustnego, gdy dawka leku jest relatywnie niska. Badania te dowodzą także, że niezależnie od formy podania </w:t>
      </w:r>
      <w:proofErr w:type="spellStart"/>
      <w:r w:rsidRPr="00E11754">
        <w:rPr>
          <w:rFonts w:ascii="Times New Roman" w:hAnsi="Times New Roman" w:cs="Times New Roman"/>
          <w:color w:val="212121"/>
          <w:sz w:val="24"/>
          <w:szCs w:val="24"/>
          <w:shd w:val="clear" w:color="auto" w:fill="FFFFFF"/>
        </w:rPr>
        <w:t>antracykliny</w:t>
      </w:r>
      <w:proofErr w:type="spellEnd"/>
      <w:r w:rsidRPr="00E11754">
        <w:rPr>
          <w:rFonts w:ascii="Times New Roman" w:hAnsi="Times New Roman" w:cs="Times New Roman"/>
          <w:color w:val="212121"/>
          <w:sz w:val="24"/>
          <w:szCs w:val="24"/>
          <w:shd w:val="clear" w:color="auto" w:fill="FFFFFF"/>
        </w:rPr>
        <w:t xml:space="preserve">, stężenie leku jest zawsze wyższe w moczu niż osoczu. </w:t>
      </w:r>
    </w:p>
    <w:p w14:paraId="49DF76E2" w14:textId="77777777" w:rsidR="006C6CAA" w:rsidRPr="00E11754" w:rsidRDefault="006C6CAA" w:rsidP="00BC798E">
      <w:pPr>
        <w:spacing w:before="120" w:after="120" w:line="360" w:lineRule="auto"/>
        <w:rPr>
          <w:rFonts w:ascii="Times New Roman" w:hAnsi="Times New Roman" w:cs="Times New Roman"/>
          <w:b/>
          <w:bCs/>
          <w:i/>
          <w:iCs/>
          <w:color w:val="212121"/>
          <w:sz w:val="24"/>
          <w:szCs w:val="24"/>
          <w:shd w:val="clear" w:color="auto" w:fill="FFFFFF"/>
        </w:rPr>
      </w:pPr>
      <w:r w:rsidRPr="00E11754">
        <w:rPr>
          <w:rFonts w:ascii="Times New Roman" w:hAnsi="Times New Roman" w:cs="Times New Roman"/>
          <w:b/>
          <w:bCs/>
          <w:i/>
          <w:iCs/>
          <w:color w:val="212121"/>
          <w:sz w:val="24"/>
          <w:szCs w:val="24"/>
          <w:shd w:val="clear" w:color="auto" w:fill="FFFFFF"/>
        </w:rPr>
        <w:t>Wnioski</w:t>
      </w:r>
    </w:p>
    <w:p w14:paraId="1CE09C50" w14:textId="19B28C1D" w:rsidR="006C6CAA" w:rsidRPr="00E11754" w:rsidRDefault="006C6CAA" w:rsidP="006C6CAA">
      <w:pPr>
        <w:spacing w:line="360" w:lineRule="auto"/>
        <w:jc w:val="both"/>
        <w:rPr>
          <w:rFonts w:ascii="Times New Roman" w:hAnsi="Times New Roman" w:cs="Times New Roman"/>
          <w:color w:val="212121"/>
          <w:sz w:val="24"/>
          <w:szCs w:val="24"/>
          <w:shd w:val="clear" w:color="auto" w:fill="FFFFFF"/>
        </w:rPr>
      </w:pPr>
      <w:r w:rsidRPr="00E11754">
        <w:rPr>
          <w:rFonts w:ascii="Times New Roman" w:hAnsi="Times New Roman" w:cs="Times New Roman"/>
          <w:color w:val="212121"/>
          <w:sz w:val="24"/>
          <w:szCs w:val="24"/>
          <w:shd w:val="clear" w:color="auto" w:fill="FFFFFF"/>
        </w:rPr>
        <w:tab/>
      </w:r>
      <w:r w:rsidRPr="00E11754">
        <w:rPr>
          <w:rFonts w:ascii="Times New Roman" w:hAnsi="Times New Roman" w:cs="Times New Roman"/>
          <w:color w:val="212121"/>
          <w:sz w:val="24"/>
          <w:szCs w:val="24"/>
        </w:rPr>
        <w:t xml:space="preserve"> O</w:t>
      </w:r>
      <w:r w:rsidRPr="00E11754">
        <w:rPr>
          <w:rFonts w:ascii="Times New Roman" w:hAnsi="Times New Roman" w:cs="Times New Roman"/>
          <w:color w:val="212121"/>
          <w:sz w:val="24"/>
          <w:szCs w:val="24"/>
          <w:shd w:val="clear" w:color="auto" w:fill="FFFFFF"/>
        </w:rPr>
        <w:t xml:space="preserve">pracowano nową metodę </w:t>
      </w:r>
      <w:r w:rsidRPr="00E11754">
        <w:rPr>
          <w:rFonts w:ascii="Times New Roman" w:hAnsi="Times New Roman" w:cs="Times New Roman"/>
          <w:color w:val="212121"/>
          <w:sz w:val="24"/>
          <w:szCs w:val="24"/>
        </w:rPr>
        <w:t xml:space="preserve">LC-FL </w:t>
      </w:r>
      <w:r w:rsidRPr="00E11754">
        <w:rPr>
          <w:rFonts w:ascii="Times New Roman" w:hAnsi="Times New Roman" w:cs="Times New Roman"/>
          <w:color w:val="212121"/>
          <w:sz w:val="24"/>
          <w:szCs w:val="24"/>
          <w:shd w:val="clear" w:color="auto" w:fill="FFFFFF"/>
        </w:rPr>
        <w:t xml:space="preserve">do oznaczania </w:t>
      </w:r>
      <w:proofErr w:type="spellStart"/>
      <w:r w:rsidRPr="00E11754">
        <w:rPr>
          <w:rFonts w:ascii="Times New Roman" w:hAnsi="Times New Roman" w:cs="Times New Roman"/>
          <w:color w:val="212121"/>
          <w:sz w:val="24"/>
          <w:szCs w:val="24"/>
          <w:shd w:val="clear" w:color="auto" w:fill="FFFFFF"/>
        </w:rPr>
        <w:t>idarubicyny</w:t>
      </w:r>
      <w:proofErr w:type="spellEnd"/>
      <w:r w:rsidRPr="00E11754">
        <w:rPr>
          <w:rFonts w:ascii="Times New Roman" w:hAnsi="Times New Roman" w:cs="Times New Roman"/>
          <w:color w:val="212121"/>
          <w:sz w:val="24"/>
          <w:szCs w:val="24"/>
          <w:shd w:val="clear" w:color="auto" w:fill="FFFFFF"/>
        </w:rPr>
        <w:t xml:space="preserve"> w próbach osocza </w:t>
      </w:r>
      <w:r w:rsidR="00F66C58">
        <w:rPr>
          <w:rFonts w:ascii="Times New Roman" w:hAnsi="Times New Roman" w:cs="Times New Roman"/>
          <w:color w:val="212121"/>
          <w:sz w:val="24"/>
          <w:szCs w:val="24"/>
          <w:shd w:val="clear" w:color="auto" w:fill="FFFFFF"/>
        </w:rPr>
        <w:br/>
      </w:r>
      <w:r w:rsidRPr="00E11754">
        <w:rPr>
          <w:rFonts w:ascii="Times New Roman" w:hAnsi="Times New Roman" w:cs="Times New Roman"/>
          <w:color w:val="212121"/>
          <w:sz w:val="24"/>
          <w:szCs w:val="24"/>
          <w:shd w:val="clear" w:color="auto" w:fill="FFFFFF"/>
        </w:rPr>
        <w:t>i moczu ludzkiego</w:t>
      </w:r>
      <w:r w:rsidRPr="00E11754">
        <w:rPr>
          <w:rFonts w:ascii="Times New Roman" w:hAnsi="Times New Roman" w:cs="Times New Roman"/>
          <w:color w:val="212121"/>
          <w:sz w:val="24"/>
          <w:szCs w:val="24"/>
        </w:rPr>
        <w:t xml:space="preserve">, w </w:t>
      </w:r>
      <w:r w:rsidRPr="00E11754">
        <w:rPr>
          <w:rFonts w:ascii="Times New Roman" w:hAnsi="Times New Roman" w:cs="Times New Roman"/>
          <w:color w:val="212121"/>
          <w:sz w:val="24"/>
          <w:szCs w:val="24"/>
          <w:shd w:val="clear" w:color="auto" w:fill="FFFFFF"/>
        </w:rPr>
        <w:t xml:space="preserve">której procedura SPE ze złożem HLB do izolacji </w:t>
      </w:r>
      <w:proofErr w:type="spellStart"/>
      <w:r w:rsidRPr="00E11754">
        <w:rPr>
          <w:rFonts w:ascii="Times New Roman" w:hAnsi="Times New Roman" w:cs="Times New Roman"/>
          <w:color w:val="212121"/>
          <w:sz w:val="24"/>
          <w:szCs w:val="24"/>
          <w:shd w:val="clear" w:color="auto" w:fill="FFFFFF"/>
        </w:rPr>
        <w:t>idarubic</w:t>
      </w:r>
      <w:r w:rsidRPr="00E11754">
        <w:rPr>
          <w:rFonts w:ascii="Times New Roman" w:hAnsi="Times New Roman" w:cs="Times New Roman"/>
          <w:color w:val="212121"/>
          <w:sz w:val="24"/>
          <w:szCs w:val="24"/>
        </w:rPr>
        <w:t>y</w:t>
      </w:r>
      <w:r w:rsidRPr="00E11754">
        <w:rPr>
          <w:rFonts w:ascii="Times New Roman" w:hAnsi="Times New Roman" w:cs="Times New Roman"/>
          <w:color w:val="212121"/>
          <w:sz w:val="24"/>
          <w:szCs w:val="24"/>
          <w:shd w:val="clear" w:color="auto" w:fill="FFFFFF"/>
        </w:rPr>
        <w:t>ny</w:t>
      </w:r>
      <w:proofErr w:type="spellEnd"/>
      <w:r w:rsidRPr="00E11754">
        <w:rPr>
          <w:rFonts w:ascii="Times New Roman" w:hAnsi="Times New Roman" w:cs="Times New Roman"/>
          <w:color w:val="212121"/>
          <w:sz w:val="24"/>
          <w:szCs w:val="24"/>
          <w:shd w:val="clear" w:color="auto" w:fill="FFFFFF"/>
        </w:rPr>
        <w:t xml:space="preserve"> z matrycy biologicznej została opisana w literaturze po raz pierwszy. Ponadto, objętość próbki wymaganej do </w:t>
      </w:r>
      <w:r w:rsidRPr="00E11754">
        <w:rPr>
          <w:rFonts w:ascii="Times New Roman" w:hAnsi="Times New Roman" w:cs="Times New Roman"/>
          <w:color w:val="212121"/>
          <w:sz w:val="24"/>
          <w:szCs w:val="24"/>
        </w:rPr>
        <w:t>jej przeprowadzenia</w:t>
      </w:r>
      <w:r w:rsidRPr="00E11754">
        <w:rPr>
          <w:rFonts w:ascii="Times New Roman" w:hAnsi="Times New Roman" w:cs="Times New Roman"/>
          <w:color w:val="212121"/>
          <w:sz w:val="24"/>
          <w:szCs w:val="24"/>
          <w:shd w:val="clear" w:color="auto" w:fill="FFFFFF"/>
        </w:rPr>
        <w:t xml:space="preserve"> jest mniejsza w porównaniu do opracowanych dotąd procedur (1 ml moczu oraz 0,5 ml osocza). Dodatkowo czas analizy</w:t>
      </w:r>
      <w:r w:rsidRPr="00E11754">
        <w:rPr>
          <w:rFonts w:ascii="Times New Roman" w:hAnsi="Times New Roman" w:cs="Times New Roman"/>
          <w:color w:val="212121"/>
          <w:sz w:val="24"/>
          <w:szCs w:val="24"/>
        </w:rPr>
        <w:t xml:space="preserve"> chromatograficznej</w:t>
      </w:r>
      <w:r w:rsidRPr="00E11754">
        <w:rPr>
          <w:rFonts w:ascii="Times New Roman" w:hAnsi="Times New Roman" w:cs="Times New Roman"/>
          <w:color w:val="212121"/>
          <w:sz w:val="24"/>
          <w:szCs w:val="24"/>
          <w:shd w:val="clear" w:color="auto" w:fill="FFFFFF"/>
        </w:rPr>
        <w:t xml:space="preserve"> jest krótszy niż dotychczasowe metody i wynosi 8 min dla prób osocza i 10 min dla prób moczu. </w:t>
      </w:r>
      <w:r w:rsidRPr="00E11754">
        <w:rPr>
          <w:rFonts w:ascii="Times New Roman" w:hAnsi="Times New Roman" w:cs="Times New Roman"/>
          <w:color w:val="212121"/>
          <w:sz w:val="24"/>
          <w:szCs w:val="24"/>
        </w:rPr>
        <w:t>Z</w:t>
      </w:r>
      <w:r w:rsidRPr="00E11754">
        <w:rPr>
          <w:rFonts w:ascii="Times New Roman" w:hAnsi="Times New Roman" w:cs="Times New Roman"/>
          <w:color w:val="212121"/>
          <w:sz w:val="24"/>
          <w:szCs w:val="24"/>
          <w:shd w:val="clear" w:color="auto" w:fill="FFFFFF"/>
        </w:rPr>
        <w:t xml:space="preserve">aprezentowano </w:t>
      </w:r>
      <w:r w:rsidRPr="00E11754">
        <w:rPr>
          <w:rFonts w:ascii="Times New Roman" w:hAnsi="Times New Roman" w:cs="Times New Roman"/>
          <w:color w:val="212121"/>
          <w:sz w:val="24"/>
          <w:szCs w:val="24"/>
        </w:rPr>
        <w:t xml:space="preserve">także </w:t>
      </w:r>
      <w:r w:rsidRPr="00E11754">
        <w:rPr>
          <w:rFonts w:ascii="Times New Roman" w:hAnsi="Times New Roman" w:cs="Times New Roman"/>
          <w:color w:val="212121"/>
          <w:sz w:val="24"/>
          <w:szCs w:val="24"/>
          <w:shd w:val="clear" w:color="auto" w:fill="FFFFFF"/>
        </w:rPr>
        <w:t>użyteczność nowej metody</w:t>
      </w:r>
      <w:r w:rsidRPr="00E11754">
        <w:rPr>
          <w:rFonts w:ascii="Times New Roman" w:hAnsi="Times New Roman" w:cs="Times New Roman"/>
          <w:color w:val="212121"/>
          <w:sz w:val="24"/>
          <w:szCs w:val="24"/>
        </w:rPr>
        <w:t xml:space="preserve"> SPE-LC-FL</w:t>
      </w:r>
      <w:r w:rsidRPr="00E11754">
        <w:rPr>
          <w:rFonts w:ascii="Times New Roman" w:hAnsi="Times New Roman" w:cs="Times New Roman"/>
          <w:color w:val="212121"/>
          <w:sz w:val="24"/>
          <w:szCs w:val="24"/>
          <w:shd w:val="clear" w:color="auto" w:fill="FFFFFF"/>
        </w:rPr>
        <w:t xml:space="preserve"> do oznaczania stężenia </w:t>
      </w:r>
      <w:proofErr w:type="spellStart"/>
      <w:r w:rsidRPr="00E11754">
        <w:rPr>
          <w:rFonts w:ascii="Times New Roman" w:hAnsi="Times New Roman" w:cs="Times New Roman"/>
          <w:color w:val="212121"/>
          <w:sz w:val="24"/>
          <w:szCs w:val="24"/>
          <w:shd w:val="clear" w:color="auto" w:fill="FFFFFF"/>
        </w:rPr>
        <w:lastRenderedPageBreak/>
        <w:t>idarubic</w:t>
      </w:r>
      <w:r w:rsidRPr="00E11754">
        <w:rPr>
          <w:rFonts w:ascii="Times New Roman" w:hAnsi="Times New Roman" w:cs="Times New Roman"/>
          <w:color w:val="212121"/>
          <w:sz w:val="24"/>
          <w:szCs w:val="24"/>
        </w:rPr>
        <w:t>y</w:t>
      </w:r>
      <w:r w:rsidRPr="00E11754">
        <w:rPr>
          <w:rFonts w:ascii="Times New Roman" w:hAnsi="Times New Roman" w:cs="Times New Roman"/>
          <w:color w:val="212121"/>
          <w:sz w:val="24"/>
          <w:szCs w:val="24"/>
          <w:shd w:val="clear" w:color="auto" w:fill="FFFFFF"/>
        </w:rPr>
        <w:t>ny</w:t>
      </w:r>
      <w:proofErr w:type="spellEnd"/>
      <w:r w:rsidRPr="00E11754">
        <w:rPr>
          <w:rFonts w:ascii="Times New Roman" w:hAnsi="Times New Roman" w:cs="Times New Roman"/>
          <w:color w:val="212121"/>
          <w:sz w:val="24"/>
          <w:szCs w:val="24"/>
          <w:shd w:val="clear" w:color="auto" w:fill="FFFFFF"/>
        </w:rPr>
        <w:t xml:space="preserve"> w osoczu i moczu pacjent</w:t>
      </w:r>
      <w:r w:rsidRPr="00E11754">
        <w:rPr>
          <w:rFonts w:ascii="Times New Roman" w:hAnsi="Times New Roman" w:cs="Times New Roman"/>
          <w:color w:val="212121"/>
          <w:sz w:val="24"/>
          <w:szCs w:val="24"/>
        </w:rPr>
        <w:t>a</w:t>
      </w:r>
      <w:r w:rsidRPr="00E11754">
        <w:rPr>
          <w:rFonts w:ascii="Times New Roman" w:hAnsi="Times New Roman" w:cs="Times New Roman"/>
          <w:color w:val="212121"/>
          <w:sz w:val="24"/>
          <w:szCs w:val="24"/>
          <w:shd w:val="clear" w:color="auto" w:fill="FFFFFF"/>
        </w:rPr>
        <w:t xml:space="preserve"> przyjmując</w:t>
      </w:r>
      <w:r w:rsidRPr="00E11754">
        <w:rPr>
          <w:rFonts w:ascii="Times New Roman" w:hAnsi="Times New Roman" w:cs="Times New Roman"/>
          <w:color w:val="212121"/>
          <w:sz w:val="24"/>
          <w:szCs w:val="24"/>
        </w:rPr>
        <w:t>ego</w:t>
      </w:r>
      <w:r w:rsidRPr="00E11754">
        <w:rPr>
          <w:rFonts w:ascii="Times New Roman" w:hAnsi="Times New Roman" w:cs="Times New Roman"/>
          <w:color w:val="212121"/>
          <w:sz w:val="24"/>
          <w:szCs w:val="24"/>
          <w:shd w:val="clear" w:color="auto" w:fill="FFFFFF"/>
        </w:rPr>
        <w:t xml:space="preserve"> </w:t>
      </w:r>
      <w:proofErr w:type="spellStart"/>
      <w:r w:rsidRPr="00E11754">
        <w:rPr>
          <w:rFonts w:ascii="Times New Roman" w:hAnsi="Times New Roman" w:cs="Times New Roman"/>
          <w:color w:val="212121"/>
          <w:sz w:val="24"/>
          <w:szCs w:val="24"/>
          <w:shd w:val="clear" w:color="auto" w:fill="FFFFFF"/>
        </w:rPr>
        <w:t>idarubicynę</w:t>
      </w:r>
      <w:proofErr w:type="spellEnd"/>
      <w:r w:rsidRPr="00E11754">
        <w:rPr>
          <w:rFonts w:ascii="Times New Roman" w:hAnsi="Times New Roman" w:cs="Times New Roman"/>
          <w:color w:val="212121"/>
          <w:sz w:val="24"/>
          <w:szCs w:val="24"/>
        </w:rPr>
        <w:t xml:space="preserve"> doustnie w schemacie O-TIDA, O-TE. Ta procedura może być zatem</w:t>
      </w:r>
      <w:r w:rsidR="4EF80E68" w:rsidRPr="00E11754">
        <w:rPr>
          <w:rFonts w:ascii="Times New Roman" w:hAnsi="Times New Roman" w:cs="Times New Roman"/>
          <w:color w:val="212121"/>
          <w:sz w:val="24"/>
          <w:szCs w:val="24"/>
        </w:rPr>
        <w:t xml:space="preserve"> interesującą alternatywną</w:t>
      </w:r>
      <w:r w:rsidRPr="00E11754">
        <w:rPr>
          <w:rFonts w:ascii="Times New Roman" w:hAnsi="Times New Roman" w:cs="Times New Roman"/>
          <w:color w:val="212121"/>
          <w:sz w:val="24"/>
          <w:szCs w:val="24"/>
        </w:rPr>
        <w:t xml:space="preserve"> dla dotychczas opublikowanych metod chromatograficznych. </w:t>
      </w:r>
      <w:r w:rsidR="5A1DC5BE" w:rsidRPr="00E11754">
        <w:rPr>
          <w:rFonts w:ascii="Times New Roman" w:hAnsi="Times New Roman" w:cs="Times New Roman"/>
          <w:color w:val="212121"/>
          <w:sz w:val="24"/>
          <w:szCs w:val="24"/>
        </w:rPr>
        <w:t>Ponadto</w:t>
      </w:r>
      <w:r w:rsidR="4EF80E68" w:rsidRPr="00E11754">
        <w:rPr>
          <w:rFonts w:ascii="Times New Roman" w:hAnsi="Times New Roman" w:cs="Times New Roman"/>
          <w:color w:val="212121"/>
          <w:sz w:val="24"/>
          <w:szCs w:val="24"/>
        </w:rPr>
        <w:t xml:space="preserve">, po raz pierwszy została </w:t>
      </w:r>
      <w:r w:rsidR="26E49E10" w:rsidRPr="00E11754">
        <w:rPr>
          <w:rFonts w:ascii="Times New Roman" w:hAnsi="Times New Roman" w:cs="Times New Roman"/>
          <w:color w:val="212121"/>
          <w:sz w:val="24"/>
          <w:szCs w:val="24"/>
        </w:rPr>
        <w:t xml:space="preserve">opracowano </w:t>
      </w:r>
      <w:r w:rsidR="5A1DC5BE" w:rsidRPr="00E11754">
        <w:rPr>
          <w:rFonts w:ascii="Times New Roman" w:hAnsi="Times New Roman" w:cs="Times New Roman"/>
          <w:color w:val="212121"/>
          <w:sz w:val="24"/>
          <w:szCs w:val="24"/>
        </w:rPr>
        <w:t>procedura</w:t>
      </w:r>
      <w:r w:rsidR="4EF80E68" w:rsidRPr="00E11754">
        <w:rPr>
          <w:rFonts w:ascii="Times New Roman" w:hAnsi="Times New Roman" w:cs="Times New Roman"/>
          <w:color w:val="212121"/>
          <w:sz w:val="24"/>
          <w:szCs w:val="24"/>
        </w:rPr>
        <w:t xml:space="preserve"> SPME do izolacji </w:t>
      </w:r>
      <w:proofErr w:type="spellStart"/>
      <w:r w:rsidR="4EF80E68" w:rsidRPr="00E11754">
        <w:rPr>
          <w:rFonts w:ascii="Times New Roman" w:hAnsi="Times New Roman" w:cs="Times New Roman"/>
          <w:color w:val="212121"/>
          <w:sz w:val="24"/>
          <w:szCs w:val="24"/>
        </w:rPr>
        <w:t>idarubicyny</w:t>
      </w:r>
      <w:proofErr w:type="spellEnd"/>
      <w:r w:rsidR="4EF80E68" w:rsidRPr="00E11754">
        <w:rPr>
          <w:rFonts w:ascii="Times New Roman" w:hAnsi="Times New Roman" w:cs="Times New Roman"/>
          <w:color w:val="212121"/>
          <w:sz w:val="24"/>
          <w:szCs w:val="24"/>
        </w:rPr>
        <w:t xml:space="preserve">, która </w:t>
      </w:r>
      <w:r w:rsidR="5A1DC5BE" w:rsidRPr="00E11754">
        <w:rPr>
          <w:rFonts w:ascii="Times New Roman" w:hAnsi="Times New Roman" w:cs="Times New Roman"/>
          <w:color w:val="212121"/>
          <w:sz w:val="24"/>
          <w:szCs w:val="24"/>
        </w:rPr>
        <w:t>mogłaby</w:t>
      </w:r>
      <w:r w:rsidR="4EF80E68" w:rsidRPr="00E11754">
        <w:rPr>
          <w:rFonts w:ascii="Times New Roman" w:hAnsi="Times New Roman" w:cs="Times New Roman"/>
          <w:color w:val="212121"/>
          <w:sz w:val="24"/>
          <w:szCs w:val="24"/>
        </w:rPr>
        <w:t xml:space="preserve"> być stosowana do przygotowania prób pacjentów w praktyce klinicznej, gdyby </w:t>
      </w:r>
      <w:r w:rsidR="563D0406" w:rsidRPr="00E11754">
        <w:rPr>
          <w:rFonts w:ascii="Times New Roman" w:hAnsi="Times New Roman" w:cs="Times New Roman"/>
          <w:color w:val="212121"/>
          <w:sz w:val="24"/>
          <w:szCs w:val="24"/>
        </w:rPr>
        <w:t xml:space="preserve">lek </w:t>
      </w:r>
      <w:r w:rsidR="4EF80E68" w:rsidRPr="00E11754">
        <w:rPr>
          <w:rFonts w:ascii="Times New Roman" w:hAnsi="Times New Roman" w:cs="Times New Roman"/>
          <w:color w:val="212121"/>
          <w:sz w:val="24"/>
          <w:szCs w:val="24"/>
        </w:rPr>
        <w:t xml:space="preserve">podawano pacjentom w wyższych dawkach w formie </w:t>
      </w:r>
      <w:proofErr w:type="spellStart"/>
      <w:r w:rsidR="57F22F95" w:rsidRPr="00E11754">
        <w:rPr>
          <w:rFonts w:ascii="Times New Roman" w:hAnsi="Times New Roman" w:cs="Times New Roman"/>
          <w:color w:val="212121"/>
          <w:sz w:val="24"/>
          <w:szCs w:val="24"/>
        </w:rPr>
        <w:t>doustniej</w:t>
      </w:r>
      <w:proofErr w:type="spellEnd"/>
      <w:r w:rsidR="57F22F95" w:rsidRPr="00E11754">
        <w:rPr>
          <w:rFonts w:ascii="Times New Roman" w:hAnsi="Times New Roman" w:cs="Times New Roman"/>
          <w:color w:val="212121"/>
          <w:sz w:val="24"/>
          <w:szCs w:val="24"/>
        </w:rPr>
        <w:t xml:space="preserve"> </w:t>
      </w:r>
      <w:r w:rsidR="4EF80E68" w:rsidRPr="00E11754">
        <w:rPr>
          <w:rFonts w:ascii="Times New Roman" w:hAnsi="Times New Roman" w:cs="Times New Roman"/>
          <w:color w:val="212121"/>
          <w:sz w:val="24"/>
          <w:szCs w:val="24"/>
        </w:rPr>
        <w:t xml:space="preserve">bądź we wlewie dożylnym. </w:t>
      </w:r>
    </w:p>
    <w:p w14:paraId="5DC0AB92" w14:textId="58B9B3CD" w:rsidR="4EF80E68" w:rsidRPr="00E11754" w:rsidRDefault="4EF80E68" w:rsidP="4EF80E68">
      <w:pPr>
        <w:spacing w:line="360" w:lineRule="auto"/>
        <w:jc w:val="both"/>
        <w:rPr>
          <w:rFonts w:ascii="Times New Roman" w:hAnsi="Times New Roman" w:cs="Times New Roman"/>
          <w:color w:val="212121"/>
          <w:sz w:val="24"/>
          <w:szCs w:val="24"/>
        </w:rPr>
      </w:pPr>
    </w:p>
    <w:p w14:paraId="6FD9653A" w14:textId="77777777" w:rsidR="006C6CAA" w:rsidRPr="00E11754" w:rsidRDefault="13A8E3F4" w:rsidP="006C6CAA">
      <w:pPr>
        <w:pStyle w:val="Nagwek2"/>
        <w:spacing w:before="240" w:after="120" w:line="360" w:lineRule="auto"/>
        <w:rPr>
          <w:rFonts w:ascii="Times New Roman" w:hAnsi="Times New Roman" w:cs="Times New Roman"/>
          <w:b/>
          <w:bCs/>
          <w:sz w:val="24"/>
          <w:szCs w:val="24"/>
          <w:lang w:val="en-GB"/>
        </w:rPr>
      </w:pPr>
      <w:bookmarkStart w:id="25" w:name="_Toc135306231"/>
      <w:bookmarkStart w:id="26" w:name="_Toc137702483"/>
      <w:r w:rsidRPr="00E11754">
        <w:rPr>
          <w:rFonts w:ascii="Times New Roman" w:hAnsi="Times New Roman" w:cs="Times New Roman"/>
          <w:b/>
          <w:bCs/>
          <w:sz w:val="24"/>
          <w:szCs w:val="24"/>
          <w:lang w:val="en-GB"/>
        </w:rPr>
        <w:t xml:space="preserve">3.4. </w:t>
      </w:r>
      <w:proofErr w:type="spellStart"/>
      <w:r w:rsidRPr="00E11754">
        <w:rPr>
          <w:rFonts w:ascii="Times New Roman" w:hAnsi="Times New Roman" w:cs="Times New Roman"/>
          <w:b/>
          <w:bCs/>
          <w:sz w:val="24"/>
          <w:szCs w:val="24"/>
          <w:lang w:val="en-GB"/>
        </w:rPr>
        <w:t>Publikacja</w:t>
      </w:r>
      <w:proofErr w:type="spellEnd"/>
      <w:r w:rsidRPr="00E11754">
        <w:rPr>
          <w:rFonts w:ascii="Times New Roman" w:hAnsi="Times New Roman" w:cs="Times New Roman"/>
          <w:b/>
          <w:bCs/>
          <w:sz w:val="24"/>
          <w:szCs w:val="24"/>
          <w:lang w:val="en-GB"/>
        </w:rPr>
        <w:t xml:space="preserve"> 4.</w:t>
      </w:r>
      <w:bookmarkEnd w:id="25"/>
      <w:bookmarkEnd w:id="26"/>
      <w:r w:rsidRPr="00E11754">
        <w:rPr>
          <w:rFonts w:ascii="Times New Roman" w:hAnsi="Times New Roman" w:cs="Times New Roman"/>
          <w:b/>
          <w:bCs/>
          <w:sz w:val="24"/>
          <w:szCs w:val="24"/>
          <w:lang w:val="en-GB"/>
        </w:rPr>
        <w:t xml:space="preserve"> </w:t>
      </w:r>
    </w:p>
    <w:p w14:paraId="74C35667" w14:textId="3E83E044" w:rsidR="006C6CAA" w:rsidRPr="00E11754" w:rsidRDefault="13A8E3F4" w:rsidP="002D095E">
      <w:pPr>
        <w:spacing w:before="240" w:after="120" w:line="360" w:lineRule="auto"/>
        <w:jc w:val="both"/>
        <w:rPr>
          <w:rFonts w:ascii="Times New Roman" w:eastAsia="Times New Roman" w:hAnsi="Times New Roman" w:cs="Times New Roman"/>
          <w:sz w:val="24"/>
          <w:szCs w:val="24"/>
          <w:lang w:val="en-GB"/>
        </w:rPr>
      </w:pPr>
      <w:r w:rsidRPr="00E11754">
        <w:rPr>
          <w:rFonts w:ascii="Times New Roman" w:eastAsia="Times New Roman" w:hAnsi="Times New Roman" w:cs="Times New Roman"/>
          <w:sz w:val="24"/>
          <w:szCs w:val="24"/>
          <w:lang w:val="en-GB"/>
        </w:rPr>
        <w:t xml:space="preserve">O. </w:t>
      </w:r>
      <w:proofErr w:type="spellStart"/>
      <w:r w:rsidRPr="00E11754">
        <w:rPr>
          <w:rFonts w:ascii="Times New Roman" w:eastAsia="Times New Roman" w:hAnsi="Times New Roman" w:cs="Times New Roman"/>
          <w:sz w:val="24"/>
          <w:szCs w:val="24"/>
          <w:lang w:val="en-GB"/>
        </w:rPr>
        <w:t>Maliszewska</w:t>
      </w:r>
      <w:proofErr w:type="spellEnd"/>
      <w:r w:rsidRPr="00E11754">
        <w:rPr>
          <w:rFonts w:ascii="Times New Roman" w:eastAsia="Times New Roman" w:hAnsi="Times New Roman" w:cs="Times New Roman"/>
          <w:sz w:val="24"/>
          <w:szCs w:val="24"/>
          <w:lang w:val="en-GB"/>
        </w:rPr>
        <w:t xml:space="preserve">, N. </w:t>
      </w:r>
      <w:proofErr w:type="spellStart"/>
      <w:r w:rsidRPr="00E11754">
        <w:rPr>
          <w:rFonts w:ascii="Times New Roman" w:eastAsia="Times New Roman" w:hAnsi="Times New Roman" w:cs="Times New Roman"/>
          <w:sz w:val="24"/>
          <w:szCs w:val="24"/>
          <w:lang w:val="en-GB"/>
        </w:rPr>
        <w:t>Treder</w:t>
      </w:r>
      <w:proofErr w:type="spellEnd"/>
      <w:r w:rsidRPr="00E11754">
        <w:rPr>
          <w:rFonts w:ascii="Times New Roman" w:eastAsia="Times New Roman" w:hAnsi="Times New Roman" w:cs="Times New Roman"/>
          <w:sz w:val="24"/>
          <w:szCs w:val="24"/>
          <w:lang w:val="en-GB"/>
        </w:rPr>
        <w:t xml:space="preserve">, A. </w:t>
      </w:r>
      <w:proofErr w:type="spellStart"/>
      <w:r w:rsidRPr="00E11754">
        <w:rPr>
          <w:rFonts w:ascii="Times New Roman" w:eastAsia="Times New Roman" w:hAnsi="Times New Roman" w:cs="Times New Roman"/>
          <w:sz w:val="24"/>
          <w:szCs w:val="24"/>
          <w:lang w:val="en-GB"/>
        </w:rPr>
        <w:t>Roszkowska</w:t>
      </w:r>
      <w:proofErr w:type="spellEnd"/>
      <w:r w:rsidRPr="00E11754">
        <w:rPr>
          <w:rFonts w:ascii="Times New Roman" w:eastAsia="Times New Roman" w:hAnsi="Times New Roman" w:cs="Times New Roman"/>
          <w:sz w:val="24"/>
          <w:szCs w:val="24"/>
          <w:lang w:val="en-GB"/>
        </w:rPr>
        <w:t xml:space="preserve">, I. </w:t>
      </w:r>
      <w:proofErr w:type="spellStart"/>
      <w:r w:rsidRPr="00E11754">
        <w:rPr>
          <w:rFonts w:ascii="Times New Roman" w:eastAsia="Times New Roman" w:hAnsi="Times New Roman" w:cs="Times New Roman"/>
          <w:sz w:val="24"/>
          <w:szCs w:val="24"/>
          <w:lang w:val="en-GB"/>
        </w:rPr>
        <w:t>Olędzka</w:t>
      </w:r>
      <w:proofErr w:type="spellEnd"/>
      <w:r w:rsidRPr="00E11754">
        <w:rPr>
          <w:rFonts w:ascii="Times New Roman" w:eastAsia="Times New Roman" w:hAnsi="Times New Roman" w:cs="Times New Roman"/>
          <w:sz w:val="24"/>
          <w:szCs w:val="24"/>
          <w:lang w:val="en-GB"/>
        </w:rPr>
        <w:t xml:space="preserve">, P. Kowalski, T. </w:t>
      </w:r>
      <w:proofErr w:type="spellStart"/>
      <w:r w:rsidRPr="00E11754">
        <w:rPr>
          <w:rFonts w:ascii="Times New Roman" w:eastAsia="Times New Roman" w:hAnsi="Times New Roman" w:cs="Times New Roman"/>
          <w:sz w:val="24"/>
          <w:szCs w:val="24"/>
          <w:lang w:val="en-GB"/>
        </w:rPr>
        <w:t>Bączek</w:t>
      </w:r>
      <w:proofErr w:type="spellEnd"/>
      <w:r w:rsidRPr="00E11754">
        <w:rPr>
          <w:rFonts w:ascii="Times New Roman" w:eastAsia="Times New Roman" w:hAnsi="Times New Roman" w:cs="Times New Roman"/>
          <w:sz w:val="24"/>
          <w:szCs w:val="24"/>
          <w:lang w:val="en-GB"/>
        </w:rPr>
        <w:t xml:space="preserve">, A. </w:t>
      </w:r>
      <w:proofErr w:type="spellStart"/>
      <w:r w:rsidRPr="00E11754">
        <w:rPr>
          <w:rFonts w:ascii="Times New Roman" w:eastAsia="Times New Roman" w:hAnsi="Times New Roman" w:cs="Times New Roman"/>
          <w:sz w:val="24"/>
          <w:szCs w:val="24"/>
          <w:lang w:val="en-GB"/>
        </w:rPr>
        <w:t>Plenis</w:t>
      </w:r>
      <w:proofErr w:type="spellEnd"/>
      <w:r w:rsidRPr="00E11754">
        <w:rPr>
          <w:rFonts w:ascii="Times New Roman" w:eastAsia="Times New Roman" w:hAnsi="Times New Roman" w:cs="Times New Roman"/>
          <w:sz w:val="24"/>
          <w:szCs w:val="24"/>
          <w:lang w:val="en-GB"/>
        </w:rPr>
        <w:t>, Comparative Study of Various Procedures for Extracting Doxorubicin from Animal Tissue Samples, </w:t>
      </w:r>
      <w:r w:rsidRPr="00E11754">
        <w:rPr>
          <w:rFonts w:ascii="Times New Roman" w:eastAsia="Times New Roman" w:hAnsi="Times New Roman" w:cs="Times New Roman"/>
          <w:i/>
          <w:sz w:val="24"/>
          <w:szCs w:val="24"/>
          <w:lang w:val="en-GB"/>
        </w:rPr>
        <w:t>Separations</w:t>
      </w:r>
      <w:r w:rsidRPr="00E11754">
        <w:rPr>
          <w:rFonts w:ascii="Times New Roman" w:eastAsia="Times New Roman" w:hAnsi="Times New Roman" w:cs="Times New Roman"/>
          <w:sz w:val="24"/>
          <w:szCs w:val="24"/>
          <w:lang w:val="en-GB"/>
        </w:rPr>
        <w:t> </w:t>
      </w:r>
      <w:r w:rsidRPr="00E11754">
        <w:rPr>
          <w:rFonts w:ascii="Times New Roman" w:eastAsia="Times New Roman" w:hAnsi="Times New Roman" w:cs="Times New Roman"/>
          <w:b/>
          <w:sz w:val="24"/>
          <w:szCs w:val="24"/>
          <w:lang w:val="en-GB"/>
        </w:rPr>
        <w:t>2023</w:t>
      </w:r>
      <w:r w:rsidRPr="00E11754">
        <w:rPr>
          <w:rFonts w:ascii="Times New Roman" w:eastAsia="Times New Roman" w:hAnsi="Times New Roman" w:cs="Times New Roman"/>
          <w:sz w:val="24"/>
          <w:szCs w:val="24"/>
          <w:lang w:val="en-GB"/>
        </w:rPr>
        <w:t>, </w:t>
      </w:r>
      <w:r w:rsidRPr="00E11754">
        <w:rPr>
          <w:rFonts w:ascii="Times New Roman" w:eastAsia="Times New Roman" w:hAnsi="Times New Roman" w:cs="Times New Roman"/>
          <w:i/>
          <w:sz w:val="24"/>
          <w:szCs w:val="24"/>
          <w:lang w:val="en-GB"/>
        </w:rPr>
        <w:t>10</w:t>
      </w:r>
      <w:r w:rsidRPr="00E11754">
        <w:rPr>
          <w:rFonts w:ascii="Times New Roman" w:eastAsia="Times New Roman" w:hAnsi="Times New Roman" w:cs="Times New Roman"/>
          <w:sz w:val="24"/>
          <w:szCs w:val="24"/>
          <w:lang w:val="en-GB"/>
        </w:rPr>
        <w:t xml:space="preserve">, 6 </w:t>
      </w:r>
    </w:p>
    <w:p w14:paraId="607BF15B" w14:textId="321E360A" w:rsidR="004D1538" w:rsidRPr="00E11754" w:rsidRDefault="13A8E3F4" w:rsidP="004D1538">
      <w:pPr>
        <w:spacing w:before="120" w:after="120" w:line="360" w:lineRule="auto"/>
        <w:jc w:val="both"/>
        <w:rPr>
          <w:rFonts w:ascii="Times New Roman" w:eastAsia="Times New Roman" w:hAnsi="Times New Roman" w:cs="Times New Roman"/>
          <w:b/>
          <w:bCs/>
          <w:i/>
          <w:iCs/>
          <w:color w:val="222222"/>
          <w:sz w:val="24"/>
          <w:szCs w:val="24"/>
        </w:rPr>
      </w:pPr>
      <w:r w:rsidRPr="00E11754">
        <w:rPr>
          <w:rFonts w:ascii="Times New Roman" w:eastAsia="Times New Roman" w:hAnsi="Times New Roman" w:cs="Times New Roman"/>
          <w:b/>
          <w:bCs/>
          <w:i/>
          <w:iCs/>
          <w:color w:val="000000" w:themeColor="text1"/>
          <w:sz w:val="24"/>
          <w:szCs w:val="24"/>
        </w:rPr>
        <w:t>Wprowadzenie</w:t>
      </w:r>
      <w:r w:rsidRPr="00E11754">
        <w:rPr>
          <w:rFonts w:ascii="Times New Roman" w:eastAsia="Times New Roman" w:hAnsi="Times New Roman" w:cs="Times New Roman"/>
          <w:b/>
          <w:bCs/>
          <w:i/>
          <w:iCs/>
          <w:color w:val="222222"/>
          <w:sz w:val="24"/>
          <w:szCs w:val="24"/>
        </w:rPr>
        <w:t xml:space="preserve"> </w:t>
      </w:r>
    </w:p>
    <w:p w14:paraId="223066B7" w14:textId="06B4438B" w:rsidR="00746B4E" w:rsidRPr="00E11754" w:rsidRDefault="004D1538" w:rsidP="2506C974">
      <w:pPr>
        <w:spacing w:before="120" w:after="120" w:line="360" w:lineRule="auto"/>
        <w:jc w:val="both"/>
        <w:rPr>
          <w:rFonts w:ascii="Times New Roman" w:eastAsia="Times New Roman" w:hAnsi="Times New Roman" w:cs="Times New Roman"/>
          <w:color w:val="222222"/>
          <w:sz w:val="24"/>
          <w:szCs w:val="24"/>
        </w:rPr>
      </w:pPr>
      <w:r w:rsidRPr="00E11754">
        <w:rPr>
          <w:rFonts w:ascii="Times New Roman" w:eastAsia="Times New Roman" w:hAnsi="Times New Roman" w:cs="Times New Roman"/>
          <w:b/>
          <w:bCs/>
          <w:i/>
          <w:iCs/>
          <w:color w:val="222222"/>
          <w:sz w:val="24"/>
          <w:szCs w:val="24"/>
        </w:rPr>
        <w:tab/>
      </w:r>
      <w:r w:rsidR="13A8E3F4" w:rsidRPr="00E11754">
        <w:rPr>
          <w:rFonts w:ascii="Times New Roman" w:eastAsia="Times New Roman" w:hAnsi="Times New Roman" w:cs="Times New Roman"/>
          <w:color w:val="000000" w:themeColor="text1"/>
          <w:sz w:val="24"/>
          <w:szCs w:val="24"/>
        </w:rPr>
        <w:t>Jak już wspominano we wstępie</w:t>
      </w:r>
      <w:r w:rsidR="424734AD" w:rsidRPr="00E11754">
        <w:rPr>
          <w:rFonts w:ascii="Times New Roman" w:eastAsia="Times New Roman" w:hAnsi="Times New Roman" w:cs="Times New Roman"/>
          <w:color w:val="000000" w:themeColor="text1"/>
          <w:sz w:val="24"/>
          <w:szCs w:val="24"/>
        </w:rPr>
        <w:t>,</w:t>
      </w:r>
      <w:r w:rsidR="13A8E3F4" w:rsidRPr="00E11754">
        <w:rPr>
          <w:rFonts w:ascii="Times New Roman" w:eastAsia="Times New Roman" w:hAnsi="Times New Roman" w:cs="Times New Roman"/>
          <w:color w:val="000000" w:themeColor="text1"/>
          <w:sz w:val="24"/>
          <w:szCs w:val="24"/>
        </w:rPr>
        <w:t xml:space="preserve"> wprowadzanie nowych substancji leczniczych bądź tych już zarejestrowanych, ale zaprojektowanych w nowych postaciach do podania wiąże się </w:t>
      </w:r>
      <w:r w:rsidR="13A8E3F4" w:rsidRPr="00E11754">
        <w:rPr>
          <w:rFonts w:ascii="Times New Roman" w:eastAsia="Times New Roman" w:hAnsi="Times New Roman" w:cs="Times New Roman"/>
          <w:sz w:val="24"/>
          <w:szCs w:val="24"/>
        </w:rPr>
        <w:t xml:space="preserve">dużą </w:t>
      </w:r>
      <w:r w:rsidR="13A8E3F4" w:rsidRPr="00E11754">
        <w:rPr>
          <w:rFonts w:ascii="Times New Roman" w:eastAsia="Times New Roman" w:hAnsi="Times New Roman" w:cs="Times New Roman"/>
          <w:color w:val="222222"/>
          <w:sz w:val="24"/>
          <w:szCs w:val="24"/>
        </w:rPr>
        <w:t xml:space="preserve">ilością badań i testów </w:t>
      </w:r>
      <w:r w:rsidR="785B763D" w:rsidRPr="00E11754">
        <w:rPr>
          <w:rFonts w:ascii="Times New Roman" w:eastAsia="Times New Roman" w:hAnsi="Times New Roman" w:cs="Times New Roman"/>
          <w:color w:val="222222"/>
          <w:sz w:val="24"/>
          <w:szCs w:val="24"/>
        </w:rPr>
        <w:t xml:space="preserve">klinicznych </w:t>
      </w:r>
      <w:r w:rsidR="13A8E3F4" w:rsidRPr="00E11754">
        <w:rPr>
          <w:rFonts w:ascii="Times New Roman" w:eastAsia="Times New Roman" w:hAnsi="Times New Roman" w:cs="Times New Roman"/>
          <w:color w:val="222222"/>
          <w:sz w:val="24"/>
          <w:szCs w:val="24"/>
        </w:rPr>
        <w:t xml:space="preserve">potwierdzających ich skuteczność terapeutyczną. To </w:t>
      </w:r>
      <w:r w:rsidR="785B763D" w:rsidRPr="00E11754">
        <w:rPr>
          <w:rFonts w:ascii="Times New Roman" w:eastAsia="Times New Roman" w:hAnsi="Times New Roman" w:cs="Times New Roman"/>
          <w:color w:val="222222"/>
          <w:sz w:val="24"/>
          <w:szCs w:val="24"/>
        </w:rPr>
        <w:t>wymaga m.in. prowadzenia badań na zwierzętach laboratoryjnych, a zatem</w:t>
      </w:r>
      <w:r w:rsidR="13A8E3F4" w:rsidRPr="00E11754">
        <w:rPr>
          <w:rFonts w:ascii="Times New Roman" w:eastAsia="Times New Roman" w:hAnsi="Times New Roman" w:cs="Times New Roman"/>
          <w:color w:val="222222"/>
          <w:sz w:val="24"/>
          <w:szCs w:val="24"/>
        </w:rPr>
        <w:t xml:space="preserve"> </w:t>
      </w:r>
      <w:r w:rsidR="785B763D" w:rsidRPr="00E11754">
        <w:rPr>
          <w:rFonts w:ascii="Times New Roman" w:eastAsia="Times New Roman" w:hAnsi="Times New Roman" w:cs="Times New Roman"/>
          <w:color w:val="222222"/>
          <w:sz w:val="24"/>
          <w:szCs w:val="24"/>
        </w:rPr>
        <w:t>konieczne</w:t>
      </w:r>
      <w:r w:rsidR="13A8E3F4" w:rsidRPr="00E11754">
        <w:rPr>
          <w:rFonts w:ascii="Times New Roman" w:eastAsia="Times New Roman" w:hAnsi="Times New Roman" w:cs="Times New Roman"/>
          <w:color w:val="222222"/>
          <w:sz w:val="24"/>
          <w:szCs w:val="24"/>
        </w:rPr>
        <w:t xml:space="preserve"> jest zastosowanie odpowiednich metod analitycznych, które pozwolą oznaczyć badane leki w tkankach zwierzęcych. </w:t>
      </w:r>
      <w:r w:rsidR="785B763D" w:rsidRPr="00E11754">
        <w:rPr>
          <w:rFonts w:ascii="Times New Roman" w:eastAsia="Times New Roman" w:hAnsi="Times New Roman" w:cs="Times New Roman"/>
          <w:color w:val="222222"/>
          <w:sz w:val="24"/>
          <w:szCs w:val="24"/>
        </w:rPr>
        <w:t>Niestety,</w:t>
      </w:r>
      <w:r w:rsidR="13A8E3F4" w:rsidRPr="00E11754">
        <w:rPr>
          <w:rFonts w:ascii="Times New Roman" w:eastAsia="Times New Roman" w:hAnsi="Times New Roman" w:cs="Times New Roman"/>
          <w:color w:val="222222"/>
          <w:sz w:val="24"/>
          <w:szCs w:val="24"/>
        </w:rPr>
        <w:t xml:space="preserve"> ze względu na złożoną matrycę</w:t>
      </w:r>
      <w:r w:rsidR="785B763D" w:rsidRPr="00E11754">
        <w:rPr>
          <w:rFonts w:ascii="Times New Roman" w:eastAsia="Times New Roman" w:hAnsi="Times New Roman" w:cs="Times New Roman"/>
          <w:color w:val="222222"/>
          <w:sz w:val="24"/>
          <w:szCs w:val="24"/>
        </w:rPr>
        <w:t>,</w:t>
      </w:r>
      <w:r w:rsidR="13A8E3F4" w:rsidRPr="00E11754">
        <w:rPr>
          <w:rFonts w:ascii="Times New Roman" w:eastAsia="Times New Roman" w:hAnsi="Times New Roman" w:cs="Times New Roman"/>
          <w:color w:val="222222"/>
          <w:sz w:val="24"/>
          <w:szCs w:val="24"/>
        </w:rPr>
        <w:t xml:space="preserve"> jaką jest tkanka zwierzęca, izolacja wybranych </w:t>
      </w:r>
      <w:proofErr w:type="spellStart"/>
      <w:r w:rsidR="13A8E3F4" w:rsidRPr="00E11754">
        <w:rPr>
          <w:rFonts w:ascii="Times New Roman" w:eastAsia="Times New Roman" w:hAnsi="Times New Roman" w:cs="Times New Roman"/>
          <w:color w:val="222222"/>
          <w:sz w:val="24"/>
          <w:szCs w:val="24"/>
        </w:rPr>
        <w:t>analitów</w:t>
      </w:r>
      <w:proofErr w:type="spellEnd"/>
      <w:r w:rsidR="13A8E3F4" w:rsidRPr="00E11754">
        <w:rPr>
          <w:rFonts w:ascii="Times New Roman" w:eastAsia="Times New Roman" w:hAnsi="Times New Roman" w:cs="Times New Roman"/>
          <w:color w:val="222222"/>
          <w:sz w:val="24"/>
          <w:szCs w:val="24"/>
        </w:rPr>
        <w:t xml:space="preserve"> jest trudna. Z tego względu,</w:t>
      </w:r>
      <w:r w:rsidR="00A91B4F" w:rsidRPr="00E11754">
        <w:rPr>
          <w:rFonts w:ascii="Times New Roman" w:eastAsia="Times New Roman" w:hAnsi="Times New Roman" w:cs="Times New Roman"/>
          <w:color w:val="222222"/>
          <w:sz w:val="24"/>
          <w:szCs w:val="24"/>
        </w:rPr>
        <w:t xml:space="preserve"> </w:t>
      </w:r>
      <w:r w:rsidR="785B763D" w:rsidRPr="00E11754">
        <w:rPr>
          <w:rFonts w:ascii="Times New Roman" w:eastAsia="Times New Roman" w:hAnsi="Times New Roman" w:cs="Times New Roman"/>
          <w:color w:val="222222"/>
          <w:sz w:val="24"/>
          <w:szCs w:val="24"/>
        </w:rPr>
        <w:t>stale</w:t>
      </w:r>
      <w:r w:rsidR="13A8E3F4" w:rsidRPr="00E11754">
        <w:rPr>
          <w:rFonts w:ascii="Times New Roman" w:eastAsia="Times New Roman" w:hAnsi="Times New Roman" w:cs="Times New Roman"/>
          <w:color w:val="222222"/>
          <w:sz w:val="24"/>
          <w:szCs w:val="24"/>
        </w:rPr>
        <w:t xml:space="preserve"> poszuk</w:t>
      </w:r>
      <w:r w:rsidR="785B763D" w:rsidRPr="00E11754">
        <w:rPr>
          <w:rFonts w:ascii="Times New Roman" w:eastAsia="Times New Roman" w:hAnsi="Times New Roman" w:cs="Times New Roman"/>
          <w:color w:val="222222"/>
          <w:sz w:val="24"/>
          <w:szCs w:val="24"/>
        </w:rPr>
        <w:t>uje się</w:t>
      </w:r>
      <w:r w:rsidR="13A8E3F4" w:rsidRPr="00E11754">
        <w:rPr>
          <w:rFonts w:ascii="Times New Roman" w:eastAsia="Times New Roman" w:hAnsi="Times New Roman" w:cs="Times New Roman"/>
          <w:color w:val="222222"/>
          <w:sz w:val="24"/>
          <w:szCs w:val="24"/>
        </w:rPr>
        <w:t xml:space="preserve"> nowych</w:t>
      </w:r>
      <w:r w:rsidR="785B763D" w:rsidRPr="00E11754">
        <w:rPr>
          <w:rFonts w:ascii="Times New Roman" w:eastAsia="Times New Roman" w:hAnsi="Times New Roman" w:cs="Times New Roman"/>
          <w:color w:val="222222"/>
          <w:sz w:val="24"/>
          <w:szCs w:val="24"/>
        </w:rPr>
        <w:t>, efektywnych procedur</w:t>
      </w:r>
      <w:r w:rsidR="13A8E3F4" w:rsidRPr="00E11754">
        <w:rPr>
          <w:rFonts w:ascii="Times New Roman" w:eastAsia="Times New Roman" w:hAnsi="Times New Roman" w:cs="Times New Roman"/>
          <w:color w:val="222222"/>
          <w:sz w:val="24"/>
          <w:szCs w:val="24"/>
        </w:rPr>
        <w:t xml:space="preserve"> umożliwiających ekstrakcję substancji </w:t>
      </w:r>
      <w:r w:rsidR="785B763D" w:rsidRPr="00E11754">
        <w:rPr>
          <w:rFonts w:ascii="Times New Roman" w:eastAsia="Times New Roman" w:hAnsi="Times New Roman" w:cs="Times New Roman"/>
          <w:color w:val="222222"/>
          <w:sz w:val="24"/>
          <w:szCs w:val="24"/>
        </w:rPr>
        <w:t xml:space="preserve">czynnych, w tym </w:t>
      </w:r>
      <w:proofErr w:type="spellStart"/>
      <w:r w:rsidR="785B763D" w:rsidRPr="00E11754">
        <w:rPr>
          <w:rFonts w:ascii="Times New Roman" w:eastAsia="Times New Roman" w:hAnsi="Times New Roman" w:cs="Times New Roman"/>
          <w:color w:val="222222"/>
          <w:sz w:val="24"/>
          <w:szCs w:val="24"/>
        </w:rPr>
        <w:t>cytostatyków</w:t>
      </w:r>
      <w:proofErr w:type="spellEnd"/>
      <w:r w:rsidR="785B763D" w:rsidRPr="00E11754">
        <w:rPr>
          <w:rFonts w:ascii="Times New Roman" w:eastAsia="Times New Roman" w:hAnsi="Times New Roman" w:cs="Times New Roman"/>
          <w:color w:val="222222"/>
          <w:sz w:val="24"/>
          <w:szCs w:val="24"/>
        </w:rPr>
        <w:t xml:space="preserve">, </w:t>
      </w:r>
      <w:r w:rsidR="13A8E3F4" w:rsidRPr="00E11754">
        <w:rPr>
          <w:rFonts w:ascii="Times New Roman" w:eastAsia="Times New Roman" w:hAnsi="Times New Roman" w:cs="Times New Roman"/>
          <w:color w:val="222222"/>
          <w:sz w:val="24"/>
          <w:szCs w:val="24"/>
        </w:rPr>
        <w:t xml:space="preserve"> z tkanki zwierzęcej, które będą mogły być stosowane w badaniach farm</w:t>
      </w:r>
      <w:r w:rsidRPr="00E11754">
        <w:rPr>
          <w:rFonts w:ascii="Times New Roman" w:eastAsia="Times New Roman" w:hAnsi="Times New Roman" w:cs="Times New Roman"/>
          <w:color w:val="222222"/>
          <w:sz w:val="24"/>
          <w:szCs w:val="24"/>
        </w:rPr>
        <w:t>akoki</w:t>
      </w:r>
      <w:r w:rsidR="13A8E3F4" w:rsidRPr="00E11754">
        <w:rPr>
          <w:rFonts w:ascii="Times New Roman" w:eastAsia="Times New Roman" w:hAnsi="Times New Roman" w:cs="Times New Roman"/>
          <w:color w:val="222222"/>
          <w:sz w:val="24"/>
          <w:szCs w:val="24"/>
        </w:rPr>
        <w:t>netycznych oraz farm</w:t>
      </w:r>
      <w:r w:rsidRPr="00E11754">
        <w:rPr>
          <w:rFonts w:ascii="Times New Roman" w:eastAsia="Times New Roman" w:hAnsi="Times New Roman" w:cs="Times New Roman"/>
          <w:color w:val="222222"/>
          <w:sz w:val="24"/>
          <w:szCs w:val="24"/>
        </w:rPr>
        <w:t>ako</w:t>
      </w:r>
      <w:r w:rsidR="13A8E3F4" w:rsidRPr="00E11754">
        <w:rPr>
          <w:rFonts w:ascii="Times New Roman" w:eastAsia="Times New Roman" w:hAnsi="Times New Roman" w:cs="Times New Roman"/>
          <w:color w:val="222222"/>
          <w:sz w:val="24"/>
          <w:szCs w:val="24"/>
        </w:rPr>
        <w:t xml:space="preserve">dynamicznych. Przykładem jest  </w:t>
      </w:r>
      <w:proofErr w:type="spellStart"/>
      <w:r w:rsidR="13A8E3F4" w:rsidRPr="00E11754">
        <w:rPr>
          <w:rFonts w:ascii="Times New Roman" w:eastAsia="Times New Roman" w:hAnsi="Times New Roman" w:cs="Times New Roman"/>
          <w:color w:val="222222"/>
          <w:sz w:val="24"/>
          <w:szCs w:val="24"/>
        </w:rPr>
        <w:t>doksorubicyna</w:t>
      </w:r>
      <w:proofErr w:type="spellEnd"/>
      <w:r w:rsidR="13A8E3F4" w:rsidRPr="00E11754">
        <w:rPr>
          <w:rFonts w:ascii="Times New Roman" w:eastAsia="Times New Roman" w:hAnsi="Times New Roman" w:cs="Times New Roman"/>
          <w:color w:val="222222"/>
          <w:sz w:val="24"/>
          <w:szCs w:val="24"/>
        </w:rPr>
        <w:t xml:space="preserve">, dla której testuje się szereg nowych postaci leku, np. </w:t>
      </w:r>
      <w:proofErr w:type="spellStart"/>
      <w:r w:rsidR="13A8E3F4" w:rsidRPr="00E11754">
        <w:rPr>
          <w:rFonts w:ascii="Times New Roman" w:eastAsia="Times New Roman" w:hAnsi="Times New Roman" w:cs="Times New Roman"/>
          <w:color w:val="222222"/>
          <w:sz w:val="24"/>
          <w:szCs w:val="24"/>
        </w:rPr>
        <w:t>liposomalnej</w:t>
      </w:r>
      <w:proofErr w:type="spellEnd"/>
      <w:r w:rsidR="13A8E3F4" w:rsidRPr="00E11754">
        <w:rPr>
          <w:rFonts w:ascii="Times New Roman" w:eastAsia="Times New Roman" w:hAnsi="Times New Roman" w:cs="Times New Roman"/>
          <w:color w:val="222222"/>
          <w:sz w:val="24"/>
          <w:szCs w:val="24"/>
        </w:rPr>
        <w:t xml:space="preserve">, aby zwiększyć efektywność leczenia przy redukcji działań ubocznych. W nawiązaniu do tych potrzeb, tematem czwartej publikacji było rozszerzenie zastosowania wcześniej opracowanej metody oznaczania </w:t>
      </w:r>
      <w:proofErr w:type="spellStart"/>
      <w:r w:rsidR="13A8E3F4" w:rsidRPr="00E11754">
        <w:rPr>
          <w:rFonts w:ascii="Times New Roman" w:eastAsia="Times New Roman" w:hAnsi="Times New Roman" w:cs="Times New Roman"/>
          <w:color w:val="222222"/>
          <w:sz w:val="24"/>
          <w:szCs w:val="24"/>
        </w:rPr>
        <w:t>doksorubicyny</w:t>
      </w:r>
      <w:proofErr w:type="spellEnd"/>
      <w:r w:rsidR="13A8E3F4" w:rsidRPr="00E1175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w</w:t>
      </w:r>
      <w:r w:rsidR="13A8E3F4" w:rsidRPr="00E11754">
        <w:rPr>
          <w:rFonts w:ascii="Times New Roman" w:eastAsia="Times New Roman" w:hAnsi="Times New Roman" w:cs="Times New Roman"/>
          <w:color w:val="222222"/>
          <w:sz w:val="24"/>
          <w:szCs w:val="24"/>
        </w:rPr>
        <w:t xml:space="preserve"> płyn</w:t>
      </w:r>
      <w:r w:rsidR="424734AD" w:rsidRPr="00E11754">
        <w:rPr>
          <w:rFonts w:ascii="Times New Roman" w:eastAsia="Times New Roman" w:hAnsi="Times New Roman" w:cs="Times New Roman"/>
          <w:color w:val="222222"/>
          <w:sz w:val="24"/>
          <w:szCs w:val="24"/>
        </w:rPr>
        <w:t>ach</w:t>
      </w:r>
      <w:r w:rsidR="13A8E3F4" w:rsidRPr="00E11754">
        <w:rPr>
          <w:rFonts w:ascii="Times New Roman" w:eastAsia="Times New Roman" w:hAnsi="Times New Roman" w:cs="Times New Roman"/>
          <w:color w:val="222222"/>
          <w:sz w:val="24"/>
          <w:szCs w:val="24"/>
        </w:rPr>
        <w:t xml:space="preserve"> fizjologicznych (publikacja 1) </w:t>
      </w:r>
      <w:r w:rsidR="424734AD" w:rsidRPr="00E11754">
        <w:rPr>
          <w:rFonts w:ascii="Times New Roman" w:eastAsia="Times New Roman" w:hAnsi="Times New Roman" w:cs="Times New Roman"/>
          <w:color w:val="222222"/>
          <w:sz w:val="24"/>
          <w:szCs w:val="24"/>
        </w:rPr>
        <w:t>do monitorowania tego leku w</w:t>
      </w:r>
      <w:r w:rsidR="13A8E3F4" w:rsidRPr="00E11754">
        <w:rPr>
          <w:rFonts w:ascii="Times New Roman" w:eastAsia="Times New Roman" w:hAnsi="Times New Roman" w:cs="Times New Roman"/>
          <w:color w:val="222222"/>
          <w:sz w:val="24"/>
          <w:szCs w:val="24"/>
        </w:rPr>
        <w:t xml:space="preserve"> tkank</w:t>
      </w:r>
      <w:r w:rsidR="424734AD" w:rsidRPr="00E11754">
        <w:rPr>
          <w:rFonts w:ascii="Times New Roman" w:eastAsia="Times New Roman" w:hAnsi="Times New Roman" w:cs="Times New Roman"/>
          <w:color w:val="222222"/>
          <w:sz w:val="24"/>
          <w:szCs w:val="24"/>
        </w:rPr>
        <w:t>ach</w:t>
      </w:r>
      <w:r w:rsidR="13A8E3F4" w:rsidRPr="00E11754">
        <w:rPr>
          <w:rFonts w:ascii="Times New Roman" w:eastAsia="Times New Roman" w:hAnsi="Times New Roman" w:cs="Times New Roman"/>
          <w:color w:val="222222"/>
          <w:sz w:val="24"/>
          <w:szCs w:val="24"/>
        </w:rPr>
        <w:t xml:space="preserve"> zwierzęc</w:t>
      </w:r>
      <w:r w:rsidR="424734AD" w:rsidRPr="00E11754">
        <w:rPr>
          <w:rFonts w:ascii="Times New Roman" w:eastAsia="Times New Roman" w:hAnsi="Times New Roman" w:cs="Times New Roman"/>
          <w:color w:val="222222"/>
          <w:sz w:val="24"/>
          <w:szCs w:val="24"/>
        </w:rPr>
        <w:t>ych</w:t>
      </w:r>
      <w:r w:rsidR="13A8E3F4" w:rsidRPr="00E1175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 xml:space="preserve">Z danych literaturowych wynikało, że wśród technik ekstrakcji popularną techniką była </w:t>
      </w:r>
      <w:proofErr w:type="spellStart"/>
      <w:r w:rsidR="424734AD" w:rsidRPr="00E11754">
        <w:rPr>
          <w:rFonts w:ascii="Times New Roman" w:eastAsia="Times New Roman" w:hAnsi="Times New Roman" w:cs="Times New Roman"/>
          <w:color w:val="222222"/>
          <w:sz w:val="24"/>
          <w:szCs w:val="24"/>
        </w:rPr>
        <w:t>deproteinizacja</w:t>
      </w:r>
      <w:proofErr w:type="spellEnd"/>
      <w:r w:rsidR="424734AD" w:rsidRPr="00E11754">
        <w:rPr>
          <w:rFonts w:ascii="Times New Roman" w:eastAsia="Times New Roman" w:hAnsi="Times New Roman" w:cs="Times New Roman"/>
          <w:color w:val="222222"/>
          <w:sz w:val="24"/>
          <w:szCs w:val="24"/>
        </w:rPr>
        <w:t xml:space="preserve"> z użyciem </w:t>
      </w:r>
      <w:proofErr w:type="spellStart"/>
      <w:r w:rsidR="424734AD" w:rsidRPr="00E11754">
        <w:rPr>
          <w:rFonts w:ascii="Times New Roman" w:eastAsia="Times New Roman" w:hAnsi="Times New Roman" w:cs="Times New Roman"/>
          <w:color w:val="222222"/>
          <w:sz w:val="24"/>
          <w:szCs w:val="24"/>
        </w:rPr>
        <w:t>MeOH</w:t>
      </w:r>
      <w:proofErr w:type="spellEnd"/>
      <w:r w:rsidR="00556339">
        <w:rPr>
          <w:rFonts w:ascii="Times New Roman" w:eastAsia="Times New Roman" w:hAnsi="Times New Roman" w:cs="Times New Roman"/>
          <w:color w:val="222222"/>
          <w:sz w:val="24"/>
          <w:szCs w:val="24"/>
        </w:rPr>
        <w:t xml:space="preserve"> </w:t>
      </w:r>
      <w:r w:rsidR="00556339">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{"citationItems":[{"id":"ITEM-1","itemData":{"DOI":"10.12659/msmbr.904103","ISSN":"23254416","PMID":"28408733","abstract":"BACKGROUND Neoangiogenesis occurring in inflamed articular synovium in early rheumatoid arthritis (RA) is characterized by enhanced vascular permeability that allows nanoparticle agents, including liposomes, to deliver encapsulated drugs to arthritic joints and subsequently improve therapeutic efficacy and reduce adverse effects. However, the targeting distribution of liposomes in arthritic joints during RA has not been quantitatively demonstrated. We performed this study to evaluate the targeting distribution of PEGylated doxorubicin liposomes in the arthritic joints of collagen-induced arthritis (CIA) rats by high-performance liquid chromatography (HPLC). MATERIAL AND METHODS Two doxorubicin formulations were administered to CIA rats via tail intravenous injection at a single dose (50 mg/m²). CIA rats were sacrificed and the tissues of the inflamed ankle joints were collected. The content of doxorubicin in the arthritic joints was analyzed by a validated and reproducible HPLC method. A two-way ANOVA for 2×5 factorial design was used for statistical analysis. RESULTS The developed HPLC method was sensitive, precise, and reproducible. The method was successfully applied to quantify doxorubicin content in arthritic tissues. At each time point (6, 12, 24, 48, and 72 h), doxorubicin content in the arthritic joints of the doxorubicin liposome group (DOX-LIP group) was higher than in the free doxorubicin group (DOX group) (P&lt;0.05). In the DOX-LIP group, doxorubicin levels in the arthritic joints increased gradually and significantly in the interval of 6-72 h post-administration. CONCLUSIONS PEGylated doxorubicin liposomes were targeted to, accumulated, and retained in the arthritic joints of CIA rats. The present study indicates that liposome encapsulation increases the therapeutic efficacy of antirheumatic drugs, presenting a promising therapeutic strategy for RA.","author":[{"dropping-particle":"","family":"Niu","given":"Hongqing","non-dropping-particle":"","parse-names":false,"suffix":""},{"dropping-particle":"","family":"Xu","given":"Menghua","non-dropping-particle":"","parse-names":false,"suffix":""},{"dropping-particle":"","family":"Li","given":"Shuangtian","non-dropping-particle":"","parse-names":false,"suffix":""},{"dropping-particle":"","family":"Chen","given":"Junwei","non-dropping-particle":"","parse-names":false,"suffix":""},{"dropping-particle":"","family":"Luo","given":"Jing","non-dropping-particle":"","parse-names":false,"suffix":""},{"dropping-particle":"","family":"Zhao","given":"Xiangcong","non-dropping-particle":"","parse-names":false,"suffix":""},{"dropping-particle":"","family":"Gao","given":"Chong","non-dropping-particle":"","parse-names":false,"suffix":""},{"dropping-particle":"","family":"Li","given":"Xiaofeng","non-dropping-particle":"","parse-names":false,"suffix":""}],"container-title":"Medical science monitor basic research","id":"ITEM-1","issued":{"date-parts":[["2017"]]},"page":"150-158","title":"High-Performance Liquid Chromatography (HPLC) Quantification of Liposome-Delivered Doxorubicin in Arthritic Joints of Collagen-Induced Arthritis Rats","type":"article-journal","volume":"23"},"uris":["http://www.mendeley.com/documents/?uuid=38d76df3-bb1a-4356-9875-d56cd9a7ca35"]}],"mendeley":{"formattedCitation":"[93]","plainTextFormattedCitation":"[93]","previouslyFormattedCitation":"[93]"},"properties":{"noteIndex":0},"schema":"https://github.com/citation-style-language/schema/raw/master/csl-citation.json"}</w:instrText>
      </w:r>
      <w:r w:rsidR="00556339">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[93]</w:t>
      </w:r>
      <w:r w:rsidR="00556339">
        <w:rPr>
          <w:rFonts w:ascii="Times New Roman" w:eastAsia="Times New Roman" w:hAnsi="Times New Roman" w:cs="Times New Roman"/>
          <w:color w:val="222222"/>
          <w:sz w:val="24"/>
          <w:szCs w:val="24"/>
        </w:rPr>
        <w:fldChar w:fldCharType="end"/>
      </w:r>
      <w:r w:rsidR="424734AD" w:rsidRPr="00E11754">
        <w:rPr>
          <w:rFonts w:ascii="Times New Roman" w:eastAsia="Times New Roman" w:hAnsi="Times New Roman" w:cs="Times New Roman"/>
          <w:color w:val="222222"/>
          <w:sz w:val="24"/>
          <w:szCs w:val="24"/>
        </w:rPr>
        <w:t xml:space="preserve"> i ACN</w:t>
      </w:r>
      <w:r w:rsidR="00491C5A">
        <w:rPr>
          <w:rFonts w:ascii="Times New Roman" w:eastAsia="Times New Roman" w:hAnsi="Times New Roman" w:cs="Times New Roman"/>
          <w:color w:val="222222"/>
          <w:sz w:val="24"/>
          <w:szCs w:val="24"/>
        </w:rPr>
        <w:t xml:space="preserve"> </w:t>
      </w:r>
      <w:r w:rsidR="00491C5A">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{"citationItems":[{"id":"ITEM-1","itemData":{"DOI":"10.1002/jms.3221","ISSN":"10765174","PMID":"23832932","abstract":"The localized conversion of inactive doxorubicin prodrug chemotherapeutics to pharmacalogically active forms is difficult to quantify in mouse tumor models because it occurs only in small regions of tissue. The tumor tissue extraction protocol and LC-MS/MS analysis method described here were optimized to obtain a detection limit of 7.8 pg for the activated doxorubicin and 0.36 ng for the doxorubicin prodrug. This method can be useful for determining the biodistribution and activation efficiency for many different doxorubicin prodrugs. It can also be used for quantification of doxorubicin from tumor models that have poor vascularization resulting in low tissue accumulation. Copyright © 2013 John Wiley &amp; Sons, Ltd. Copyright © 2013 John Wiley &amp; Sons, Ltd.","author":[{"dropping-particle":"","family":"Ibsen","given":"Stuart","non-dropping-particle":"","parse-names":false,"suffix":""},{"dropping-particle":"","family":"Su","given":"Yongxuan","non-dropping-particle":"","parse-names":false,"suffix":""},{"dropping-particle":"","family":"Norton","given":"John","non-dropping-particle":"","parse-names":false,"suffix":""},{"dropping-particle":"","family":"Zahavy","given":"Eran","non-dropping-particle":"","parse-names":false,"suffix":""},{"dropping-particle":"","family":"Hayashi","given":"Tomoko","non-dropping-particle":"","parse-names":false,"suffix":""},{"dropping-particle":"","family":"Adams","given":"Stephen","non-dropping-particle":"","parse-names":false,"suffix":""},{"dropping-particle":"","family":"Wrasidlo","given":"Wolf","non-dropping-particle":"","parse-names":false,"suffix":""},{"dropping-particle":"","family":"Esener","given":"Sadik","non-dropping-particle":"","parse-names":false,"suffix":""}],"container-title":"Journal of Mass Spectrometry","id":"ITEM-1","issue":"7","issued":{"date-parts":[["2013"]]},"page":"768-773","title":"Extraction protocol and mass spectrometry method for quantification of doxorubicin released locally from prodrugs in tumor tissue","type":"article-journal","volume":"48"},"uris":["http://www.mendeley.com/documents/?uuid=7cbe0bb3-ee6d-4175-86bf-2b1d28875e73"]}],"mendeley":{"formattedCitation":"[94]","plainTextFormattedCitation":"[94]","previouslyFormattedCitation":"[94]"},"properties":{"noteIndex":0},"schema":"https://github.com/citation-style-language/schema/raw/master/csl-citation.json"}</w:instrText>
      </w:r>
      <w:r w:rsidR="00491C5A">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[94]</w:t>
      </w:r>
      <w:r w:rsidR="00491C5A">
        <w:rPr>
          <w:rFonts w:ascii="Times New Roman" w:eastAsia="Times New Roman" w:hAnsi="Times New Roman" w:cs="Times New Roman"/>
          <w:color w:val="222222"/>
          <w:sz w:val="24"/>
          <w:szCs w:val="24"/>
        </w:rPr>
        <w:fldChar w:fldCharType="end"/>
      </w:r>
      <w:r w:rsidR="424734AD" w:rsidRPr="00E11754">
        <w:rPr>
          <w:rFonts w:ascii="Times New Roman" w:eastAsia="Times New Roman" w:hAnsi="Times New Roman" w:cs="Times New Roman"/>
          <w:color w:val="222222"/>
          <w:sz w:val="24"/>
          <w:szCs w:val="24"/>
        </w:rPr>
        <w:t xml:space="preserve">, acetonu z siarczanem cynku </w:t>
      </w:r>
      <w:r w:rsidR="00491C5A">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{"citationItems":[{"id":"ITEM-1","itemData":{"DOI":"10.1016/j.jchromb.2009.02.018","ISSN":"15700232","PMID":"19246257","abstract":"A sensitive high performance liquid chromatography method (HPLC) has been developed for the quantification of doxorubicin in mouse plasma and tissues. Samples of serum or tissue homogenates, 20 μl, were analyzed following a single step protein precipitation using perchloric acid (35%, v/v). Doxorubicin was separated from the internal standard, daunorubicin, on a Zorbax 300SB C18 column at 35 °C. Mobile phase was comprised of acetonitrile and water (25:75) containing 0.1% triethylamine, and was adjusted to pH 3 with phosphoric acid. Peaks eluting from the column were detected with a fluorescence detector with excitation and emission wavelengths of 480 and 560 nm, respectively. Standard curves were linear in the range 5-1000 ng/ml, and correlation coefficients were typically greater than 0.999. Intra-assay recoveries ranged from 94.7 to 99.9%, and inter-assay recoveries were in the range of 95.2-101%. The associated coefficient of variation (CV) was less than 10% in all cases. The method was successfully applied to investigate doxorubicin plasma pharmacokinetics and tissue distribution in athymic Foxnu mice. © 2009.","author":[{"dropping-particle":"","family":"Urva","given":"Shweta R.","non-dropping-particle":"","parse-names":false,"suffix":""},{"dropping-particle":"","family":"Shin","given":"Beom Soo","non-dropping-particle":"","parse-names":false,"suffix":""},{"dropping-particle":"","family":"Yang","given":"Victor C.","non-dropping-particle":"","parse-names":false,"suffix":""},{"dropping-particle":"","family":"Balthasar","given":"Joseph P.","non-dropping-particle":"","parse-names":false,"suffix":""}],"container-title":"Journal of Chromatography B: Analytical Technologies in the Biomedical and Life Sciences","id":"ITEM-1","issue":"8-9","issued":{"date-parts":[["2009"]]},"page":"837-841","title":"Sensitive high performance liquid chromatographic assay for assessment of doxorubicin pharmacokinetics in mouse plasma and tissues","type":"article-journal","volume":"877"},"uris":["http://www.mendeley.com/documents/?uuid=1c825807-dddc-4b4b-b324-ecbff96e9d99"]},{"id":"ITEM-2","itemData":{"DOI":"10.1016/S0731-7085(03)00300-5","ISSN":"07317085","PMID":"14550866","abstract":"Doxorubicin is an antineoplasic agent active against sarcoma pulmonary metastasis, but its clinical use is hampered by its myelotoxicity and its cumulative cardiotoxicity, when administered systemically. This limitation may be circumvented using the isolated lung perfusion (ILP) approach, wherein a therapeutic agent is infused locoregionally after vascular isolation of the lung. The influence of the mode of infusion (anterograde (AG): through the pulmonary artery (PA); retrograde (RG): through the pulmonary vein (PV)) on doxorubicin pharmacokinetics and lung distribution was unknown. Therefore, a simple, rapid and sensitive high-performance liquid chromatography method has been developed to quantify doxorubicin in four different biological matrices (infusion effluent, serum, tissues with low or high levels of doxorubicin). The related compound daunorubicin was used as internal standard (I.S.). Following a single-step protein precipitation of 500 μl samples with 250 μl acetone and 50 μl zinc sulfate 70% aqueous solution, the obtained supernatant was evaporated to dryness at 60°C for exactly 45 min under a stream of nitrogen and the solid residue was solubilized in 200 μl of purified water. A 100 μl-volume was subjected to HPLC analysis onto a Nucleosil 100-5 μm C18 AB column equipped with a guard column (Nucleosil 100-5 μm C6H 5 (phenyl) end-capped) using a gradient elution of acetonitrile and 1-heptanesulfonic acid 0.2% pH 4: 15/85 at 0 min→50/50 at 20 min→100/ 0 at 22 min→15/85 at 24 min→15/85 at 26 min, delivered at 1 ml/min. The analytes were detected by fluorescence detection with excitation and emission wavelength set at 480 and 550 nm, respectively. The calibration curves were linear over the range of 2-1000 ng/ml for effluent and plasma matrices, and 0.1 μg/g-750 μg/g for tissues matrices. The method is precise with inter-day and intra-day relative standard deviation within 0.5 and 6.7% and accurate with inter-day and intra-day deviations between -5.4 and +7.7%. The in vitro stability in all matrices and in processed samples has been studied at -80°C for 1 month, and at 4°C for 48 h, respectively. During initial studies, heparin used as anticoagulant was found to profoundly influence the measurements of doxorubicin in effluents collected from animals under ILP. Moreover, the strong matrix effect observed with tissues samples indicate that it is mandatory to prepare doxorubicin calibration standard samples in biological matrices which would reflec…","author":[{"dropping-particle":"","family":"Kümmerle","given":"A.","non-dropping-particle":"","parse-names":false,"suffix":""},{"dropping-particle":"","family":"Krueger","given":"T.","non-dropping-particle":"","parse-names":false,"suffix":""},{"dropping-particle":"","family":"Dusmet","given":"M.","non-dropping-particle":"","parse-names":false,"suffix":""},{"dropping-particle":"","family":"Vallet","given":"C.","non-dropping-particle":"","parse-names":false,"suffix":""},{"dropping-particle":"","family":"Pan","given":"Y.","non-dropping-particle":"","parse-names":false,"suffix":""},{"dropping-particle":"","family":"Ris","given":"H. B.","non-dropping-particle":"","parse-names":false,"suffix":""},{"dropping-particle":"","family":"Decosterd","given":"Laurent A.","non-dropping-particle":"","parse-names":false,"suffix":""}],"container-title":"Journal of Pharmaceutical and Biomedical Analysis","id":"ITEM-2","issue":"3","issued":{"date-parts":[["2003"]]},"page":"475-494","title":"A validated assay for measuring doxorubicin in biological fluids and tissues in an isolated lung perfusion model: Matrix effect and heparin interference strongly influence doxorubicin measurements","type":"article-journal","volume":"33"},"uris":["http://www.mendeley.com/documents/?uuid=0aa12b56-04ca-4b3f-8830-9e98e6cde28d"]}],"mendeley":{"formattedCitation":"[95], [96]","plainTextFormattedCitation":"[95], [96]","previouslyFormattedCitation":"[95], [96]"},"properties":{"noteIndex":0},"schema":"https://github.com/citation-style-language/schema/raw/master/csl-citation.json"}</w:instrText>
      </w:r>
      <w:r w:rsidR="00491C5A">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[95], [96]</w:t>
      </w:r>
      <w:r w:rsidR="00491C5A">
        <w:rPr>
          <w:rFonts w:ascii="Times New Roman" w:eastAsia="Times New Roman" w:hAnsi="Times New Roman" w:cs="Times New Roman"/>
          <w:color w:val="222222"/>
          <w:sz w:val="24"/>
          <w:szCs w:val="24"/>
        </w:rPr>
        <w:fldChar w:fldCharType="end"/>
      </w:r>
      <w:r w:rsidR="00491C5A">
        <w:rPr>
          <w:rFonts w:ascii="Times New Roman" w:eastAsia="Times New Roman" w:hAnsi="Times New Roman" w:cs="Times New Roman"/>
          <w:color w:val="222222"/>
          <w:sz w:val="24"/>
          <w:szCs w:val="24"/>
        </w:rPr>
        <w:t>,</w:t>
      </w:r>
      <w:r w:rsidR="424734AD" w:rsidRPr="00E11754">
        <w:rPr>
          <w:rFonts w:ascii="Times New Roman" w:eastAsia="Times New Roman" w:hAnsi="Times New Roman" w:cs="Times New Roman"/>
          <w:color w:val="222222"/>
          <w:sz w:val="24"/>
          <w:szCs w:val="24"/>
        </w:rPr>
        <w:t xml:space="preserve"> 35 % kwasu nadchlorowego</w:t>
      </w:r>
      <w:r w:rsidR="00491C5A">
        <w:rPr>
          <w:rFonts w:ascii="Times New Roman" w:eastAsia="Times New Roman" w:hAnsi="Times New Roman" w:cs="Times New Roman"/>
          <w:color w:val="222222"/>
          <w:sz w:val="24"/>
          <w:szCs w:val="24"/>
        </w:rPr>
        <w:t xml:space="preserve"> </w:t>
      </w:r>
      <w:r w:rsidR="00491C5A">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{"citationItems":[{"id":"ITEM-1","itemData":{"DOI":"10.1016/j.jchromb.2004.04.030","ISSN":"15700232","PMID":"15261807","abstract":"The anthracycline Doxorubicin (DXR) is used widely for the treatment of human malignancies, and drug delivery technologies are under investigation to enhance antitumor selectivity and effectiveness. A liquid chromatography-tandem mass spectroscopy (LC-MS/MS) method was developed to identify and quantify DXR and key metabolites in small-volume biological samples. The assay was linear over the therapeutically relevant concentration range (0.125-10,000 nM); in brain tissue, the lower limit of quantification was 0.247 nM and the sensitivity was 1.4 pg. The ability to quantify DXR and detect metabolite formation may provide insight into the toxicity and bioavailability of drug incorporated into carriers such as liposomes. © 2004 Elsevier B.V. All rights reserved.","author":[{"dropping-particle":"","family":"Arnold","given":"Robert D.","non-dropping-particle":"","parse-names":false,"suffix":""},{"dropping-particle":"","family":"Slack","given":"Jeanine E.","non-dropping-particle":"","parse-names":false,"suffix":""},{"dropping-particle":"","family":"Straubinger","given":"Robert M.","non-dropping-particle":"","parse-names":false,"suffix":""}],"container-title":"Journal of Chromatography B: Analytical Technologies in the Biomedical and Life Sciences","id":"ITEM-1","issue":"2","issued":{"date-parts":[["2004"]]},"page":"141-152","title":"Quantification of Doxorubicin and metabolites in rat plasma and small volume tissue samples by liquid chromatography/electrospray tandem mass spectroscopy","type":"article-journal","volume":"808"},"uris":["http://www.mendeley.com/documents/?uuid=30f31af2-43fb-4e27-8845-8818382d480a"]}],"mendeley":{"formattedCitation":"[97]","plainTextFormattedCitation":"[97]","previouslyFormattedCitation":"[97]"},"properties":{"noteIndex":0},"schema":"https://github.com/citation-style-language/schema/raw/master/csl-citation.json"}</w:instrText>
      </w:r>
      <w:r w:rsidR="00491C5A">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[97]</w:t>
      </w:r>
      <w:r w:rsidR="00491C5A">
        <w:rPr>
          <w:rFonts w:ascii="Times New Roman" w:eastAsia="Times New Roman" w:hAnsi="Times New Roman" w:cs="Times New Roman"/>
          <w:color w:val="222222"/>
          <w:sz w:val="24"/>
          <w:szCs w:val="24"/>
        </w:rPr>
        <w:fldChar w:fldCharType="end"/>
      </w:r>
      <w:r w:rsidR="424734AD" w:rsidRPr="00E11754">
        <w:rPr>
          <w:rFonts w:ascii="Times New Roman" w:eastAsia="Times New Roman" w:hAnsi="Times New Roman" w:cs="Times New Roman"/>
          <w:color w:val="222222"/>
          <w:sz w:val="24"/>
          <w:szCs w:val="24"/>
        </w:rPr>
        <w:t xml:space="preserve"> oraz LLE z użyciem mieszaniny</w:t>
      </w:r>
      <w:r w:rsidR="2100169C" w:rsidRPr="00E11754">
        <w:rPr>
          <w:rFonts w:ascii="Times New Roman" w:eastAsia="Times New Roman" w:hAnsi="Times New Roman" w:cs="Times New Roman"/>
          <w:color w:val="222222"/>
          <w:sz w:val="24"/>
          <w:szCs w:val="24"/>
        </w:rPr>
        <w:t xml:space="preserve"> </w:t>
      </w:r>
      <w:proofErr w:type="spellStart"/>
      <w:r w:rsidR="2100169C" w:rsidRPr="00E11754">
        <w:rPr>
          <w:rFonts w:ascii="Times New Roman" w:eastAsia="Times New Roman" w:hAnsi="Times New Roman" w:cs="Times New Roman"/>
          <w:color w:val="222222"/>
          <w:sz w:val="24"/>
          <w:szCs w:val="24"/>
        </w:rPr>
        <w:t>Chl</w:t>
      </w:r>
      <w:proofErr w:type="spellEnd"/>
      <w:r w:rsidR="424734AD" w:rsidRPr="00E11754">
        <w:rPr>
          <w:rFonts w:ascii="Times New Roman" w:eastAsia="Times New Roman" w:hAnsi="Times New Roman" w:cs="Times New Roman"/>
          <w:color w:val="222222"/>
          <w:sz w:val="24"/>
          <w:szCs w:val="24"/>
        </w:rPr>
        <w:t xml:space="preserve"> z </w:t>
      </w:r>
      <w:proofErr w:type="spellStart"/>
      <w:r w:rsidR="424734AD" w:rsidRPr="00E11754">
        <w:rPr>
          <w:rFonts w:ascii="Times New Roman" w:eastAsia="Times New Roman" w:hAnsi="Times New Roman" w:cs="Times New Roman"/>
          <w:color w:val="222222"/>
          <w:sz w:val="24"/>
          <w:szCs w:val="24"/>
        </w:rPr>
        <w:t>MeOH</w:t>
      </w:r>
      <w:proofErr w:type="spellEnd"/>
      <w:r w:rsidR="424734AD" w:rsidRPr="00E11754">
        <w:rPr>
          <w:rFonts w:ascii="Times New Roman" w:eastAsia="Times New Roman" w:hAnsi="Times New Roman" w:cs="Times New Roman"/>
          <w:color w:val="222222"/>
          <w:sz w:val="24"/>
          <w:szCs w:val="24"/>
        </w:rPr>
        <w:t xml:space="preserve"> </w:t>
      </w:r>
      <w:r w:rsidR="00491C5A">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{"citationItems":[{"id":"ITEM-1","itemData":{"DOI":"10.1016/j.jchromb.2012.01.025","ISSN":"15700232","PMID":"22341684","abstract":"The long-term clinical use of doxorubicin (Dox), one of the most important anticancer agent in use, is limited by dose-related acute cardiotoxicity, myelo-suppression and multidrug resistance developed by cancer cells. To improve the antitumor efficacy and reduce the toxicity of Dox, many drug delivery systems have been developed, including poly(alkylcyanoacrylate) (PACA) nanoparticles. A new formulation of PACA nanoparticles with potential stealth properties were prepared by redox radical emulsion polymerization and associated to Dox in our laboratory. To comparatively investigate the pharmacokinetics and the biodistribution of different formulations of Dox associated PACA nanoparticles, a simple and rapid high performance liquid chromatographic method (HPLC) was developed for the quantification of Dox in plasma and tissues of rats treated with Dox loaded PACA nanoparticle (Dox-PACA). Dox was eluted at 4.4. min and it was well separated from its main metabolites doxorubicinol (Doxl) and doxorubicinon (Doxon) and idarubicin (Ida) used as internal standard (IS). Extraction of Dox from biological media was achieved by liquid-liquid extraction. The recovery of total Dox (i.e. free Dox and Dox associated with nanoparticles) from plasma and tissues (liver, spleen and heart) spiked with Dox-PACA were 71 and 78% for 0.05 and 1 μg/mL in rat plasma, respectively, and 73% and 80% for 0.5 and 10 μg/g in tissues, respectively. The method is linear from 0.05 to 1.5 μg/mL of Dox in plasma. The limit of detection of the method is 0.5. ng of Dox per injection (50 μL). The between-day and within-day precisions of the method were 97.1-102.9% and 97.3-101.7% for concentrations ranging from 0.05 to 1 μg/mL, respectively. Preliminary data suggested that this method can be applied to determine the pharmacokinetic and biodistribution of Dox associated with PACA nanoparticles after intravenous administration to rats. © 2012 Elsevier B.V.","author":[{"dropping-particle":"","family":"Alhareth","given":"Khairallah","non-dropping-particle":"","parse-names":false,"suffix":""},{"dropping-particle":"","family":"Vauthier","given":"Christine","non-dropping-particle":"","parse-names":false,"suffix":""},{"dropping-particle":"","family":"Gueutin","given":"Claire","non-dropping-particle":"","parse-names":false,"suffix":""},{"dropping-particle":"","family":"Ponchel","given":"Gilles","non-dropping-particle":"","parse-names":false,"suffix":""},{"dropping-particle":"","family":"Moussa","given":"Fathi","non-dropping-particle":"","parse-names":false,"suffix":""}],"container-title":"Journal of Chromatography B: Analytical Technologies in the Biomedical and Life Sciences","id":"ITEM-1","issued":{"date-parts":[["2012"]]},"page":"128-132","publisher":"Elsevier B.V.","title":"HPLC quantification of doxorubicin in plasma and tissues of rats treated with doxorubicin loaded poly(alkylcyanoacrylate) nanoparticles","type":"article-journal","volume":"887-888"},"uris":["http://www.mendeley.com/documents/?uuid=0da71790-6a89-4cad-b03b-97811b60c556"]},{"id":"ITEM-2","itemData":{"DOI":"10.3109/13880209.2015.1014918","ISSN":"17445116","PMID":"25880143","abstract":"Context: Doxorubicin (DOX)-loaded folate-targeted poly(3-hydroxybutyrate-co-3-hydroxyoctanoate) [P(HB-HO)] nanoparticles [DOX/FA-PEG-P(HB-HO) NPs] were prepared by the W1/O/W2 solvent extraction/evaporation method for applications in cancer treatment. However, the biodistribution, pharmacokinetics, and targeting of the nanoparticles (NPs) have not yet been studied. Objective: The biodistribution, pharmacokinetics, and targeting of DOX/FA-PEG-P(HB-HO) NPs were evaluated in female BALB/c nude mice bearing HeLa tumors. Materials and methods: Three DOX formulations were injected into the tail vein of the mice at a dosage of 5 mg/kg. At each time point, blood and various tissues were collected. All samples were then processed and analyzed by a validated high performance liquid chromatographic (HPLC) method. Results: The t1/2 values of DOX/P(HB-HO) NPs and DOX/FA-PEG-P(HB-HO) NPs were 2.7- and 3.5-times higher than that of free DOX. No significant difference (p &gt; 0.05) was found in Cmax between the NPs and free DOX. The Tmax values of the two NPs were prolonged from 0.25 to 1 h. The AUC0-t values were 1.55- and 3.05-folds higher than that of free DOX, and MRT increased to 15.99 h for DOX/P(HB-HO) NPs and 25.14 h for DOX/FA-PEG-P(HB-HO) NPs. For DOX/FA-PEG-P(HB-HO) NPs, the DOX content in the tumors were 10.81- and 3.33-times higher than those for free DOX and DOX/P(HB-HO) NPs at 48 h, respectively.Discussion and conclusions: DOX/FA-PEG-P(HB-HO) NPs displayed reduced cardiac toxicity and improved bioavailability. Moreover, the NPs exhibited a significant extent of DOX accumulation in the tumors, thus suggesting that folate-targeted NPs could effectively transport into HeLa tumors with satisfying targeting.","author":[{"dropping-particle":"","family":"Zhang","given":"Chan","non-dropping-particle":"","parse-names":false,"suffix":""},{"dropping-particle":"","family":"Wu","given":"Yifan","non-dropping-particle":"","parse-names":false,"suffix":""},{"dropping-particle":"","family":"Dong","given":"Yuefeng","non-dropping-particle":"","parse-names":false,"suffix":""},{"dropping-particle":"","family":"Xu","given":"Hongying","non-dropping-particle":"","parse-names":false,"suffix":""},{"dropping-particle":"","family":"Zhao","given":"Liangqi","non-dropping-particle":"","parse-names":false,"suffix":""}],"container-title":"Pharmaceutical Biology","id":"ITEM-2","issue":"1","issued":{"date-parts":[["2016"]]},"page":"55-61","title":"Quantification of DOX bioavailability in biological samples of mice by sensitive and precise HPLC assay","type":"article-journal","volume":"54"},"uris":["http://www.mendeley.com/documents/?uuid=5f6f2338-58d9-4845-9606-60b9ee49d359"]}],"mendeley":{"formattedCitation":"[98], [99]","plainTextFormattedCitation":"[98], [99]","previouslyFormattedCitation":"[98], [99]"},"properties":{"noteIndex":0},"schema":"https://github.com/citation-style-language/schema/raw/master/csl-citation.json"}</w:instrText>
      </w:r>
      <w:r w:rsidR="00491C5A">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[98], [99]</w:t>
      </w:r>
      <w:r w:rsidR="00491C5A">
        <w:rPr>
          <w:rFonts w:ascii="Times New Roman" w:eastAsia="Times New Roman" w:hAnsi="Times New Roman" w:cs="Times New Roman"/>
          <w:color w:val="222222"/>
          <w:sz w:val="24"/>
          <w:szCs w:val="24"/>
        </w:rPr>
        <w:fldChar w:fldCharType="end"/>
      </w:r>
      <w:r w:rsidR="2100169C" w:rsidRPr="00E11754">
        <w:rPr>
          <w:rFonts w:ascii="Times New Roman" w:eastAsia="Times New Roman" w:hAnsi="Times New Roman" w:cs="Times New Roman"/>
          <w:color w:val="222222"/>
          <w:sz w:val="24"/>
          <w:szCs w:val="24"/>
        </w:rPr>
        <w:t xml:space="preserve"> oraz </w:t>
      </w:r>
      <w:proofErr w:type="spellStart"/>
      <w:r w:rsidR="2100169C" w:rsidRPr="00E11754">
        <w:rPr>
          <w:rFonts w:ascii="Times New Roman" w:eastAsia="Times New Roman" w:hAnsi="Times New Roman" w:cs="Times New Roman"/>
          <w:color w:val="222222"/>
          <w:sz w:val="24"/>
          <w:szCs w:val="24"/>
        </w:rPr>
        <w:t>Chl</w:t>
      </w:r>
      <w:proofErr w:type="spellEnd"/>
      <w:r w:rsidR="424734AD" w:rsidRPr="00E11754">
        <w:rPr>
          <w:rFonts w:ascii="Times New Roman" w:eastAsia="Times New Roman" w:hAnsi="Times New Roman" w:cs="Times New Roman"/>
          <w:color w:val="222222"/>
          <w:sz w:val="24"/>
          <w:szCs w:val="24"/>
        </w:rPr>
        <w:t xml:space="preserve"> z </w:t>
      </w:r>
      <w:proofErr w:type="spellStart"/>
      <w:r w:rsidR="424734AD" w:rsidRPr="00E11754">
        <w:rPr>
          <w:rFonts w:ascii="Times New Roman" w:eastAsia="Times New Roman" w:hAnsi="Times New Roman" w:cs="Times New Roman"/>
          <w:color w:val="222222"/>
          <w:sz w:val="24"/>
          <w:szCs w:val="24"/>
        </w:rPr>
        <w:t>izopropanolem</w:t>
      </w:r>
      <w:proofErr w:type="spellEnd"/>
      <w:r w:rsidR="00320F74">
        <w:rPr>
          <w:rFonts w:ascii="Times New Roman" w:eastAsia="Times New Roman" w:hAnsi="Times New Roman" w:cs="Times New Roman"/>
          <w:color w:val="222222"/>
          <w:sz w:val="24"/>
          <w:szCs w:val="24"/>
        </w:rPr>
        <w:t xml:space="preserve"> </w:t>
      </w:r>
      <w:r w:rsidR="00320F7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{"citationItems":[{"id":"ITEM-1","itemData":{"DOI":"10.1002/bmc.3863","ISSN":"10990801","PMID":"27714830","abstract":"This study describes the development of simple, rapid and sensitive liquid chromatography tandem mass spectrometry method for the simultaneous analysis of doxorubicin and its major metabolite, doxorubicinol, in mouse plasma, urine and tissues. The calibration curves were linear over the range 5–250 ng/mL for doxorubicin and 1.25–25 ng/mL for doxorubicinol in plasma and tumor, over the range 25–500 ng/mL for doxorubicin and 1.25–25 ng/mL for doxorubicinol in liver and kidney, and over the range 25–1000 ng/mL for doxorubicin and doxorubicinol in urine. The study was validated, using quality control samples prepared in all different matrices, for accuracy, precision, linearity, selectivity, lower limit of quantification and recovery in accordance with the US Food &amp; Drug Administration guidelines. The method was successfully applied in determining the pharmaco-distribution of doxorubicin and doxorubicinol after intravenously administration in tumor-bearing mice of drug, free or nano-formulated in ferritin nanoparticles or in liposomes. Obtained results demonstrate an effective different distribution and doxorubicin protection against metabolism linked to nano-formulation. This method, thanks to its validation in plasma and urine, could be a powerful tool for pharmaceutical research and therapeutic drug monitoring, which is a clinical approach currently used in the optimization of oncologic treatments.","author":[{"dropping-particle":"","family":"Mazzucchelli","given":"Serena","non-dropping-particle":"","parse-names":false,"suffix":""},{"dropping-particle":"","family":"Ravelli","given":"Alessandro","non-dropping-particle":"","parse-names":false,"suffix":""},{"dropping-particle":"","family":"Gigli","given":"Fausto","non-dropping-particle":"","parse-names":false,"suffix":""},{"dropping-particle":"","family":"Minoli","given":"Mauro","non-dropping-particle":"","parse-names":false,"suffix":""},{"dropping-particle":"","family":"Corsi","given":"Fabio","non-dropping-particle":"","parse-names":false,"suffix":""},{"dropping-particle":"","family":"Ciuffreda","given":"Pierangela","non-dropping-particle":"","parse-names":false,"suffix":""},{"dropping-particle":"","family":"Ottria","given":"Roberta","non-dropping-particle":"","parse-names":false,"suffix":""}],"container-title":"Biomedical Chromatography","id":"ITEM-1","issue":"4","issued":{"date-parts":[["2017"]]},"page":"1-10","title":"LC–MS/MS method development for quantification of doxorubicin and its metabolite 13-hydroxy doxorubicin in mice biological matrices: Application to a pharmaco-delivery study","type":"article-journal","volume":"31"},"uris":["http://www.mendeley.com/documents/?uuid=e946a503-53b0-479a-92ec-940a1a276476"]}],"mendeley":{"formattedCitation":"[100]","plainTextFormattedCitation":"[100]","previouslyFormattedCitation":"[100]"},"properties":{"noteIndex":0},"schema":"https://github.com/citation-style-language/schema/raw/master/csl-citation.json"}</w:instrText>
      </w:r>
      <w:r w:rsidR="00320F7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[100]</w:t>
      </w:r>
      <w:r w:rsidR="00320F74">
        <w:rPr>
          <w:rFonts w:ascii="Times New Roman" w:eastAsia="Times New Roman" w:hAnsi="Times New Roman" w:cs="Times New Roman"/>
          <w:color w:val="222222"/>
          <w:sz w:val="24"/>
          <w:szCs w:val="24"/>
        </w:rPr>
        <w:fldChar w:fldCharType="end"/>
      </w:r>
      <w:r w:rsidR="00320F7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 xml:space="preserve">Pomimo pewnych zalet, takich jak łatwość wykonania tych procedury, posiadają one także wady tj. wysokie zużycie szkodliwych odczynników organicznych, wymóg dodatkowych procesów oczyszczania oraz zatężania próbki, a także niska </w:t>
      </w:r>
      <w:r w:rsidR="424734AD" w:rsidRPr="00E11754">
        <w:rPr>
          <w:rFonts w:ascii="Times New Roman" w:eastAsia="Times New Roman" w:hAnsi="Times New Roman" w:cs="Times New Roman"/>
          <w:color w:val="222222"/>
          <w:sz w:val="24"/>
          <w:szCs w:val="24"/>
        </w:rPr>
        <w:lastRenderedPageBreak/>
        <w:t xml:space="preserve">wydajność ekstrakcji </w:t>
      </w:r>
      <w:r w:rsidR="00320F7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{"citationItems":[{"id":"ITEM-1","itemData":{"DOI":"10.12659/msmbr.904103","ISSN":"23254416","PMID":"28408733","abstract":"BACKGROUND Neoangiogenesis occurring in inflamed articular synovium in early rheumatoid arthritis (RA) is characterized by enhanced vascular permeability that allows nanoparticle agents, including liposomes, to deliver encapsulated drugs to arthritic joints and subsequently improve therapeutic efficacy and reduce adverse effects. However, the targeting distribution of liposomes in arthritic joints during RA has not been quantitatively demonstrated. We performed this study to evaluate the targeting distribution of PEGylated doxorubicin liposomes in the arthritic joints of collagen-induced arthritis (CIA) rats by high-performance liquid chromatography (HPLC). MATERIAL AND METHODS Two doxorubicin formulations were administered to CIA rats via tail intravenous injection at a single dose (50 mg/m²). CIA rats were sacrificed and the tissues of the inflamed ankle joints were collected. The content of doxorubicin in the arthritic joints was analyzed by a validated and reproducible HPLC method. A two-way ANOVA for 2×5 factorial design was used for statistical analysis. RESULTS The developed HPLC method was sensitive, precise, and reproducible. The method was successfully applied to quantify doxorubicin content in arthritic tissues. At each time point (6, 12, 24, 48, and 72 h), doxorubicin content in the arthritic joints of the doxorubicin liposome group (DOX-LIP group) was higher than in the free doxorubicin group (DOX group) (P&lt;0.05). In the DOX-LIP group, doxorubicin levels in the arthritic joints increased gradually and significantly in the interval of 6-72 h post-administration. CONCLUSIONS PEGylated doxorubicin liposomes were targeted to, accumulated, and retained in the arthritic joints of CIA rats. The present study indicates that liposome encapsulation increases the therapeutic efficacy of antirheumatic drugs, presenting a promising therapeutic strategy for RA.","author":[{"dropping-particle":"","family":"Niu","given":"Hongqing","non-dropping-particle":"","parse-names":false,"suffix":""},{"dropping-particle":"","family":"Xu","given":"Menghua","non-dropping-particle":"","parse-names":false,"suffix":""},{"dropping-particle":"","family":"Li","given":"Shuangtian","non-dropping-particle":"","parse-names":false,"suffix":""},{"dropping-particle":"","family":"Chen","given":"Junwei","non-dropping-particle":"","parse-names":false,"suffix":""},{"dropping-particle":"","family":"Luo","given":"Jing","non-dropping-particle":"","parse-names":false,"suffix":""},{"dropping-particle":"","family":"Zhao","given":"Xiangcong","non-dropping-particle":"","parse-names":false,"suffix":""},{"dropping-particle":"","family":"Gao","given":"Chong","non-dropping-particle":"","parse-names":false,"suffix":""},{"dropping-particle":"","family":"Li","given":"Xiaofeng","non-dropping-particle":"","parse-names":false,"suffix":""}],"container-title":"Medical science monitor basic research","id":"ITEM-1","issued":{"date-parts":[["2017"]]},"page":"150-158","title":"High-Performance Liquid Chromatography (HPLC) Quantification of Liposome-Delivered Doxorubicin in Arthritic Joints of Collagen-Induced Arthritis Rats","type":"article-journal","volume":"23"},"uris":["http://www.mendeley.com/documents/?uuid=38d76df3-bb1a-4356-9875-d56cd9a7ca35"]},{"id":"ITEM-2","itemData":{"DOI":"10.1016/j.jchromb.2012.01.025","ISSN":"15700232","PMID":"22341684","abstract":"The long-term clinical use of doxorubicin (Dox), one of the most important anticancer agent in use, is limited by dose-related acute cardiotoxicity, myelo-suppression and multidrug resistance developed by cancer cells. To improve the antitumor efficacy and reduce the toxicity of Dox, many drug delivery systems have been developed, including poly(alkylcyanoacrylate) (PACA) nanoparticles. A new formulation of PACA nanoparticles with potential stealth properties were prepared by redox radical emulsion polymerization and associated to Dox in our laboratory. To comparatively investigate the pharmacokinetics and the biodistribution of different formulations of Dox associated PACA nanoparticles, a simple and rapid high performance liquid chromatographic method (HPLC) was developed for the quantification of Dox in plasma and tissues of rats treated with Dox loaded PACA nanoparticle (Dox-PACA). Dox was eluted at 4.4. min and it was well separated from its main metabolites doxorubicinol (Doxl) and doxorubicinon (Doxon) and idarubicin (Ida) used as internal standard (IS). Extraction of Dox from biological media was achieved by liquid-liquid extraction. The recovery of total Dox (i.e. free Dox and Dox associated with nanoparticles) from plasma and tissues (liver, spleen and heart) spiked with Dox-PACA were 71 and 78% for 0.05 and 1 μg/mL in rat plasma, respectively, and 73% and 80% for 0.5 and 10 μg/g in tissues, respectively. The method is linear from 0.05 to 1.5 μg/mL of Dox in plasma. The limit of detection of the method is 0.5. ng of Dox per injection (50 μL). The between-day and within-day precisions of the method were 97.1-102.9% and 97.3-101.7% for concentrations ranging from 0.05 to 1 μg/mL, respectively. Preliminary data suggested that this method can be applied to determine the pharmacokinetic and biodistribution of Dox associated with PACA nanoparticles after intravenous administration to rats. © 2012 Elsevier B.V.","author":[{"dropping-particle":"","family":"Alhareth","given":"Khairallah","non-dropping-particle":"","parse-names":false,"suffix":""},{"dropping-particle":"","family":"Vauthier","given":"Christine","non-dropping-particle":"","parse-names":false,"suffix":""},{"dropping-particle":"","family":"Gueutin","given":"Claire","non-dropping-particle":"","parse-names":false,"suffix":""},{"dropping-particle":"","family":"Ponchel","given":"Gilles","non-dropping-particle":"","parse-names":false,"suffix":""},{"dropping-particle":"","family":"Moussa","given":"Fathi","non-dropping-particle":"","parse-names":false,"suffix":""}],"container-title":"Journal of Chromatography B: Analytical Technologies in the Biomedical and Life Sciences","id":"ITEM-2","issued":{"date-parts":[["2012"]]},"page":"128-132","publisher":"Elsevier B.V.","title":"HPLC quantification of doxorubicin in plasma and tissues of rats treated with doxorubicin loaded poly(alkylcyanoacrylate) nanoparticles","type":"article-journal","volume":"887-888"},"uris":["http://www.mendeley.com/documents/?uuid=0da71790-6a89-4cad-b03b-97811b60c556"]},{"id":"ITEM-3","itemData":{"DOI":"10.1016/j.jchromb.2009.02.018","ISSN":"15700232","PMID":"19246257","abstract":"A sensitive high performance liquid chromatography method (HPLC) has been developed for the quantification of doxorubicin in mouse plasma and tissues. Samples of serum or tissue homogenates, 20 μl, were analyzed following a single step protein precipitation using perchloric acid (35%, v/v). Doxorubicin was separated from the internal standard, daunorubicin, on a Zorbax 300SB C18 column at 35 °C. Mobile phase was comprised of acetonitrile and water (25:75) containing 0.1% triethylamine, and was adjusted to pH 3 with phosphoric acid. Peaks eluting from the column were detected with a fluorescence detector with excitation and emission wavelengths of 480 and 560 nm, respectively. Standard curves were linear in the range 5-1000 ng/ml, and correlation coefficients were typically greater than 0.999. Intra-assay recoveries ranged from 94.7 to 99.9%, and inter-assay recoveries were in the range of 95.2-101%. The associated coefficient of variation (CV) was less than 10% in all cases. The method was successfully applied to investigate doxorubicin plasma pharmacokinetics and tissue distribution in athymic Foxnu mice. © 2009.","author":[{"dropping-particle":"","family":"Urva","given":"Shweta R.","non-dropping-particle":"","parse-names":false,"suffix":""},{"dropping-particle":"","family":"Shin","given":"Beom Soo","non-dropping-particle":"","parse-names":false,"suffix":""},{"dropping-particle":"","family":"Yang","given":"Victor C.","non-dropping-particle":"","parse-names":false,"suffix":""},{"dropping-particle":"","family":"Balthasar","given":"Joseph P.","non-dropping-particle":"","parse-names":false,"suffix":""}],"container-title":"Journal of Chromatography B: Analytical Technologies in the Biomedical and Life Sciences","id":"ITEM-3","issue":"8-9","issued":{"date-parts":[["2009"]]},"page":"837-841","title":"Sensitive high performance liquid chromatographic assay for assessment of doxorubicin pharmacokinetics in mouse plasma and tissues","type":"article-journal","volume":"877"},"uris":["http://www.mendeley.com/documents/?uuid=1c825807-dddc-4b4b-b324-ecbff96e9d99"]},{"id":"ITEM-4","itemData":{"DOI":"10.1002/jms.3221","ISSN":"10765174","PMID":"23832932","abstract":"The localized conversion of inactive doxorubicin prodrug chemotherapeutics to pharmacalogically active forms is difficult to quantify in mouse tumor models because it occurs only in small regions of tissue. The tumor tissue extraction protocol and LC-MS/MS analysis method described here were optimized to obtain a detection limit of 7.8 pg for the activated doxorubicin and 0.36 ng for the doxorubicin prodrug. This method can be useful for determining the biodistribution and activation efficiency for many different doxorubicin prodrugs. It can also be used for quantification of doxorubicin from tumor models that have poor vascularization resulting in low tissue accumulation. Copyright © 2013 John Wiley &amp; Sons, Ltd. Copyright © 2013 John Wiley &amp; Sons, Ltd.","author":[{"dropping-particle":"","family":"Ibsen","given":"Stuart","non-dropping-particle":"","parse-names":false,"suffix":""},{"dropping-particle":"","family":"Su","given":"Yongxuan","non-dropping-particle":"","parse-names":false,"suffix":""},{"dropping-particle":"","family":"Norton","given":"John","non-dropping-particle":"","parse-names":false,"suffix":""},{"dropping-particle":"","family":"Zahavy","given":"Eran","non-dropping-particle":"","parse-names":false,"suffix":""},{"dropping-particle":"","family":"Hayashi","given":"Tomoko","non-dropping-particle":"","parse-names":false,"suffix":""},{"dropping-particle":"","family":"Adams","given":"Stephen","non-dropping-particle":"","parse-names":false,"suffix":""},{"dropping-particle":"","family":"Wrasidlo","given":"Wolf","non-dropping-particle":"","parse-names":false,"suffix":""},{"dropping-particle":"","family":"Esener","given":"Sadik","non-dropping-particle":"","parse-names":false,"suffix":""}],"container-title":"Journal of Mass Spectrometry","id":"ITEM-4","issue":"7","issued":{"date-parts":[["2013"]]},"page":"768-773","title":"Extraction protocol and mass spectrometry method for quantification of doxorubicin released locally from prodrugs in tumor tissue","type":"article-journal","volume":"48"},"uris":["http://www.mendeley.com/documents/?uuid=7cbe0bb3-ee6d-4175-86bf-2b1d28875e73"]}],"mendeley":{"formattedCitation":"[93]–[95], [98]","plainTextFormattedCitation":"[93]–[95], [98]","previouslyFormattedCitation":"[93]–[95], [98]"},"properties":{"noteIndex":0},"schema":"https://github.com/citation-style-language/schema/raw/master/csl-citation.json"}</w:instrText>
      </w:r>
      <w:r w:rsidR="00320F7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[93]–[95], [98]</w:t>
      </w:r>
      <w:r w:rsidR="00320F74">
        <w:rPr>
          <w:rFonts w:ascii="Times New Roman" w:eastAsia="Times New Roman" w:hAnsi="Times New Roman" w:cs="Times New Roman"/>
          <w:color w:val="222222"/>
          <w:sz w:val="24"/>
          <w:szCs w:val="24"/>
        </w:rPr>
        <w:fldChar w:fldCharType="end"/>
      </w:r>
      <w:r w:rsidR="13267014" w:rsidRPr="00E1175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i długi czas przygotowania próbki</w:t>
      </w:r>
      <w:r w:rsidR="00320F74">
        <w:rPr>
          <w:rFonts w:ascii="Times New Roman" w:eastAsia="Times New Roman" w:hAnsi="Times New Roman" w:cs="Times New Roman"/>
          <w:color w:val="222222"/>
          <w:sz w:val="24"/>
          <w:szCs w:val="24"/>
        </w:rPr>
        <w:t xml:space="preserve"> </w:t>
      </w:r>
      <w:r w:rsidR="00320F7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{"citationItems":[{"id":"ITEM-1","itemData":{"DOI":"10.1016/j.jchromb.2009.02.018","ISSN":"15700232","PMID":"19246257","abstract":"A sensitive high performance liquid chromatography method (HPLC) has been developed for the quantification of doxorubicin in mouse plasma and tissues. Samples of serum or tissue homogenates, 20 μl, were analyzed following a single step protein precipitation using perchloric acid (35%, v/v). Doxorubicin was separated from the internal standard, daunorubicin, on a Zorbax 300SB C18 column at 35 °C. Mobile phase was comprised of acetonitrile and water (25:75) containing 0.1% triethylamine, and was adjusted to pH 3 with phosphoric acid. Peaks eluting from the column were detected with a fluorescence detector with excitation and emission wavelengths of 480 and 560 nm, respectively. Standard curves were linear in the range 5-1000 ng/ml, and correlation coefficients were typically greater than 0.999. Intra-assay recoveries ranged from 94.7 to 99.9%, and inter-assay recoveries were in the range of 95.2-101%. The associated coefficient of variation (CV) was less than 10% in all cases. The method was successfully applied to investigate doxorubicin plasma pharmacokinetics and tissue distribution in athymic Foxnu mice. © 2009.","author":[{"dropping-particle":"","family":"Urva","given":"Shweta R.","non-dropping-particle":"","parse-names":false,"suffix":""},{"dropping-particle":"","family":"Shin","given":"Beom Soo","non-dropping-particle":"","parse-names":false,"suffix":""},{"dropping-particle":"","family":"Yang","given":"Victor C.","non-dropping-particle":"","parse-names":false,"suffix":""},{"dropping-particle":"","family":"Balthasar","given":"Joseph P.","non-dropping-particle":"","parse-names":false,"suffix":""}],"container-title":"Journal of Chromatography B: Analytical Technologies in the Biomedical and Life Sciences","id":"ITEM-1","issue":"8-9","issued":{"date-parts":[["2009"]]},"page":"837-841","title":"Sensitive high performance liquid chromatographic assay for assessment of doxorubicin pharmacokinetics in mouse plasma and tissues","type":"article-journal","volume":"877"},"uris":["http://www.mendeley.com/documents/?uuid=1c825807-dddc-4b4b-b324-ecbff96e9d99"]},{"id":"ITEM-2","itemData":{"DOI":"10.1016/j.jchromb.2004.04.030","ISSN":"15700232","PMID":"15261807","abstract":"The anthracycline Doxorubicin (DXR) is used widely for the treatment of human malignancies, and drug delivery technologies are under investigation to enhance antitumor selectivity and effectiveness. A liquid chromatography-tandem mass spectroscopy (LC-MS/MS) method was developed to identify and quantify DXR and key metabolites in small-volume biological samples. The assay was linear over the therapeutically relevant concentration range (0.125-10,000 nM); in brain tissue, the lower limit of quantification was 0.247 nM and the sensitivity was 1.4 pg. The ability to quantify DXR and detect metabolite formation may provide insight into the toxicity and bioavailability of drug incorporated into carriers such as liposomes. © 2004 Elsevier B.V. All rights reserved.","author":[{"dropping-particle":"","family":"Arnold","given":"Robert D.","non-dropping-particle":"","parse-names":false,"suffix":""},{"dropping-particle":"","family":"Slack","given":"Jeanine E.","non-dropping-particle":"","parse-names":false,"suffix":""},{"dropping-particle":"","family":"Straubinger","given":"Robert M.","non-dropping-particle":"","parse-names":false,"suffix":""}],"container-title":"Journal of Chromatography B: Analytical Technologies in the Biomedical and Life Sciences","id":"ITEM-2","issue":"2","issued":{"date-parts":[["2004"]]},"page":"141-152","title":"Quantification of Doxorubicin and metabolites in rat plasma and small volume tissue samples by liquid chromatography/electrospray tandem mass spectroscopy","type":"article-journal","volume":"808"},"uris":["http://www.mendeley.com/documents/?uuid=30f31af2-43fb-4e27-8845-8818382d480a"]},{"id":"ITEM-3","itemData":{"DOI":"10.1016/j.jpba.2006.06.032","ISSN":"07317085","PMID":"16884884","abstract":"A validated HPLC method was developed for the quantification of doxorubicin in rabbit ocular tissues using solid phase extraction and ultraviolet detection. Chromatographic separation of doxorubicin in various ocular tissues was performed on a C18 column. The mobile phase was composed of 0.2 M KH2PO4 buffer solution, acetonitrile and triethylamine in volumetric ratio of 70/30/0.2, adjusted to pH 4.0 with orthophosphoric acid. The calibration curve was linear over the range of 0.03-10, 0.03-10, 0.05-10 and 0.05-10 μg/ml in vitreous body, iris, retina/choroids and sclera, respectively. The intra-day and inter-day precisions in all ocular tissues were smaller than 4.95% and 5.73%, and the accuracies were about 100%. The extraction recoveries of doxorubicin in all of the ocular tissues were between 83.47% and 96.33%. After intravitreal administration of doxorubicin-loaded poly-β-hydroxybutyrate microspheres, doxorubicin level in ocular tissues was much lower than that for administration of free doxorubicin, which was helpful to reduce the associated toxicity to surrounding tissues. Doxorubicin was detectable even after tens of days in the studied ocular tissues. © 2006 Elsevier B.V. All rights reserved.","author":[{"dropping-particle":"","family":"Hu","given":"Tao","non-dropping-particle":"","parse-names":false,"suffix":""},{"dropping-particle":"","family":"Le","given":"Qihua","non-dropping-particle":"","parse-names":false,"suffix":""},{"dropping-particle":"","family":"Wu","given":"Zhiyi","non-dropping-particle":"","parse-names":false,"suffix":""},{"dropping-particle":"","family":"Wu","given":"Wei","non-dropping-particle":"","parse-names":false,"suffix":""}],"container-title":"Journal of Pharmaceutical and Biomedical Analysis","id":"ITEM-3","issue":"1","issued":{"date-parts":[["2007"]]},"page":"263-269","title":"Determination of doxorubicin in rabbit ocular tissues and pharmacokinetics after intravitreal injection of a single dose of doxorubicin-loaded poly-β-hydroxybutyrate microspheres","type":"article-journal","volume":"43"},"uris":["http://www.mendeley.com/documents/?uuid=2dded347-b193-4fdf-8e33-c48d11657724"]},{"id":"ITEM-4","itemData":{"DOI":"10.1016/S0731-7085(03)00300-5","ISSN":"07317085","PMID":"14550866","abstract":"Doxorubicin is an antineoplasic agent active against sarcoma pulmonary metastasis, but its clinical use is hampered by its myelotoxicity and its cumulative cardiotoxicity, when administered systemically. This limitation may be circumvented using the isolated lung perfusion (ILP) approach, wherein a therapeutic agent is infused locoregionally after vascular isolation of the lung. The influence of the mode of infusion (anterograde (AG): through the pulmonary artery (PA); retrograde (RG): through the pulmonary vein (PV)) on doxorubicin pharmacokinetics and lung distribution was unknown. Therefore, a simple, rapid and sensitive high-performance liquid chromatography method has been developed to quantify doxorubicin in four different biological matrices (infusion effluent, serum, tissues with low or high levels of doxorubicin). The related compound daunorubicin was used as internal standard (I.S.). Following a single-step protein precipitation of 500 μl samples with 250 μl acetone and 50 μl zinc sulfate 70% aqueous solution, the obtained supernatant was evaporated to dryness at 60°C for exactly 45 min under a stream of nitrogen and the solid residue was solubilized in 200 μl of purified water. A 100 μl-volume was subjected to HPLC analysis onto a Nucleosil 100-5 μm C18 AB column equipped with a guard column (Nucleosil 100-5 μm C6H 5 (phenyl) end-capped) using a gradient elution of acetonitrile and 1-heptanesulfonic acid 0.2% pH 4: 15/85 at 0 min→50/50 at 20 min→100/ 0 at 22 min→15/85 at 24 min→15/85 at 26 min, delivered at 1 ml/min. The analytes were detected by fluorescence detection with excitation and emission wavelength set at 480 and 550 nm, respectively. The calibration curves were linear over the range of 2-1000 ng/ml for effluent and plasma matrices, and 0.1 μg/g-750 μg/g for tissues matrices. The method is precise with inter-day and intra-day relative standard deviation within 0.5 and 6.7% and accurate with inter-day and intra-day deviations between -5.4 and +7.7%. The in vitro stability in all matrices and in processed samples has been studied at -80°C for 1 month, and at 4°C for 48 h, respectively. During initial studies, heparin used as anticoagulant was found to profoundly influence the measurements of doxorubicin in effluents collected from animals under ILP. Moreover, the strong matrix effect observed with tissues samples indicate that it is mandatory to prepare doxorubicin calibration standard samples in biological matrices which would reflec…","author":[{"dropping-particle":"","family":"Kümmerle","given":"A.","non-dropping-particle":"","parse-names":false,"suffix":""},{"dropping-particle":"","family":"Krueger","given":"T.","non-dropping-particle":"","parse-names":false,"suffix":""},{"dropping-particle":"","family":"Dusmet","given":"M.","non-dropping-particle":"","parse-names":false,"suffix":""},{"dropping-particle":"","family":"Vallet","given":"C.","non-dropping-particle":"","parse-names":false,"suffix":""},{"dropping-particle":"","family":"Pan","given":"Y.","non-dropping-particle":"","parse-names":false,"suffix":""},{"dropping-particle":"","family":"Ris","given":"H. B.","non-dropping-particle":"","parse-names":false,"suffix":""},{"dropping-particle":"","family":"Decosterd","given":"Laurent A.","non-dropping-particle":"","parse-names":false,"suffix":""}],"container-title":"Journal of Pharmaceutical and Biomedical Analysis","id":"ITEM-4","issue":"3","issued":{"date-parts":[["2003"]]},"page":"475-494","title":"A validated assay for measuring doxorubicin in biological fluids and tissues in an isolated lung perfusion model: Matrix effect and heparin interference strongly influence doxorubicin measurements","type":"article-journal","volume":"33"},"uris":["http://www.mendeley.com/documents/?uuid=0aa12b56-04ca-4b3f-8830-9e98e6cde28d"]}],"mendeley":{"formattedCitation":"[59], [95]–[97]","plainTextFormattedCitation":"[59], [95]–[97]","previouslyFormattedCitation":"[59], [95]–[97]"},"properties":{"noteIndex":0},"schema":"https://github.com/citation-style-language/schema/raw/master/csl-citation.json"}</w:instrText>
      </w:r>
      <w:r w:rsidR="00320F7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[59], [95]–[97]</w:t>
      </w:r>
      <w:r w:rsidR="00320F74">
        <w:rPr>
          <w:rFonts w:ascii="Times New Roman" w:eastAsia="Times New Roman" w:hAnsi="Times New Roman" w:cs="Times New Roman"/>
          <w:color w:val="222222"/>
          <w:sz w:val="24"/>
          <w:szCs w:val="24"/>
        </w:rPr>
        <w:fldChar w:fldCharType="end"/>
      </w:r>
      <w:r w:rsidR="424734AD" w:rsidRPr="00E11754">
        <w:rPr>
          <w:rFonts w:ascii="Times New Roman" w:eastAsia="Times New Roman" w:hAnsi="Times New Roman" w:cs="Times New Roman"/>
          <w:color w:val="222222"/>
          <w:sz w:val="24"/>
          <w:szCs w:val="24"/>
        </w:rPr>
        <w:t xml:space="preserve">. Kolejną stosowaną procedurą było SPE z użyciem złoża C18 (100 mg) </w:t>
      </w:r>
      <w:r w:rsidR="00320F74">
        <w:rPr>
          <w:rFonts w:ascii="Times New Roman" w:eastAsia="Times New Roman" w:hAnsi="Times New Roman" w:cs="Times New Roman"/>
          <w:color w:val="222222"/>
          <w:sz w:val="24"/>
          <w:szCs w:val="24"/>
        </w:rPr>
        <w:fldChar w:fldCharType="begin" w:fldLock="1"/>
      </w:r>
      <w:r w:rsidR="003F3548">
        <w:rPr>
          <w:rFonts w:ascii="Times New Roman" w:eastAsia="Times New Roman" w:hAnsi="Times New Roman" w:cs="Times New Roman"/>
          <w:color w:val="222222"/>
          <w:sz w:val="24"/>
          <w:szCs w:val="24"/>
        </w:rPr>
        <w:instrText>ADDIN CSL_CITATION {"citationItems":[{"id":"ITEM-1","itemData":{"DOI":"10.1016/j.jpba.2006.06.032","ISSN":"07317085","PMID":"16884884","abstract":"A validated HPLC method was developed for the quantification of doxorubicin in rabbit ocular tissues using solid phase extraction and ultraviolet detection. Chromatographic separation of doxorubicin in various ocular tissues was performed on a C18 column. The mobile phase was composed of 0.2 M KH2PO4 buffer solution, acetonitrile and triethylamine in volumetric ratio of 70/30/0.2, adjusted to pH 4.0 with orthophosphoric acid. The calibration curve was linear over the range of 0.03-10, 0.03-10, 0.05-10 and 0.05-10 μg/ml in vitreous body, iris, retina/choroids and sclera, respectively. The intra-day and inter-day precisions in all ocular tissues were smaller than 4.95% and 5.73%, and the accuracies were about 100%. The extraction recoveries of doxorubicin in all of the ocular tissues were between 83.47% and 96.33%. After intravitreal administration of doxorubicin-loaded poly-β-hydroxybutyrate microspheres, doxorubicin level in ocular tissues was much lower than that for administration of free doxorubicin, which was helpful to reduce the associated toxicity to surrounding tissues. Doxorubicin was detectable even after tens of days in the studied ocular tissues. © 2006 Elsevier B.V. All rights reserved.","author":[{"dropping-particle":"","family":"Hu","given":"Tao","non-dropping-particle":"","parse-names":false,"suffix":""},{"dropping-particle":"","family":"Le","given":"Qihua","non-dropping-particle":"","parse-names":false,"suffix":""},{"dropping-particle":"","family":"Wu","given":"Zhiyi","non-dropping-particle":"","parse-names":false,"suffix":""},{"dropping-particle":"","family":"Wu","given":"Wei","non-dropping-particle":"","parse-names":false,"suffix":""}],"container-title":"Journal of Pharmaceutical and Biomedical Analysis","id":"ITEM-1","issue":"1","issued":{"date-parts":[["2007"]]},"page":"263-269","title":"Determination of doxorubicin in rabbit ocular tissues and pharmacokinetics after intravitreal injection of a single dose of doxorubicin-loaded poly-β-hydroxybutyrate microspheres","type":"article-journal","volume":"43"},"uris":["http://www.mendeley.com/documents/?uuid=2dded347-b193-4fdf-8e33-c48d11657724"]}],"mendeley":{"formattedCitation":"[59]","plainTextFormattedCitation":"[59]","previouslyFormattedCitation":"[59]"},"properties":{"noteIndex":0},"schema":"https://github.com/citation-style-language/schema/raw/master/csl-citation.json"}</w:instrText>
      </w:r>
      <w:r w:rsidR="00320F74">
        <w:rPr>
          <w:rFonts w:ascii="Times New Roman" w:eastAsia="Times New Roman" w:hAnsi="Times New Roman" w:cs="Times New Roman"/>
          <w:color w:val="222222"/>
          <w:sz w:val="24"/>
          <w:szCs w:val="24"/>
        </w:rPr>
        <w:fldChar w:fldCharType="separate"/>
      </w:r>
      <w:r w:rsidR="008D518D" w:rsidRPr="008D518D">
        <w:rPr>
          <w:rFonts w:ascii="Times New Roman" w:eastAsia="Times New Roman" w:hAnsi="Times New Roman" w:cs="Times New Roman"/>
          <w:noProof/>
          <w:color w:val="222222"/>
          <w:sz w:val="24"/>
          <w:szCs w:val="24"/>
        </w:rPr>
        <w:t>[59]</w:t>
      </w:r>
      <w:r w:rsidR="00320F74">
        <w:rPr>
          <w:rFonts w:ascii="Times New Roman" w:eastAsia="Times New Roman" w:hAnsi="Times New Roman" w:cs="Times New Roman"/>
          <w:color w:val="222222"/>
          <w:sz w:val="24"/>
          <w:szCs w:val="24"/>
        </w:rPr>
        <w:fldChar w:fldCharType="end"/>
      </w:r>
      <w:r w:rsidR="424734AD" w:rsidRPr="00E11754">
        <w:rPr>
          <w:rFonts w:ascii="Times New Roman" w:eastAsia="Times New Roman" w:hAnsi="Times New Roman" w:cs="Times New Roman"/>
          <w:color w:val="222222"/>
          <w:sz w:val="24"/>
          <w:szCs w:val="24"/>
        </w:rPr>
        <w:t xml:space="preserve"> bądź SPME, którą użyto do izolacji </w:t>
      </w:r>
      <w:proofErr w:type="spellStart"/>
      <w:r w:rsidR="424734AD" w:rsidRPr="00E11754">
        <w:rPr>
          <w:rFonts w:ascii="Times New Roman" w:eastAsia="Times New Roman" w:hAnsi="Times New Roman" w:cs="Times New Roman"/>
          <w:color w:val="222222"/>
          <w:sz w:val="24"/>
          <w:szCs w:val="24"/>
        </w:rPr>
        <w:t>doksorubicyny</w:t>
      </w:r>
      <w:proofErr w:type="spellEnd"/>
      <w:r w:rsidR="424734AD" w:rsidRPr="00E11754">
        <w:rPr>
          <w:rFonts w:ascii="Times New Roman" w:eastAsia="Times New Roman" w:hAnsi="Times New Roman" w:cs="Times New Roman"/>
          <w:color w:val="222222"/>
          <w:sz w:val="24"/>
          <w:szCs w:val="24"/>
        </w:rPr>
        <w:t xml:space="preserve"> z tkankach płuca świni </w:t>
      </w:r>
      <w:r w:rsidR="00320F7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{"citationItems":[{"id":"ITEM-1","itemData":{"DOI":"10.1016/j.talanta.2018.02.049","ISSN":"00399140","PMID":"29567180","abstract":"The fast and sensitive determination of concentrations of anticancer drugs in specific organs can improve the efficacy of chemotherapy and minimize its adverse effects. In this paper, ex vivo solid-phase microextraction (SPME) coupled to LC-MS/MS as a method for rapidly quantitating doxorubicin (DOX) in lung tissue was optimized. Furthermore, the theoretical and practical challenges related to the real-time monitoring of DOX levels in the lung tissue of a living organism (in vivo SPME) are presented. In addition, several parameters for ex vivo/in vivo SPME studies, such as extraction efficiency of autoclaved fibers, intact/homogenized tissue differences, critical tissue amount, and the absence of an internal standard are thoroughly examined. To both accurately quantify DOX in solid tissue and minimize the error related to the lack of an internal standard, a calibration method at equilibrium conditions was chosen. In optimized ex vivo SPME conditions, the targeted compound was extracted by directly introducing a 15 mm (45 µm thickness) mixed-mode fiber into 15 g of homogenized tissue for 20 min, followed by a desorption step in an optimal solvent mixture. The detection limit for DOX was 2.5 µg g−1 of tissue. The optimized ex vivo SPME method was successfully applied for the analysis of DOX in real pig lung biopsies, providing an averaged accuracy and precision of 103.2% and 12.3%, respectively. Additionally, a comparison between SPME and solid-liquid extraction revealed good agreement. The results presented herein demonstrate that the developed SPME method radically simplifies the sample preparation step and eliminates the need for tissue biopsies. These results suggest that SPME can accurately quantify DOX in different tissue compartments and can be potentially useful for monitoring and adjusting drug dosages during chemotherapy in order to achieve effective and safe concentrations of doxorubicin.","author":[{"dropping-particle":"","family":"Roszkowska","given":"Anna","non-dropping-particle":"","parse-names":false,"suffix":""},{"dropping-particle":"","family":"Tascon","given":"Marcos","non-dropping-particle":"","parse-names":false,"suffix":""},{"dropping-particle":"","family":"Bojko","given":"Barbara","non-dropping-particle":"","parse-names":false,"suffix":""},{"dropping-particle":"","family":"Goryński","given":"Krzysztof","non-dropping-particle":"","parse-names":false,"suffix":""},{"dropping-particle":"","family":"Santos","given":"Pedro Reck","non-dropping-particle":"dos","parse-names":false,"suffix":""},{"dropping-particle":"","family":"Cypel","given":"Marcelo","non-dropping-particle":"","parse-names":false,"suffix":""},{"dropping-particle":"","family":"Pawliszyn","given":"Janusz","non-dropping-particle":"","parse-names":false,"suffix":""}],"container-title":"Talanta","id":"ITEM-1","issue":"February","issued":{"date-parts":[["2018"]]},"page":"304-310","title":"Equilibrium ex vivo calibration of homogenized tissue for in vivo SPME quantitation of doxorubicin in lung tissue","type":"article-journal","volume":"183"},"uris":["http://www.mendeley.com/documents/?uuid=b7ecc56f-5330-4c9f-85d0-f66db0a363d2"]}],"mendeley":{"formattedCitation":"[101]","plainTextFormattedCitation":"[101]","previouslyFormattedCitation":"[101]"},"properties":{"noteIndex":0},"schema":"https://github.com/citation-style-language/schema/raw/master/csl-citation.json"}</w:instrText>
      </w:r>
      <w:r w:rsidR="00320F7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[101]</w:t>
      </w:r>
      <w:r w:rsidR="00320F74">
        <w:rPr>
          <w:rFonts w:ascii="Times New Roman" w:eastAsia="Times New Roman" w:hAnsi="Times New Roman" w:cs="Times New Roman"/>
          <w:color w:val="222222"/>
          <w:sz w:val="24"/>
          <w:szCs w:val="24"/>
        </w:rPr>
        <w:fldChar w:fldCharType="end"/>
      </w:r>
      <w:r w:rsidR="424734AD" w:rsidRPr="2506C974">
        <w:rPr>
          <w:rFonts w:ascii="Times New Roman" w:eastAsia="Times New Roman" w:hAnsi="Times New Roman" w:cs="Times New Roman"/>
          <w:color w:val="222222"/>
          <w:sz w:val="24"/>
          <w:szCs w:val="24"/>
        </w:rPr>
        <w:t>. Niestety,</w:t>
      </w:r>
      <w:r w:rsidR="424734AD" w:rsidRPr="00E11754">
        <w:rPr>
          <w:rFonts w:ascii="Times New Roman" w:eastAsia="Times New Roman" w:hAnsi="Times New Roman" w:cs="Times New Roman"/>
          <w:color w:val="222222"/>
          <w:sz w:val="24"/>
          <w:szCs w:val="24"/>
        </w:rPr>
        <w:t xml:space="preserve"> nie opublikowano, z jaką wydajnością ten proces przebiegał. Ponadto, separację chromatograficzną tego </w:t>
      </w:r>
      <w:proofErr w:type="spellStart"/>
      <w:r w:rsidR="424734AD" w:rsidRPr="00E11754">
        <w:rPr>
          <w:rFonts w:ascii="Times New Roman" w:eastAsia="Times New Roman" w:hAnsi="Times New Roman" w:cs="Times New Roman"/>
          <w:color w:val="222222"/>
          <w:sz w:val="24"/>
          <w:szCs w:val="24"/>
        </w:rPr>
        <w:t>cytostatyku</w:t>
      </w:r>
      <w:proofErr w:type="spellEnd"/>
      <w:r w:rsidR="424734AD" w:rsidRPr="2506C97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 xml:space="preserve">najczęściej prowadzono w odwróconym układzie faz z detekcją FL </w:t>
      </w:r>
      <w:r w:rsidR="002B59D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{"citationItems":[{"id":"ITEM-1","itemData":{"DOI":"10.12659/msmbr.904103","ISSN":"23254416","PMID":"28408733","abstract":"BACKGROUND Neoangiogenesis occurring in inflamed articular synovium in early rheumatoid arthritis (RA) is characterized by enhanced vascular permeability that allows nanoparticle agents, including liposomes, to deliver encapsulated drugs to arthritic joints and subsequently improve therapeutic efficacy and reduce adverse effects. However, the targeting distribution of liposomes in arthritic joints during RA has not been quantitatively demonstrated. We performed this study to evaluate the targeting distribution of PEGylated doxorubicin liposomes in the arthritic joints of collagen-induced arthritis (CIA) rats by high-performance liquid chromatography (HPLC). MATERIAL AND METHODS Two doxorubicin formulations were administered to CIA rats via tail intravenous injection at a single dose (50 mg/m²). CIA rats were sacrificed and the tissues of the inflamed ankle joints were collected. The content of doxorubicin in the arthritic joints was analyzed by a validated and reproducible HPLC method. A two-way ANOVA for 2×5 factorial design was used for statistical analysis. RESULTS The developed HPLC method was sensitive, precise, and reproducible. The method was successfully applied to quantify doxorubicin content in arthritic tissues. At each time point (6, 12, 24, 48, and 72 h), doxorubicin content in the arthritic joints of the doxorubicin liposome group (DOX-LIP group) was higher than in the free doxorubicin group (DOX group) (P&lt;0.05). In the DOX-LIP group, doxorubicin levels in the arthritic joints increased gradually and significantly in the interval of 6-72 h post-administration. CONCLUSIONS PEGylated doxorubicin liposomes were targeted to, accumulated, and retained in the arthritic joints of CIA rats. The present study indicates that liposome encapsulation increases the therapeutic efficacy of antirheumatic drugs, presenting a promising therapeutic strategy for RA.","author":[{"dropping-particle":"","family":"Niu","given":"Hongqing","non-dropping-particle":"","parse-names":false,"suffix":""},{"dropping-particle":"","family":"Xu","given":"Menghua","non-dropping-particle":"","parse-names":false,"suffix":""},{"dropping-particle":"","family":"Li","given":"Shuangtian","non-dropping-particle":"","parse-names":false,"suffix":""},{"dropping-particle":"","family":"Chen","given":"Junwei","non-dropping-particle":"","parse-names":false,"suffix":""},{"dropping-particle":"","family":"Luo","given":"Jing","non-dropping-particle":"","parse-names":false,"suffix":""},{"dropping-particle":"","family":"Zhao","given":"Xiangcong","non-dropping-particle":"","parse-names":false,"suffix":""},{"dropping-particle":"","family":"Gao","given":"Chong","non-dropping-particle":"","parse-names":false,"suffix":""},{"dropping-particle":"","family":"Li","given":"Xiaofeng","non-dropping-particle":"","parse-names":false,"suffix":""}],"container-title":"Medical science monitor basic research","id":"ITEM-1","issued":{"date-parts":[["2017"]]},"page":"150-158","title":"High-Performance Liquid Chromatography (HPLC) Quantification of Liposome-Delivered Doxorubicin in Arthritic Joints of Collagen-Induced Arthritis Rats","type":"article-journal","volume":"23"},"uris":["http://www.mendeley.com/documents/?uuid=38d76df3-bb1a-4356-9875-d56cd9a7ca35"]}],"mendeley":{"formattedCitation":"[93]","plainTextFormattedCitation":"[93]","previouslyFormattedCitation":"[93]"},"properties":{"noteIndex":0},"schema":"https://github.com/citation-style-language/schema/raw/master/csl-citation.json"}</w:instrText>
      </w:r>
      <w:r w:rsidR="002B59D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[93]</w:t>
      </w:r>
      <w:r w:rsidR="002B59D4">
        <w:rPr>
          <w:rFonts w:ascii="Times New Roman" w:eastAsia="Times New Roman" w:hAnsi="Times New Roman" w:cs="Times New Roman"/>
          <w:color w:val="222222"/>
          <w:sz w:val="24"/>
          <w:szCs w:val="24"/>
        </w:rPr>
        <w:fldChar w:fldCharType="end"/>
      </w:r>
      <w:r w:rsidR="002B59D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{"citationItems":[{"id":"ITEM-1","itemData":{"DOI":"10.1016/j.jchromb.2012.01.025","ISSN":"15700232","PMID":"22341684","abstract":"The long-term clinical use of doxorubicin (Dox), one of the most important anticancer agent in use, is limited by dose-related acute cardiotoxicity, myelo-suppression and multidrug resistance developed by cancer cells. To improve the antitumor efficacy and reduce the toxicity of Dox, many drug delivery systems have been developed, including poly(alkylcyanoacrylate) (PACA) nanoparticles. A new formulation of PACA nanoparticles with potential stealth properties were prepared by redox radical emulsion polymerization and associated to Dox in our laboratory. To comparatively investigate the pharmacokinetics and the biodistribution of different formulations of Dox associated PACA nanoparticles, a simple and rapid high performance liquid chromatographic method (HPLC) was developed for the quantification of Dox in plasma and tissues of rats treated with Dox loaded PACA nanoparticle (Dox-PACA). Dox was eluted at 4.4. min and it was well separated from its main metabolites doxorubicinol (Doxl) and doxorubicinon (Doxon) and idarubicin (Ida) used as internal standard (IS). Extraction of Dox from biological media was achieved by liquid-liquid extraction. The recovery of total Dox (i.e. free Dox and Dox associated with nanoparticles) from plasma and tissues (liver, spleen and heart) spiked with Dox-PACA were 71 and 78% for 0.05 and 1 μg/mL in rat plasma, respectively, and 73% and 80% for 0.5 and 10 μg/g in tissues, respectively. The method is linear from 0.05 to 1.5 μg/mL of Dox in plasma. The limit of detection of the method is 0.5. ng of Dox per injection (50 μL). The between-day and within-day precisions of the method were 97.1-102.9% and 97.3-101.7% for concentrations ranging from 0.05 to 1 μg/mL, respectively. Preliminary data suggested that this method can be applied to determine the pharmacokinetic and biodistribution of Dox associated with PACA nanoparticles after intravenous administration to rats. © 2012 Elsevier B.V.","author":[{"dropping-particle":"","family":"Alhareth","given":"Khairallah","non-dropping-particle":"","parse-names":false,"suffix":""},{"dropping-particle":"","family":"Vauthier","given":"Christine","non-dropping-particle":"","parse-names":false,"suffix":""},{"dropping-particle":"","family":"Gueutin","given":"Claire","non-dropping-particle":"","parse-names":false,"suffix":""},{"dropping-particle":"","family":"Ponchel","given":"Gilles","non-dropping-particle":"","parse-names":false,"suffix":""},{"dropping-particle":"","family":"Moussa","given":"Fathi","non-dropping-particle":"","parse-names":false,"suffix":""}],"container-title":"Journal of Chromatography B: Analytical Technologies in the Biomedical and Life Sciences","id":"ITEM-1","issued":{"date-parts":[["2012"]]},"page":"128-132","publisher":"Elsevier B.V.","title":"HPLC quantification of doxorubicin in plasma and tissues of rats treated with doxorubicin loaded poly(alkylcyanoacrylate) nanoparticles","type":"article-journal","volume":"887-888"},"uris":["http://www.mendeley.com/documents/?uuid=0da71790-6a89-4cad-b03b-97811b60c556"]},{"id":"ITEM-2","itemData":{"DOI":"10.1016/j.jchromb.2009.02.018","ISSN":"15700232","PMID":"19246257","abstract":"A sensitive high performance liquid chromatography method (HPLC) has been developed for the quantification of doxorubicin in mouse plasma and tissues. Samples of serum or tissue homogenates, 20 μl, were analyzed following a single step protein precipitation using perchloric acid (35%, v/v). Doxorubicin was separated from the internal standard, daunorubicin, on a Zorbax 300SB C18 column at 35 °C. Mobile phase was comprised of acetonitrile and water (25:75) containing 0.1% triethylamine, and was adjusted to pH 3 with phosphoric acid. Peaks eluting from the column were detected with a fluorescence detector with excitation and emission wavelengths of 480 and 560 nm, respectively. Standard curves were linear in the range 5-1000 ng/ml, and correlation coefficients were typically greater than 0.999. Intra-assay recoveries ranged from 94.7 to 99.9%, and inter-assay recoveries were in the range of 95.2-101%. The associated coefficient of variation (CV) was less than 10% in all cases. The method was successfully applied to investigate doxorubicin plasma pharmacokinetics and tissue distribution in athymic Foxnu mice. © 2009.","author":[{"dropping-particle":"","family":"Urva","given":"Shweta R.","non-dropping-particle":"","parse-names":false,"suffix":""},{"dropping-particle":"","family":"Shin","given":"Beom Soo","non-dropping-particle":"","parse-names":false,"suffix":""},{"dropping-particle":"","family":"Yang","given":"Victor C.","non-dropping-particle":"","parse-names":false,"suffix":""},{"dropping-particle":"","family":"Balthasar","given":"Joseph P.","non-dropping-particle":"","parse-names":false,"suffix":""}],"container-title":"Journal of Chromatography B: Analytical Technologies in the Biomedical and Life Sciences","id":"ITEM-2","issue":"8-9","issued":{"date-parts":[["2009"]]},"page":"837-841","title":"Sensitive high performance liquid chromatographic assay for assessment of doxorubicin pharmacokinetics in mouse plasma and tissues","type":"article-journal","volume":"877"},"uris":["http://www.mendeley.com/documents/?uuid=1c825807-dddc-4b4b-b324-ecbff96e9d99"]},{"id":"ITEM-3","itemData":{"DOI":"10.1016/j.jchromb.2004.04.030","ISSN":"15700232","PMID":"15261807","abstract":"The anthracycline Doxorubicin (DXR) is used widely for the treatment of human malignancies, and drug delivery technologies are under investigation to enhance antitumor selectivity and effectiveness. A liquid chromatography-tandem mass spectroscopy (LC-MS/MS) method was developed to identify and quantify DXR and key metabolites in small-volume biological samples. The assay was linear over the therapeutically relevant concentration range (0.125-10,000 nM); in brain tissue, the lower limit of quantification was 0.247 nM and the sensitivity was 1.4 pg. The ability to quantify DXR and detect metabolite formation may provide insight into the toxicity and bioavailability of drug incorporated into carriers such as liposomes. © 2004 Elsevier B.V. All rights reserved.","author":[{"dropping-particle":"","family":"Arnold","given":"Robert D.","non-dropping-particle":"","parse-names":false,"suffix":""},{"dropping-particle":"","family":"Slack","given":"Jeanine E.","non-dropping-particle":"","parse-names":false,"suffix":""},{"dropping-particle":"","family":"Straubinger","given":"Robert M.","non-dropping-particle":"","parse-names":false,"suffix":""}],"container-title":"Journal of Chromatography B: Analytical Technologies in the Biomedical and Life Sciences","id":"ITEM-3","issue":"2","issued":{"date-parts":[["2004"]]},"page":"141-152","title":"Quantification of Doxorubicin and metabolites in rat plasma and small volume tissue samples by liquid chromatography/electrospray tandem mass spectroscopy","type":"article-journal","volume":"808"},"uris":["http://www.mendeley.com/documents/?uuid=30f31af2-43fb-4e27-8845-8818382d480a"]},{"id":"ITEM-4","itemData":{"DOI":"10.3109/13880209.2015.1014918","ISSN":"17445116","PMID":"25880143","abstract":"Context: Doxorubicin (DOX)-loaded folate-targeted poly(3-hydroxybutyrate-co-3-hydroxyoctanoate) [P(HB-HO)] nanoparticles [DOX/FA-PEG-P(HB-HO) NPs] were prepared by the W1/O/W2 solvent extraction/evaporation method for applications in cancer treatment. However, the biodistribution, pharmacokinetics, and targeting of the nanoparticles (NPs) have not yet been studied. Objective: The biodistribution, pharmacokinetics, and targeting of DOX/FA-PEG-P(HB-HO) NPs were evaluated in female BALB/c nude mice bearing HeLa tumors. Materials and methods: Three DOX formulations were injected into the tail vein of the mice at a dosage of 5 mg/kg. At each time point, blood and various tissues were collected. All samples were then processed and analyzed by a validated high performance liquid chromatographic (HPLC) method. Results: The t1/2 values of DOX/P(HB-HO) NPs and DOX/FA-PEG-P(HB-HO) NPs were 2.7- and 3.5-times higher than that of free DOX. No significant difference (p &gt; 0.05) was found in Cmax between the NPs and free DOX. The Tmax values of the two NPs were prolonged from 0.25 to 1 h. The AUC0-t values were 1.55- and 3.05-folds higher than that of free DOX, and MRT increased to 15.99 h for DOX/P(HB-HO) NPs and 25.14 h for DOX/FA-PEG-P(HB-HO) NPs. For DOX/FA-PEG-P(HB-HO) NPs, the DOX content in the tumors were 10.81- and 3.33-times higher than those for free DOX and DOX/P(HB-HO) NPs at 48 h, respectively.Discussion and conclusions: DOX/FA-PEG-P(HB-HO) NPs displayed reduced cardiac toxicity and improved bioavailability. Moreover, the NPs exhibited a significant extent of DOX accumulation in the tumors, thus suggesting that folate-targeted NPs could effectively transport into HeLa tumors with satisfying targeting.","author":[{"dropping-particle":"","family":"Zhang","given":"Chan","non-dropping-particle":"","parse-names":false,"suffix":""},{"dropping-particle":"","family":"Wu","given":"Yifan","non-dropping-particle":"","parse-names":false,"suffix":""},{"dropping-particle":"","family":"Dong","given":"Yuefeng","non-dropping-particle":"","parse-names":false,"suffix":""},{"dropping-particle":"","family":"Xu","given":"Hongying","non-dropping-particle":"","parse-names":false,"suffix":""},{"dropping-particle":"","family":"Zhao","given":"Liangqi","non-dropping-particle":"","parse-names":false,"suffix":""}],"container-title":"Pharmaceutical Biology","id":"ITEM-4","issue":"1","issued":{"date-parts":[["2016"]]},"page":"55-61","title":"Quantification of DOX bioavailability in biological samples of mice by sensitive and precise HPLC assay","type":"article-journal","volume":"54"},"uris":["http://www.mendeley.com/documents/?uuid=5f6f2338-58d9-4845-9606-60b9ee49d359"]},{"id":"ITEM-5","itemData":{"DOI":"10.1016/S0731-7085(03)00300-5","ISSN":"07317085","PMID":"14550866","abstract":"Doxorubicin is an antineoplasic agent active against sarcoma pulmonary metastasis, but its clinical use is hampered by its myelotoxicity and its cumulative cardiotoxicity, when administered systemically. This limitation may be circumvented using the isolated lung perfusion (ILP) approach, wherein a therapeutic agent is infused locoregionally after vascular isolation of the lung. The influence of the mode of infusion (anterograde (AG): through the pulmonary artery (PA); retrograde (RG): through the pulmonary vein (PV)) on doxorubicin pharmacokinetics and lung distribution was unknown. Therefore, a simple, rapid and sensitive high-performance liquid chromatography method has been developed to quantify doxorubicin in four different biological matrices (infusion effluent, serum, tissues with low or high levels of doxorubicin). The related compound daunorubicin was used as internal standard (I.S.). Following a single-step protein precipitation of 500 μl samples with 250 μl acetone and 50 μl zinc sulfate 70% aqueous solution, the obtained supernatant was evaporated to dryness at 60°C for exactly 45 min under a stream of nitrogen and the solid residue was solubilized in 200 μl of purified water. A 100 μl-volume was subjected to HPLC analysis onto a Nucleosil 100-5 μm C18 AB column equipped with a guard column (Nucleosil 100-5 μm C6H 5 (phenyl) end-capped) using a gradient elution of acetonitrile and 1-heptanesulfonic acid 0.2% pH 4: 15/85 at 0 min→50/50 at 20 min→100/ 0 at 22 min→15/85 at 24 min→15/85 at 26 min, delivered at 1 ml/min. The analytes were detected by fluorescence detection with excitation and emission wavelength set at 480 and 550 nm, respectively. The calibration curves were linear over the range of 2-1000 ng/ml for effluent and plasma matrices, and 0.1 μg/g-750 μg/g for tissues matrices. The method is precise with inter-day and intra-day relative standard deviation within 0.5 and 6.7% and accurate with inter-day and intra-day deviations between -5.4 and +7.7%. The in vitro stability in all matrices and in processed samples has been studied at -80°C for 1 month, and at 4°C for 48 h, respectively. During initial studies, heparin used as anticoagulant was found to profoundly influence the measurements of doxorubicin in effluents collected from animals under ILP. Moreover, the strong matrix effect observed with tissues samples indicate that it is mandatory to prepare doxorubicin calibration standard samples in biological matrices which would reflec…","author":[{"dropping-particle":"","family":"Kümmerle","given":"A.","non-dropping-particle":"","parse-names":false,"suffix":""},{"dropping-particle":"","family":"Krueger","given":"T.","non-dropping-particle":"","parse-names":false,"suffix":""},{"dropping-particle":"","family":"Dusmet","given":"M.","non-dropping-particle":"","parse-names":false,"suffix":""},{"dropping-particle":"","family":"Vallet","given":"C.","non-dropping-particle":"","parse-names":false,"suffix":""},{"dropping-particle":"","family":"Pan","given":"Y.","non-dropping-particle":"","parse-names":false,"suffix":""},{"dropping-particle":"","family":"Ris","given":"H. B.","non-dropping-particle":"","parse-names":false,"suffix":""},{"dropping-particle":"","family":"Decosterd","given":"Laurent A.","non-dropping-particle":"","parse-names":false,"suffix":""}],"container-title":"Journal of Pharmaceutical and Biomedical Analysis","id":"ITEM-5","issue":"3","issued":{"date-parts":[["2003"]]},"page":"475-494","title":"A validated assay for measuring doxorubicin in biological fluids and tissues in an isolated lung perfusion model: Matrix effect and heparin interference strongly influence doxorubicin measurements","type":"article-journal","volume":"33"},"uris":["http://www.mendeley.com/documents/?uuid=0aa12b56-04ca-4b3f-8830-9e98e6cde28d"]}],"mendeley":{"formattedCitation":"[95]–[99]","plainTextFormattedCitation":"[95]–[99]","previouslyFormattedCitation":"[95]–[99]"},"properties":{"noteIndex":0},"schema":"https://github.com/citation-style-language/schema/raw/master/csl-citation.json"}</w:instrText>
      </w:r>
      <w:r w:rsidR="002B59D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[95]–[99]</w:t>
      </w:r>
      <w:r w:rsidR="002B59D4">
        <w:rPr>
          <w:rFonts w:ascii="Times New Roman" w:eastAsia="Times New Roman" w:hAnsi="Times New Roman" w:cs="Times New Roman"/>
          <w:color w:val="222222"/>
          <w:sz w:val="24"/>
          <w:szCs w:val="24"/>
        </w:rPr>
        <w:fldChar w:fldCharType="end"/>
      </w:r>
      <w:r w:rsidR="002B59D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bądź MS(MS)</w:t>
      </w:r>
      <w:r w:rsidR="002B59D4">
        <w:rPr>
          <w:rFonts w:ascii="Times New Roman" w:eastAsia="Times New Roman" w:hAnsi="Times New Roman" w:cs="Times New Roman"/>
          <w:color w:val="222222"/>
          <w:sz w:val="24"/>
          <w:szCs w:val="24"/>
        </w:rPr>
        <w:t xml:space="preserve"> </w:t>
      </w:r>
      <w:r w:rsidR="002B59D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{"citationItems":[{"id":"ITEM-1","itemData":{"DOI":"10.1007/s12272-009-1417-5","ISSN":"02536269","PMID":"19407979","abstract":"Doxorubicin is a cytotoxic anthracycline that has been used for the treatment of several malignancies. Several HPLC methods have been reported for the quantification of doxorubicin in biological samples. Tissue matrix effect and sample size requirements, however, have been remaining issues for simple and easy-to-adapt analytical methods in small animal experiments. The present study established a simple HPLC method for doxorubicin in plasma and tissues (tumor, heart, spleen, liver, gastrointestinal tract, brain, lung, and kidney) of nude mice. Our method required a small sample volume (100 μL plasma and 10 mg tissue), which made it possible to use each blank tissue for calibration curves. The limit of quantification was 25 ng/mL in plasma and 0.1 to 0.4 μg/mg in other tissues with recovery rates ranging from 52.4 to 95.2%. The linearity, accuracy and precision in all tissues, except gastrointestinal tract (GIT), were found to be acceptable in the range of 25-2000 ng/mL plasma and 0.1-4 ng/mg tissue. This method was used successfully to determine the drug concentration in plasma and tissues of human tumor xenograft-bearing nude mice given intratumoral doxorubicin in a polymeric drug delivery system designed for sustained release. In conclusion, the present method may be useful as a simple and easy-to-adapt, yet, sensitive analytical method of doxorubicin for plasma and tissue pharmacokinetic studies in small animals such as nude mice. © 2009 The Pharmaceutical Society of Korea.","author":[{"dropping-particle":"","family":"Al-Abd","given":"Ahmed M.","non-dropping-particle":"","parse-names":false,"suffix":""},{"dropping-particle":"","family":"Kim","given":"Nam Ho","non-dropping-particle":"","parse-names":false,"suffix":""},{"dropping-particle":"","family":"Song","given":"Soo Chang","non-dropping-particle":"","parse-names":false,"suffix":""},{"dropping-particle":"","family":"Lee","given":"Seung Jin","non-dropping-particle":"","parse-names":false,"suffix":""},{"dropping-particle":"","family":"Kuh","given":"Hyo Jeong","non-dropping-particle":"","parse-names":false,"suffix":""}],"container-title":"Archives of Pharmacal Research","id":"ITEM-1","issue":"4","issued":{"date-parts":[["2009"]]},"page":"605-611","title":"A simple HPLC method for doxorubicin in plasma and tissues of nude mice","type":"article-journal","volume":"32"},"uris":["http://www.mendeley.com/documents/?uuid=70a9db32-bc74-463f-9eee-e027153fd517"]},{"id":"ITEM-2","itemData":{"DOI":"10.1002/bmc.3863","ISSN":"10990801","PMID":"27714830","abstract":"This study describes the development of simple, rapid and sensitive liquid chromatography tandem mass spectrometry method for the simultaneous analysis of doxorubicin and its major metabolite, doxorubicinol, in mouse plasma, urine and tissues. The calibration curves were linear over the range 5–250 ng/mL for doxorubicin and 1.25–25 ng/mL for doxorubicinol in plasma and tumor, over the range 25–500 ng/mL for doxorubicin and 1.25–25 ng/mL for doxorubicinol in liver and kidney, and over the range 25–1000 ng/mL for doxorubicin and doxorubicinol in urine. The study was validated, using quality control samples prepared in all different matrices, for accuracy, precision, linearity, selectivity, lower limit of quantification and recovery in accordance with the US Food &amp; Drug Administration guidelines. The method was successfully applied in determining the pharmaco-distribution of doxorubicin and doxorubicinol after intravenously administration in tumor-bearing mice of drug, free or nano-formulated in ferritin nanoparticles or in liposomes. Obtained results demonstrate an effective different distribution and doxorubicin protection against metabolism linked to nano-formulation. This method, thanks to its validation in plasma and urine, could be a powerful tool for pharmaceutical research and therapeutic drug monitoring, which is a clinical approach currently used in the optimization of oncologic treatments.","author":[{"dropping-particle":"","family":"Mazzucchelli","given":"Serena","non-dropping-particle":"","parse-names":false,"suffix":""},{"dropping-particle":"","family":"Ravelli","given":"Alessandro","non-dropping-particle":"","parse-names":false,"suffix":""},{"dropping-particle":"","family":"Gigli","given":"Fausto","non-dropping-particle":"","parse-names":false,"suffix":""},{"dropping-particle":"","family":"Minoli","given":"Mauro","non-dropping-particle":"","parse-names":false,"suffix":""},{"dropping-particle":"","family":"Corsi","given":"Fabio","non-dropping-particle":"","parse-names":false,"suffix":""},{"dropping-particle":"","family":"Ciuffreda","given":"Pierangela","non-dropping-particle":"","parse-names":false,"suffix":""},{"dropping-particle":"","family":"Ottria","given":"Roberta","non-dropping-particle":"","parse-names":false,"suffix":""}],"container-title":"Biomedical Chromatography","id":"ITEM-2","issue":"4","issued":{"date-parts":[["2017"]]},"page":"1-10","title":"LC–MS/MS method development for quantification of doxorubicin and its metabolite 13-hydroxy doxorubicin in mice biological matrices: Application to a pharmaco-delivery study","type":"article-journal","volume":"31"},"uris":["http://www.mendeley.com/documents/?uuid=e946a503-53b0-479a-92ec-940a1a276476"]},{"id":"ITEM-3","itemData":{"DOI":"10.1002/jms.3221","ISSN":"10765174","PMID":"23832932","abstract":"The localized conversion of inactive doxorubicin prodrug chemotherapeutics to pharmacalogically active forms is difficult to quantify in mouse tumor models because it occurs only in small regions of tissue. The tumor tissue extraction protocol and LC-MS/MS analysis method described here were optimized to obtain a detection limit of 7.8 pg for the activated doxorubicin and 0.36 ng for the doxorubicin prodrug. This method can be useful for determining the biodistribution and activation efficiency for many different doxorubicin prodrugs. It can also be used for quantification of doxorubicin from tumor models that have poor vascularization resulting in low tissue accumulation. Copyright © 2013 John Wiley &amp; Sons, Ltd. Copyright © 2013 John Wiley &amp; Sons, Ltd.","author":[{"dropping-particle":"","family":"Ibsen","given":"Stuart","non-dropping-particle":"","parse-names":false,"suffix":""},{"dropping-particle":"","family":"Su","given":"Yongxuan","non-dropping-particle":"","parse-names":false,"suffix":""},{"dropping-particle":"","family":"Norton","given":"John","non-dropping-particle":"","parse-names":false,"suffix":""},{"dropping-particle":"","family":"Zahavy","given":"Eran","non-dropping-particle":"","parse-names":false,"suffix":""},{"dropping-particle":"","family":"Hayashi","given":"Tomoko","non-dropping-particle":"","parse-names":false,"suffix":""},{"dropping-particle":"","family":"Adams","given":"Stephen","non-dropping-particle":"","parse-names":false,"suffix":""},{"dropping-particle":"","family":"Wrasidlo","given":"Wolf","non-dropping-particle":"","parse-names":false,"suffix":""},{"dropping-particle":"","family":"Esener","given":"Sadik","non-dropping-particle":"","parse-names":false,"suffix":""}],"container-title":"Journal of Mass Spectrometry","id":"ITEM-3","issue":"7","issued":{"date-parts":[["2013"]]},"page":"768-773","title":"Extraction protocol and mass spectrometry method for quantification of doxorubicin released locally from prodrugs in tumor tissue","type":"article-journal","volume":"48"},"uris":["http://www.mendeley.com/documents/?uuid=7cbe0bb3-ee6d-4175-86bf-2b1d28875e73"]},{"id":"ITEM-4","itemData":{"DOI":"10.1016/j.talanta.2018.02.049","ISSN":"00399140","PMID":"29567180","abstract":"The fast and sensitive determination of concentrations of anticancer drugs in specific organs can improve the efficacy of chemotherapy and minimize its adverse effects. In this paper, ex vivo solid-phase microextraction (SPME) coupled to LC-MS/MS as a method for rapidly quantitating doxorubicin (DOX) in lung tissue was optimized. Furthermore, the theoretical and practical challenges related to the real-time monitoring of DOX levels in the lung tissue of a living organism (in vivo SPME) are presented. In addition, several parameters for ex vivo/in vivo SPME studies, such as extraction efficiency of autoclaved fibers, intact/homogenized tissue differences, critical tissue amount, and the absence of an internal standard are thoroughly examined. To both accurately quantify DOX in solid tissue and minimize the error related to the lack of an internal standard, a calibration method at equilibrium conditions was chosen. In optimized ex vivo SPME conditions, the targeted compound was extracted by directly introducing a 15 mm (45 µm thickness) mixed-mode fiber into 15 g of homogenized tissue for 20 min, followed by a desorption step in an optimal solvent mixture. The detection limit for DOX was 2.5 µg g−1 of tissue. The optimized ex vivo SPME method was successfully applied for the analysis of DOX in real pig lung biopsies, providing an averaged accuracy and precision of 103.2% and 12.3%, respectively. Additionally, a comparison between SPME and solid-liquid extraction revealed good agreement. The results presented herein demonstrate that the developed SPME method radically simplifies the sample preparation step and eliminates the need for tissue biopsies. These results suggest that SPME can accurately quantify DOX in different tissue compartments and can be potentially useful for monitoring and adjusting drug dosages during chemotherapy in order to achieve effective and safe concentrations of doxorubicin.","author":[{"dropping-particle":"","family":"Roszkowska","given":"Anna","non-dropping-particle":"","parse-names":false,"suffix":""},{"dropping-particle":"","family":"Tascon","given":"Marcos","non-dropping-particle":"","parse-names":false,"suffix":""},{"dropping-particle":"","family":"Bojko","given":"Barbara","non-dropping-particle":"","parse-names":false,"suffix":""},{"dropping-particle":"","family":"Goryński","given":"Krzysztof","non-dropping-particle":"","parse-names":false,"suffix":""},{"dropping-particle":"","family":"Santos","given":"Pedro Reck","non-dropping-particle":"dos","parse-names":false,"suffix":""},{"dropping-particle":"","family":"Cypel","given":"Marcelo","non-dropping-particle":"","parse-names":false,"suffix":""},{"dropping-particle":"","family":"Pawliszyn","given":"Janusz","non-dropping-particle":"","parse-names":false,"suffix":""}],"container-title":"Talanta","id":"ITEM-4","issue":"February","issued":{"date-parts":[["2018"]]},"page":"304-310","title":"Equilibrium ex vivo calibration of homogenized tissue for in vivo SPME quantitation of doxorubicin in lung tissue","type":"article-journal","volume":"183"},"uris":["http://www.mendeley.com/documents/?uuid=b7ecc56f-5330-4c9f-85d0-f66db0a363d2"]}],"mendeley":{"formattedCitation":"[94], [100]–[102]","plainTextFormattedCitation":"[94], [100]–[102]","previouslyFormattedCitation":"[94], [100]–[102]"},"properties":{"noteIndex":0},"schema":"https://github.com/citation-style-language/schema/raw/master/csl-citation.json"}</w:instrText>
      </w:r>
      <w:r w:rsidR="002B59D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[94], [100]–[102]</w:t>
      </w:r>
      <w:r w:rsidR="002B59D4">
        <w:rPr>
          <w:rFonts w:ascii="Times New Roman" w:eastAsia="Times New Roman" w:hAnsi="Times New Roman" w:cs="Times New Roman"/>
          <w:color w:val="222222"/>
          <w:sz w:val="24"/>
          <w:szCs w:val="24"/>
        </w:rPr>
        <w:fldChar w:fldCharType="end"/>
      </w:r>
      <w:r w:rsidR="002B59D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Jednakże, d</w:t>
      </w:r>
      <w:r w:rsidR="77F797D3" w:rsidRPr="00E11754">
        <w:rPr>
          <w:rFonts w:ascii="Times New Roman" w:eastAsia="Times New Roman" w:hAnsi="Times New Roman" w:cs="Times New Roman"/>
          <w:color w:val="222222"/>
          <w:sz w:val="24"/>
          <w:szCs w:val="24"/>
        </w:rPr>
        <w:t xml:space="preserve">otychczas opracowane metody LC dotyczące oznaczania </w:t>
      </w:r>
      <w:proofErr w:type="spellStart"/>
      <w:r w:rsidR="77F797D3" w:rsidRPr="00E11754">
        <w:rPr>
          <w:rFonts w:ascii="Times New Roman" w:eastAsia="Times New Roman" w:hAnsi="Times New Roman" w:cs="Times New Roman"/>
          <w:color w:val="222222"/>
          <w:sz w:val="24"/>
          <w:szCs w:val="24"/>
        </w:rPr>
        <w:t>doksorubicyny</w:t>
      </w:r>
      <w:proofErr w:type="spellEnd"/>
      <w:r w:rsidR="77F797D3" w:rsidRPr="00E11754">
        <w:rPr>
          <w:rFonts w:ascii="Times New Roman" w:eastAsia="Times New Roman" w:hAnsi="Times New Roman" w:cs="Times New Roman"/>
          <w:color w:val="222222"/>
          <w:sz w:val="24"/>
          <w:szCs w:val="24"/>
        </w:rPr>
        <w:t xml:space="preserve"> w tkankach charakteryzowały się wysokimi wartościami LOD (&gt; 0,01 µg/g) </w:t>
      </w:r>
      <w:r w:rsidR="002B59D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{"citationItems":[{"id":"ITEM-1","itemData":{"DOI":"10.1016/j.jchromb.2009.02.018","ISSN":"15700232","PMID":"19246257","abstract":"A sensitive high performance liquid chromatography method (HPLC) has been developed for the quantification of doxorubicin in mouse plasma and tissues. Samples of serum or tissue homogenates, 20 μl, were analyzed following a single step protein precipitation using perchloric acid (35%, v/v). Doxorubicin was separated from the internal standard, daunorubicin, on a Zorbax 300SB C18 column at 35 °C. Mobile phase was comprised of acetonitrile and water (25:75) containing 0.1% triethylamine, and was adjusted to pH 3 with phosphoric acid. Peaks eluting from the column were detected with a fluorescence detector with excitation and emission wavelengths of 480 and 560 nm, respectively. Standard curves were linear in the range 5-1000 ng/ml, and correlation coefficients were typically greater than 0.999. Intra-assay recoveries ranged from 94.7 to 99.9%, and inter-assay recoveries were in the range of 95.2-101%. The associated coefficient of variation (CV) was less than 10% in all cases. The method was successfully applied to investigate doxorubicin plasma pharmacokinetics and tissue distribution in athymic Foxnu mice. © 2009.","author":[{"dropping-particle":"","family":"Urva","given":"Shweta R.","non-dropping-particle":"","parse-names":false,"suffix":""},{"dropping-particle":"","family":"Shin","given":"Beom Soo","non-dropping-particle":"","parse-names":false,"suffix":""},{"dropping-particle":"","family":"Yang","given":"Victor C.","non-dropping-particle":"","parse-names":false,"suffix":""},{"dropping-particle":"","family":"Balthasar","given":"Joseph P.","non-dropping-particle":"","parse-names":false,"suffix":""}],"container-title":"Journal of Chromatography B: Analytical Technologies in the Biomedical and Life Sciences","id":"ITEM-1","issue":"8-9","issued":{"date-parts":[["2009"]]},"page":"837-841","title":"Sensitive high performance liquid chromatographic assay for assessment of doxorubicin pharmacokinetics in mouse plasma and tissues","type":"article-journal","volume":"877"},"uris":["http://www.mendeley.com/documents/?uuid=1c825807-dddc-4b4b-b324-ecbff96e9d99"]},{"id":"ITEM-2","itemData":{"DOI":"10.3109/13880209.2015.1014918","ISSN":"17445116","PMID":"25880143","abstract":"Context: Doxorubicin (DOX)-loaded folate-targeted poly(3-hydroxybutyrate-co-3-hydroxyoctanoate) [P(HB-HO)] nanoparticles [DOX/FA-PEG-P(HB-HO) NPs] were prepared by the W1/O/W2 solvent extraction/evaporation method for applications in cancer treatment. However, the biodistribution, pharmacokinetics, and targeting of the nanoparticles (NPs) have not yet been studied. Objective: The biodistribution, pharmacokinetics, and targeting of DOX/FA-PEG-P(HB-HO) NPs were evaluated in female BALB/c nude mice bearing HeLa tumors. Materials and methods: Three DOX formulations were injected into the tail vein of the mice at a dosage of 5 mg/kg. At each time point, blood and various tissues were collected. All samples were then processed and analyzed by a validated high performance liquid chromatographic (HPLC) method. Results: The t1/2 values of DOX/P(HB-HO) NPs and DOX/FA-PEG-P(HB-HO) NPs were 2.7- and 3.5-times higher than that of free DOX. No significant difference (p &gt; 0.05) was found in Cmax between the NPs and free DOX. The Tmax values of the two NPs were prolonged from 0.25 to 1 h. The AUC0-t values were 1.55- and 3.05-folds higher than that of free DOX, and MRT increased to 15.99 h for DOX/P(HB-HO) NPs and 25.14 h for DOX/FA-PEG-P(HB-HO) NPs. For DOX/FA-PEG-P(HB-HO) NPs, the DOX content in the tumors were 10.81- and 3.33-times higher than those for free DOX and DOX/P(HB-HO) NPs at 48 h, respectively.Discussion and conclusions: DOX/FA-PEG-P(HB-HO) NPs displayed reduced cardiac toxicity and improved bioavailability. Moreover, the NPs exhibited a significant extent of DOX accumulation in the tumors, thus suggesting that folate-targeted NPs could effectively transport into HeLa tumors with satisfying targeting.","author":[{"dropping-particle":"","family":"Zhang","given":"Chan","non-dropping-particle":"","parse-names":false,"suffix":""},{"dropping-particle":"","family":"Wu","given":"Yifan","non-dropping-particle":"","parse-names":false,"suffix":""},{"dropping-particle":"","family":"Dong","given":"Yuefeng","non-dropping-particle":"","parse-names":false,"suffix":""},{"dropping-particle":"","family":"Xu","given":"Hongying","non-dropping-particle":"","parse-names":false,"suffix":""},{"dropping-particle":"","family":"Zhao","given":"Liangqi","non-dropping-particle":"","parse-names":false,"suffix":""}],"container-title":"Pharmaceutical Biology","id":"ITEM-2","issue":"1","issued":{"date-parts":[["2016"]]},"page":"55-61","title":"Quantification of DOX bioavailability in biological samples of mice by sensitive and precise HPLC assay","type":"article-journal","volume":"54"},"uris":["http://www.mendeley.com/documents/?uuid=5f6f2338-58d9-4845-9606-60b9ee49d359"]},{"id":"ITEM-3","itemData":{"DOI":"10.1016/S0731-7085(03)00300-5","ISSN":"07317085","PMID":"14550866","abstract":"Doxorubicin is an antineoplasic agent active against sarcoma pulmonary metastasis, but its clinical use is hampered by its myelotoxicity and its cumulative cardiotoxicity, when administered systemically. This limitation may be circumvented using the isolated lung perfusion (ILP) approach, wherein a therapeutic agent is infused locoregionally after vascular isolation of the lung. The influence of the mode of infusion (anterograde (AG): through the pulmonary artery (PA); retrograde (RG): through the pulmonary vein (PV)) on doxorubicin pharmacokinetics and lung distribution was unknown. Therefore, a simple, rapid and sensitive high-performance liquid chromatography method has been developed to quantify doxorubicin in four different biological matrices (infusion effluent, serum, tissues with low or high levels of doxorubicin). The related compound daunorubicin was used as internal standard (I.S.). Following a single-step protein precipitation of 500 μl samples with 250 μl acetone and 50 μl zinc sulfate 70% aqueous solution, the obtained supernatant was evaporated to dryness at 60°C for exactly 45 min under a stream of nitrogen and the solid residue was solubilized in 200 μl of purified water. A 100 μl-volume was subjected to HPLC analysis onto a Nucleosil 100-5 μm C18 AB column equipped with a guard column (Nucleosil 100-5 μm C6H 5 (phenyl) end-capped) using a gradient elution of acetonitrile and 1-heptanesulfonic acid 0.2% pH 4: 15/85 at 0 min→50/50 at 20 min→100/ 0 at 22 min→15/85 at 24 min→15/85 at 26 min, delivered at 1 ml/min. The analytes were detected by fluorescence detection with excitation and emission wavelength set at 480 and 550 nm, respectively. The calibration curves were linear over the range of 2-1000 ng/ml for effluent and plasma matrices, and 0.1 μg/g-750 μg/g for tissues matrices. The method is precise with inter-day and intra-day relative standard deviation within 0.5 and 6.7% and accurate with inter-day and intra-day deviations between -5.4 and +7.7%. The in vitro stability in all matrices and in processed samples has been studied at -80°C for 1 month, and at 4°C for 48 h, respectively. During initial studies, heparin used as anticoagulant was found to profoundly influence the measurements of doxorubicin in effluents collected from animals under ILP. Moreover, the strong matrix effect observed with tissues samples indicate that it is mandatory to prepare doxorubicin calibration standard samples in biological matrices which would reflec…","author":[{"dropping-particle":"","family":"Kümmerle","given":"A.","non-dropping-particle":"","parse-names":false,"suffix":""},{"dropping-particle":"","family":"Krueger","given":"T.","non-dropping-particle":"","parse-names":false,"suffix":""},{"dropping-particle":"","family":"Dusmet","given":"M.","non-dropping-particle":"","parse-names":false,"suffix":""},{"dropping-particle":"","family":"Vallet","given":"C.","non-dropping-particle":"","parse-names":false,"suffix":""},{"dropping-particle":"","family":"Pan","given":"Y.","non-dropping-particle":"","parse-names":false,"suffix":""},{"dropping-particle":"","family":"Ris","given":"H. B.","non-dropping-particle":"","parse-names":false,"suffix":""},{"dropping-particle":"","family":"Decosterd","given":"Laurent A.","non-dropping-particle":"","parse-names":false,"suffix":""}],"container-title":"Journal of Pharmaceutical and Biomedical Analysis","id":"ITEM-3","issue":"3","issued":{"date-parts":[["2003"]]},"page":"475-494","title":"A validated assay for measuring doxorubicin in biological fluids and tissues in an isolated lung perfusion model: Matrix effect and heparin interference strongly influence doxorubicin measurements","type":"article-journal","volume":"33"},"uris":["http://www.mendeley.com/documents/?uuid=0aa12b56-04ca-4b3f-8830-9e98e6cde28d"]}],"mendeley":{"formattedCitation":"[95], [96], [99]","plainTextFormattedCitation":"[95], [96], [99]","previouslyFormattedCitation":"[95], [96], [99]"},"properties":{"noteIndex":0},"schema":"https://github.com/citation-style-language/schema/raw/master/csl-citation.json"}</w:instrText>
      </w:r>
      <w:r w:rsidR="002B59D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[95], [96], [99]</w:t>
      </w:r>
      <w:r w:rsidR="002B59D4">
        <w:rPr>
          <w:rFonts w:ascii="Times New Roman" w:eastAsia="Times New Roman" w:hAnsi="Times New Roman" w:cs="Times New Roman"/>
          <w:color w:val="222222"/>
          <w:sz w:val="24"/>
          <w:szCs w:val="24"/>
        </w:rPr>
        <w:fldChar w:fldCharType="end"/>
      </w:r>
      <w:r w:rsidR="002B59D4">
        <w:rPr>
          <w:rFonts w:ascii="Times New Roman" w:eastAsia="Times New Roman" w:hAnsi="Times New Roman" w:cs="Times New Roman"/>
          <w:color w:val="222222"/>
          <w:sz w:val="24"/>
          <w:szCs w:val="24"/>
        </w:rPr>
        <w:t xml:space="preserve"> </w:t>
      </w:r>
      <w:r w:rsidR="2506C974" w:rsidRPr="2506C974">
        <w:rPr>
          <w:rFonts w:ascii="Times New Roman" w:eastAsia="Times New Roman" w:hAnsi="Times New Roman" w:cs="Times New Roman"/>
          <w:color w:val="222222"/>
          <w:sz w:val="24"/>
          <w:szCs w:val="24"/>
        </w:rPr>
        <w:t xml:space="preserve">oraz LOQ (&gt; 0,02 µg/g) </w:t>
      </w:r>
      <w:r w:rsidR="002B59D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{"citationItems":[{"id":"ITEM-1","itemData":{"DOI":"10.12659/msmbr.904103","ISSN":"23254416","PMID":"28408733","abstract":"BACKGROUND Neoangiogenesis occurring in inflamed articular synovium in early rheumatoid arthritis (RA) is characterized by enhanced vascular permeability that allows nanoparticle agents, including liposomes, to deliver encapsulated drugs to arthritic joints and subsequently improve therapeutic efficacy and reduce adverse effects. However, the targeting distribution of liposomes in arthritic joints during RA has not been quantitatively demonstrated. We performed this study to evaluate the targeting distribution of PEGylated doxorubicin liposomes in the arthritic joints of collagen-induced arthritis (CIA) rats by high-performance liquid chromatography (HPLC). MATERIAL AND METHODS Two doxorubicin formulations were administered to CIA rats via tail intravenous injection at a single dose (50 mg/m²). CIA rats were sacrificed and the tissues of the inflamed ankle joints were collected. The content of doxorubicin in the arthritic joints was analyzed by a validated and reproducible HPLC method. A two-way ANOVA for 2×5 factorial design was used for statistical analysis. RESULTS The developed HPLC method was sensitive, precise, and reproducible. The method was successfully applied to quantify doxorubicin content in arthritic tissues. At each time point (6, 12, 24, 48, and 72 h), doxorubicin content in the arthritic joints of the doxorubicin liposome group (DOX-LIP group) was higher than in the free doxorubicin group (DOX group) (P&lt;0.05). In the DOX-LIP group, doxorubicin levels in the arthritic joints increased gradually and significantly in the interval of 6-72 h post-administration. CONCLUSIONS PEGylated doxorubicin liposomes were targeted to, accumulated, and retained in the arthritic joints of CIA rats. The present study indicates that liposome encapsulation increases the therapeutic efficacy of antirheumatic drugs, presenting a promising therapeutic strategy for RA.","author":[{"dropping-particle":"","family":"Niu","given":"Hongqing","non-dropping-particle":"","parse-names":false,"suffix":""},{"dropping-particle":"","family":"Xu","given":"Menghua","non-dropping-particle":"","parse-names":false,"suffix":""},{"dropping-particle":"","family":"Li","given":"Shuangtian","non-dropping-particle":"","parse-names":false,"suffix":""},{"dropping-particle":"","family":"Chen","given":"Junwei","non-dropping-particle":"","parse-names":false,"suffix":""},{"dropping-particle":"","family":"Luo","given":"Jing","non-dropping-particle":"","parse-names":false,"suffix":""},{"dropping-particle":"","family":"Zhao","given":"Xiangcong","non-dropping-particle":"","parse-names":false,"suffix":""},{"dropping-particle":"","family":"Gao","given":"Chong","non-dropping-particle":"","parse-names":false,"suffix":""},{"dropping-particle":"","family":"Li","given":"Xiaofeng","non-dropping-particle":"","parse-names":false,"suffix":""}],"container-title":"Medical science monitor basic research","id":"ITEM-1","issued":{"date-parts":[["2017"]]},"page":"150-158","title":"High-Performance Liquid Chromatography (HPLC) Quantification of Liposome-Delivered Doxorubicin in Arthritic Joints of Collagen-Induced Arthritis Rats","type":"article-journal","volume":"23"},"uris":["http://www.mendeley.com/documents/?uuid=38d76df3-bb1a-4356-9875-d56cd9a7ca35"]},{"id":"ITEM-2","itemData":{"DOI":"10.1016/j.jchromb.2012.01.025","ISSN":"15700232","PMID":"22341684","abstract":"The long-term clinical use of doxorubicin (Dox), one of the most important anticancer agent in use, is limited by dose-related acute cardiotoxicity, myelo-suppression and multidrug resistance developed by cancer cells. To improve the antitumor efficacy and reduce the toxicity of Dox, many drug delivery systems have been developed, including poly(alkylcyanoacrylate) (PACA) nanoparticles. A new formulation of PACA nanoparticles with potential stealth properties were prepared by redox radical emulsion polymerization and associated to Dox in our laboratory. To comparatively investigate the pharmacokinetics and the biodistribution of different formulations of Dox associated PACA nanoparticles, a simple and rapid high performance liquid chromatographic method (HPLC) was developed for the quantification of Dox in plasma and tissues of rats treated with Dox loaded PACA nanoparticle (Dox-PACA). Dox was eluted at 4.4. min and it was well separated from its main metabolites doxorubicinol (Doxl) and doxorubicinon (Doxon) and idarubicin (Ida) used as internal standard (IS). Extraction of Dox from biological media was achieved by liquid-liquid extraction. The recovery of total Dox (i.e. free Dox and Dox associated with nanoparticles) from plasma and tissues (liver, spleen and heart) spiked with Dox-PACA were 71 and 78% for 0.05 and 1 μg/mL in rat plasma, respectively, and 73% and 80% for 0.5 and 10 μg/g in tissues, respectively. The method is linear from 0.05 to 1.5 μg/mL of Dox in plasma. The limit of detection of the method is 0.5. ng of Dox per injection (50 μL). The between-day and within-day precisions of the method were 97.1-102.9% and 97.3-101.7% for concentrations ranging from 0.05 to 1 μg/mL, respectively. Preliminary data suggested that this method can be applied to determine the pharmacokinetic and biodistribution of Dox associated with PACA nanoparticles after intravenous administration to rats. © 2012 Elsevier B.V.","author":[{"dropping-particle":"","family":"Alhareth","given":"Khairallah","non-dropping-particle":"","parse-names":false,"suffix":""},{"dropping-particle":"","family":"Vauthier","given":"Christine","non-dropping-particle":"","parse-names":false,"suffix":""},{"dropping-particle":"","family":"Gueutin","given":"Claire","non-dropping-particle":"","parse-names":false,"suffix":""},{"dropping-particle":"","family":"Ponchel","given":"Gilles","non-dropping-particle":"","parse-names":false,"suffix":""},{"dropping-particle":"","family":"Moussa","given":"Fathi","non-dropping-particle":"","parse-names":false,"suffix":""}],"container-title":"Journal of Chromatography B: Analytical Technologies in the Biomedical and Life Sciences","id":"ITEM-2","issued":{"date-parts":[["2012"]]},"page":"128-132","publisher":"Elsevier B.V.","title":"HPLC quantification of doxorubicin in plasma and tissues of rats treated with doxorubicin loaded poly(alkylcyanoacrylate) nanoparticles","type":"article-journal","volume":"887-888"},"uris":["http://www.mendeley.com/documents/?uuid=0da71790-6a89-4cad-b03b-97811b60c556"]},{"id":"ITEM-3","itemData":{"DOI":"10.1016/j.jchromb.2009.02.018","ISSN":"15700232","PMID":"19246257","abstract":"A sensitive high performance liquid chromatography method (HPLC) has been developed for the quantification of doxorubicin in mouse plasma and tissues. Samples of serum or tissue homogenates, 20 μl, were analyzed following a single step protein precipitation using perchloric acid (35%, v/v). Doxorubicin was separated from the internal standard, daunorubicin, on a Zorbax 300SB C18 column at 35 °C. Mobile phase was comprised of acetonitrile and water (25:75) containing 0.1% triethylamine, and was adjusted to pH 3 with phosphoric acid. Peaks eluting from the column were detected with a fluorescence detector with excitation and emission wavelengths of 480 and 560 nm, respectively. Standard curves were linear in the range 5-1000 ng/ml, and correlation coefficients were typically greater than 0.999. Intra-assay recoveries ranged from 94.7 to 99.9%, and inter-assay recoveries were in the range of 95.2-101%. The associated coefficient of variation (CV) was less than 10% in all cases. The method was successfully applied to investigate doxorubicin plasma pharmacokinetics and tissue distribution in athymic Foxnu mice. © 2009.","author":[{"dropping-particle":"","family":"Urva","given":"Shweta R.","non-dropping-particle":"","parse-names":false,"suffix":""},{"dropping-particle":"","family":"Shin","given":"Beom Soo","non-dropping-particle":"","parse-names":false,"suffix":""},{"dropping-particle":"","family":"Yang","given":"Victor C.","non-dropping-particle":"","parse-names":false,"suffix":""},{"dropping-particle":"","family":"Balthasar","given":"Joseph P.","non-dropping-particle":"","parse-names":false,"suffix":""}],"container-title":"Journal of Chromatography B: Analytical Technologies in the Biomedical and Life Sciences","id":"ITEM-3","issue":"8-9","issued":{"date-parts":[["2009"]]},"page":"837-841","title":"Sensitive high performance liquid chromatographic assay for assessment of doxorubicin pharmacokinetics in mouse plasma and tissues","type":"article-journal","volume":"877"},"uris":["http://www.mendeley.com/documents/?uuid=1c825807-dddc-4b4b-b324-ecbff96e9d99"]},{"id":"ITEM-4","itemData":{"DOI":"10.3109/13880209.2015.1014918","ISSN":"17445116","PMID":"25880143","abstract":"Context: Doxorubicin (DOX)-loaded folate-targeted poly(3-hydroxybutyrate-co-3-hydroxyoctanoate) [P(HB-HO)] nanoparticles [DOX/FA-PEG-P(HB-HO) NPs] were prepared by the W1/O/W2 solvent extraction/evaporation method for applications in cancer treatment. However, the biodistribution, pharmacokinetics, and targeting of the nanoparticles (NPs) have not yet been studied. Objective: The biodistribution, pharmacokinetics, and targeting of DOX/FA-PEG-P(HB-HO) NPs were evaluated in female BALB/c nude mice bearing HeLa tumors. Materials and methods: Three DOX formulations were injected into the tail vein of the mice at a dosage of 5 mg/kg. At each time point, blood and various tissues were collected. All samples were then processed and analyzed by a validated high performance liquid chromatographic (HPLC) method. Results: The t1/2 values of DOX/P(HB-HO) NPs and DOX/FA-PEG-P(HB-HO) NPs were 2.7- and 3.5-times higher than that of free DOX. No significant difference (p &gt; 0.05) was found in Cmax between the NPs and free DOX. The Tmax values of the two NPs were prolonged from 0.25 to 1 h. The AUC0-t values were 1.55- and 3.05-folds higher than that of free DOX, and MRT increased to 15.99 h for DOX/P(HB-HO) NPs and 25.14 h for DOX/FA-PEG-P(HB-HO) NPs. For DOX/FA-PEG-P(HB-HO) NPs, the DOX content in the tumors were 10.81- and 3.33-times higher than those for free DOX and DOX/P(HB-HO) NPs at 48 h, respectively.Discussion and conclusions: DOX/FA-PEG-P(HB-HO) NPs displayed reduced cardiac toxicity and improved bioavailability. Moreover, the NPs exhibited a significant extent of DOX accumulation in the tumors, thus suggesting that folate-targeted NPs could effectively transport into HeLa tumors with satisfying targeting.","author":[{"dropping-particle":"","family":"Zhang","given":"Chan","non-dropping-particle":"","parse-names":false,"suffix":""},{"dropping-particle":"","family":"Wu","given":"Yifan","non-dropping-particle":"","parse-names":false,"suffix":""},{"dropping-particle":"","family":"Dong","given":"Yuefeng","non-dropping-particle":"","parse-names":false,"suffix":""},{"dropping-particle":"","family":"Xu","given":"Hongying","non-dropping-particle":"","parse-names":false,"suffix":""},{"dropping-particle":"","family":"Zhao","given":"Liangqi","non-dropping-particle":"","parse-names":false,"suffix":""}],"container-title":"Pharmaceutical Biology","id":"ITEM-4","issue":"1","issued":{"date-parts":[["2016"]]},"page":"55-61","title":"Quantification of DOX bioavailability in biological samples of mice by sensitive and precise HPLC assay","type":"article-journal","volume":"54"},"uris":["http://www.mendeley.com/documents/?uuid=5f6f2338-58d9-4845-9606-60b9ee49d359"]},{"id":"ITEM-5","itemData":{"DOI":"10.1016/j.talanta.2018.02.049","ISSN":"00399140","PMID":"29567180","abstract":"The fast and sensitive determination of concentrations of anticancer drugs in specific organs can improve the efficacy of chemotherapy and minimize its adverse effects. In this paper, ex vivo solid-phase microextraction (SPME) coupled to LC-MS/MS as a method for rapidly quantitating doxorubicin (DOX) in lung tissue was optimized. Furthermore, the theoretical and practical challenges related to the real-time monitoring of DOX levels in the lung tissue of a living organism (in vivo SPME) are presented. In addition, several parameters for ex vivo/in vivo SPME studies, such as extraction efficiency of autoclaved fibers, intact/homogenized tissue differences, critical tissue amount, and the absence of an internal standard are thoroughly examined. To both accurately quantify DOX in solid tissue and minimize the error related to the lack of an internal standard, a calibration method at equilibrium conditions was chosen. In optimized ex vivo SPME conditions, the targeted compound was extracted by directly introducing a 15 mm (45 µm thickness) mixed-mode fiber into 15 g of homogenized tissue for 20 min, followed by a desorption step in an optimal solvent mixture. The detection limit for DOX was 2.5 µg g−1 of tissue. The optimized ex vivo SPME method was successfully applied for the analysis of DOX in real pig lung biopsies, providing an averaged accuracy and precision of 103.2% and 12.3%, respectively. Additionally, a comparison between SPME and solid-liquid extraction revealed good agreement. The results presented herein demonstrate that the developed SPME method radically simplifies the sample preparation step and eliminates the need for tissue biopsies. These results suggest that SPME can accurately quantify DOX in different tissue compartments and can be potentially useful for monitoring and adjusting drug dosages during chemotherapy in order to achieve effective and safe concentrations of doxorubicin.","author":[{"dropping-particle":"","family":"Roszkowska","given":"Anna","non-dropping-particle":"","parse-names":false,"suffix":""},{"dropping-particle":"","family":"Tascon","given":"Marcos","non-dropping-particle":"","parse-names":false,"suffix":""},{"dropping-particle":"","family":"Bojko","given":"Barbara","non-dropping-particle":"","parse-names":false,"suffix":""},{"dropping-particle":"","family":"Goryński","given":"Krzysztof","non-dropping-particle":"","parse-names":false,"suffix":""},{"dropping-particle":"","family":"Santos","given":"Pedro Reck","non-dropping-particle":"dos","parse-names":false,"suffix":""},{"dropping-particle":"","family":"Cypel","given":"Marcelo","non-dropping-particle":"","parse-names":false,"suffix":""},{"dropping-particle":"","family":"Pawliszyn","given":"Janusz","non-dropping-particle":"","parse-names":false,"suffix":""}],"container-title":"Talanta","id":"ITEM-5","issue":"February","issued":{"date-parts":[["2018"]]},"page":"304-310","title":"Equilibrium ex vivo calibration of homogenized tissue for in vivo SPME quantitation of doxorubicin in lung tissue","type":"article-journal","volume":"183"},"uris":["http://www.mendeley.com/documents/?uuid=b7ecc56f-5330-4c9f-85d0-f66db0a363d2"]},{"id":"ITEM-6","itemData":{"DOI":"10.1016/S0731-7085(03)00300-5","ISSN":"07317085","PMID":"14550866","abstract":"Doxorubicin is an antineoplasic agent active against sarcoma pulmonary metastasis, but its clinical use is hampered by its myelotoxicity and its cumulative cardiotoxicity, when administered systemically. This limitation may be circumvented using the isolated lung perfusion (ILP) approach, wherein a therapeutic agent is infused locoregionally after vascular isolation of the lung. The influence of the mode of infusion (anterograde (AG): through the pulmonary artery (PA); retrograde (RG): through the pulmonary vein (PV)) on doxorubicin pharmacokinetics and lung distribution was unknown. Therefore, a simple, rapid and sensitive high-performance liquid chromatography method has been developed to quantify doxorubicin in four different biological matrices (infusion effluent, serum, tissues with low or high levels of doxorubicin). The related compound daunorubicin was used as internal standard (I.S.). Following a single-step protein precipitation of 500 μl samples with 250 μl acetone and 50 μl zinc sulfate 70% aqueous solution, the obtained supernatant was evaporated to dryness at 60°C for exactly 45 min under a stream of nitrogen and the solid residue was solubilized in 200 μl of purified water. A 100 μl-volume was subjected to HPLC analysis onto a Nucleosil 100-5 μm C18 AB column equipped with a guard column (Nucleosil 100-5 μm C6H 5 (phenyl) end-capped) using a gradient elution of acetonitrile and 1-heptanesulfonic acid 0.2% pH 4: 15/85 at 0 min→50/50 at 20 min→100/ 0 at 22 min→15/85 at 24 min→15/85 at 26 min, delivered at 1 ml/min. The analytes were detected by fluorescence detection with excitation and emission wavelength set at 480 and 550 nm, respectively. The calibration curves were linear over the range of 2-1000 ng/ml for effluent and plasma matrices, and 0.1 μg/g-750 μg/g for tissues matrices. The method is precise with inter-day and intra-day relative standard deviation within 0.5 and 6.7% and accurate with inter-day and intra-day deviations between -5.4 and +7.7%. The in vitro stability in all matrices and in processed samples has been studied at -80°C for 1 month, and at 4°C for 48 h, respectively. During initial studies, heparin used as anticoagulant was found to profoundly influence the measurements of doxorubicin in effluents collected from animals under ILP. Moreover, the strong matrix effect observed with tissues samples indicate that it is mandatory to prepare doxorubicin calibration standard samples in biological matrices which would reflec…","author":[{"dropping-particle":"","family":"Kümmerle","given":"A.","non-dropping-particle":"","parse-names":false,"suffix":""},{"dropping-particle":"","family":"Krueger","given":"T.","non-dropping-particle":"","parse-names":false,"suffix":""},{"dropping-particle":"","family":"Dusmet","given":"M.","non-dropping-particle":"","parse-names":false,"suffix":""},{"dropping-particle":"","family":"Vallet","given":"C.","non-dropping-particle":"","parse-names":false,"suffix":""},{"dropping-particle":"","family":"Pan","given":"Y.","non-dropping-particle":"","parse-names":false,"suffix":""},{"dropping-particle":"","family":"Ris","given":"H. B.","non-dropping-particle":"","parse-names":false,"suffix":""},{"dropping-particle":"","family":"Decosterd","given":"Laurent A.","non-dropping-particle":"","parse-names":false,"suffix":""}],"container-title":"Journal of Pharmaceutical and Biomedical Analysis","id":"ITEM-6","issue":"3","issued":{"date-parts":[["2003"]]},"page":"475-494","title":"A validated assay for measuring doxorubicin in biological fluids and tissues in an isolated lung perfusion model: Matrix effect and heparin interference strongly influence doxorubicin measurements","type":"article-journal","volume":"33"},"uris":["http://www.mendeley.com/documents/?uuid=0aa12b56-04ca-4b3f-8830-9e98e6cde28d"]}],"mendeley":{"formattedCitation":"[93], [95], [96], [98], [99], [101]","plainTextFormattedCitation":"[93], [95], [96], [98], [99], [101]","previouslyFormattedCitation":"[93], [95], [96], [98], [99], [101]"},"properties":{"noteIndex":0},"schema":"https://github.com/citation-style-language/schema/raw/master/csl-citation.json"}</w:instrText>
      </w:r>
      <w:r w:rsidR="002B59D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[93], [95], [96], [98], [99], [101]</w:t>
      </w:r>
      <w:r w:rsidR="002B59D4">
        <w:rPr>
          <w:rFonts w:ascii="Times New Roman" w:eastAsia="Times New Roman" w:hAnsi="Times New Roman" w:cs="Times New Roman"/>
          <w:color w:val="222222"/>
          <w:sz w:val="24"/>
          <w:szCs w:val="24"/>
        </w:rPr>
        <w:fldChar w:fldCharType="end"/>
      </w:r>
      <w:r w:rsidR="2506C974" w:rsidRPr="2506C974">
        <w:rPr>
          <w:rFonts w:ascii="Times New Roman" w:eastAsia="Times New Roman" w:hAnsi="Times New Roman" w:cs="Times New Roman"/>
          <w:color w:val="222222"/>
          <w:sz w:val="24"/>
          <w:szCs w:val="24"/>
        </w:rPr>
        <w:t xml:space="preserve"> </w:t>
      </w:r>
      <w:r w:rsidR="77F797D3" w:rsidRPr="00E11754">
        <w:rPr>
          <w:rFonts w:ascii="Times New Roman" w:eastAsia="Times New Roman" w:hAnsi="Times New Roman" w:cs="Times New Roman"/>
          <w:color w:val="222222"/>
          <w:sz w:val="24"/>
          <w:szCs w:val="24"/>
        </w:rPr>
        <w:t xml:space="preserve">bądź te parametry nie były publikowane </w:t>
      </w:r>
      <w:r w:rsidR="00A845B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{"citationItems":[{"id":"ITEM-1","itemData":{"DOI":"10.12659/msmbr.904103","ISSN":"23254416","PMID":"28408733","abstract":"BACKGROUND Neoangiogenesis occurring in inflamed articular synovium in early rheumatoid arthritis (RA) is characterized by enhanced vascular permeability that allows nanoparticle agents, including liposomes, to deliver encapsulated drugs to arthritic joints and subsequently improve therapeutic efficacy and reduce adverse effects. However, the targeting distribution of liposomes in arthritic joints during RA has not been quantitatively demonstrated. We performed this study to evaluate the targeting distribution of PEGylated doxorubicin liposomes in the arthritic joints of collagen-induced arthritis (CIA) rats by high-performance liquid chromatography (HPLC). MATERIAL AND METHODS Two doxorubicin formulations were administered to CIA rats via tail intravenous injection at a single dose (50 mg/m²). CIA rats were sacrificed and the tissues of the inflamed ankle joints were collected. The content of doxorubicin in the arthritic joints was analyzed by a validated and reproducible HPLC method. A two-way ANOVA for 2×5 factorial design was used for statistical analysis. RESULTS The developed HPLC method was sensitive, precise, and reproducible. The method was successfully applied to quantify doxorubicin content in arthritic tissues. At each time point (6, 12, 24, 48, and 72 h), doxorubicin content in the arthritic joints of the doxorubicin liposome group (DOX-LIP group) was higher than in the free doxorubicin group (DOX group) (P&lt;0.05). In the DOX-LIP group, doxorubicin levels in the arthritic joints increased gradually and significantly in the interval of 6-72 h post-administration. CONCLUSIONS PEGylated doxorubicin liposomes were targeted to, accumulated, and retained in the arthritic joints of CIA rats. The present study indicates that liposome encapsulation increases the therapeutic efficacy of antirheumatic drugs, presenting a promising therapeutic strategy for RA.","author":[{"dropping-particle":"","family":"Niu","given":"Hongqing","non-dropping-particle":"","parse-names":false,"suffix":""},{"dropping-particle":"","family":"Xu","given":"Menghua","non-dropping-particle":"","parse-names":false,"suffix":""},{"dropping-particle":"","family":"Li","given":"Shuangtian","non-dropping-particle":"","parse-names":false,"suffix":""},{"dropping-particle":"","family":"Chen","given":"Junwei","non-dropping-particle":"","parse-names":false,"suffix":""},{"dropping-particle":"","family":"Luo","given":"Jing","non-dropping-particle":"","parse-names":false,"suffix":""},{"dropping-particle":"","family":"Zhao","given":"Xiangcong","non-dropping-particle":"","parse-names":false,"suffix":""},{"dropping-particle":"","family":"Gao","given":"Chong","non-dropping-particle":"","parse-names":false,"suffix":""},{"dropping-particle":"","family":"Li","given":"Xiaofeng","non-dropping-particle":"","parse-names":false,"suffix":""}],"container-title":"Medical science monitor basic research","id":"ITEM-1","issued":{"date-parts":[["2017"]]},"page":"150-158","title":"High-Performance Liquid Chromatography (HPLC) Quantification of Liposome-Delivered Doxorubicin in Arthritic Joints of Collagen-Induced Arthritis Rats","type":"article-journal","volume":"23"},"uris":["http://www.mendeley.com/documents/?uuid=38d76df3-bb1a-4356-9875-d56cd9a7ca35"]},{"id":"ITEM-2","itemData":{"DOI":"10.1016/j.jchromb.2012.01.025","ISSN":"15700232","PMID":"22341684","abstract":"The long-term clinical use of doxorubicin (Dox), one of the most important anticancer agent in use, is limited by dose-related acute cardiotoxicity, myelo-suppression and multidrug resistance developed by cancer cells. To improve the antitumor efficacy and reduce the toxicity of Dox, many drug delivery systems have been developed, including poly(alkylcyanoacrylate) (PACA) nanoparticles. A new formulation of PACA nanoparticles with potential stealth properties were prepared by redox radical emulsion polymerization and associated to Dox in our laboratory. To comparatively investigate the pharmacokinetics and the biodistribution of different formulations of Dox associated PACA nanoparticles, a simple and rapid high performance liquid chromatographic method (HPLC) was developed for the quantification of Dox in plasma and tissues of rats treated with Dox loaded PACA nanoparticle (Dox-PACA). Dox was eluted at 4.4. min and it was well separated from its main metabolites doxorubicinol (Doxl) and doxorubicinon (Doxon) and idarubicin (Ida) used as internal standard (IS). Extraction of Dox from biological media was achieved by liquid-liquid extraction. The recovery of total Dox (i.e. free Dox and Dox associated with nanoparticles) from plasma and tissues (liver, spleen and heart) spiked with Dox-PACA were 71 and 78% for 0.05 and 1 μg/mL in rat plasma, respectively, and 73% and 80% for 0.5 and 10 μg/g in tissues, respectively. The method is linear from 0.05 to 1.5 μg/mL of Dox in plasma. The limit of detection of the method is 0.5. ng of Dox per injection (50 μL). The between-day and within-day precisions of the method were 97.1-102.9% and 97.3-101.7% for concentrations ranging from 0.05 to 1 μg/mL, respectively. Preliminary data suggested that this method can be applied to determine the pharmacokinetic and biodistribution of Dox associated with PACA nanoparticles after intravenous administration to rats. © 2012 Elsevier B.V.","author":[{"dropping-particle":"","family":"Alhareth","given":"Khairallah","non-dropping-particle":"","parse-names":false,"suffix":""},{"dropping-particle":"","family":"Vauthier","given":"Christine","non-dropping-particle":"","parse-names":false,"suffix":""},{"dropping-particle":"","family":"Gueutin","given":"Claire","non-dropping-particle":"","parse-names":false,"suffix":""},{"dropping-particle":"","family":"Ponchel","given":"Gilles","non-dropping-particle":"","parse-names":false,"suffix":""},{"dropping-particle":"","family":"Moussa","given":"Fathi","non-dropping-particle":"","parse-names":false,"suffix":""}],"container-title":"Journal of Chromatography B: Analytical Technologies in the Biomedical and Life Sciences","id":"ITEM-2","issued":{"date-parts":[["2012"]]},"page":"128-132","publisher":"Elsevier B.V.","title":"HPLC quantification of doxorubicin in plasma and tissues of rats treated with doxorubicin loaded poly(alkylcyanoacrylate) nanoparticles","type":"article-journal","volume":"887-888"},"uris":["http://www.mendeley.com/documents/?uuid=0da71790-6a89-4cad-b03b-97811b60c556"]},{"id":"ITEM-3","itemData":{"DOI":"10.3791/56159","ISSN":"1940087X","PMID":"29053672","abstract":"Combination chemotherapy is frequently used in the clinic for cancer treatment; however, associated adverse effects to normal tissue may limit its therapeutic benefit. Nanoparticle-based drug combination has been shown to mitigate the problems encountered by free drug combination therapy. Our previous studies have shown that the combination of two anticancer drugs, doxorubicin (DOX) and mitomycin C (MMC), produced a synergistic effect against both murine and human breast cancer cells in vitro. DOX and MMC co-loaded polymer-lipid hybrid nanoparticles (DMPLN) bypassed various efflux transporter pumps that confer multidrug resistance and demonstrated enhanced efficacy in breast tumor models. Compared to conventional solution forms, such superior efficacy of DMPLN was attributed to the synchronized pharmacokinetics of DOX and MMC and increased intracellular drug bioavailability within tumor cells enabled by the nanocarrier PLN. To evaluate the pharmacokinetics and bio-distribution of co-administered DOX and MMC in both free solution and nanoparticle forms, a simple and efficient multi-drug analysis method using reverse-phase high performance liquid chromatography (HPLC) was developed. In contrast to previously reported methods that analyzed DOX or MMC individually in the plasma, this new HPLC method is able to simultaneously quantitate DOX, MMC and a major cardio-toxic DOX metabolite, doxorubicinol (DOXol), in various biological matrices (e.g., whole blood, breast tumor, and heart). A dual fluorescent and ultraviolet absorbent probe 4-methylumbelliferone (4-MU) was used as an internal standard (I.S.) for one-step detection of multiple drug analysis with different detection wavelengths. This method was successfully applied to determine the concentrations of DOX and MMC delivered by both nanoparticle and solution approaches in whole blood and various tissues in an orthotopic breast tumor murine model. The analytical method presented is a useful tool for pre-clinical analysis of nanoparticle-based delivery of drug combinations.","author":[{"dropping-particle":"","family":"Zhang","given":"Rui Xue","non-dropping-particle":"","parse-names":false,"suffix":""},{"dropping-particle":"","family":"Zhang","given":"Tian","non-dropping-particle":"","parse-names":false,"suffix":""},{"dropping-particle":"","family":"Chen","given":"King","non-dropping-particle":"","parse-names":false,"suffix":""},{"dropping-particle":"","family":"Cheng","given":"Ji","non-dropping-particle":"","parse-names":false,"suffix":""},{"dropping-particle":"","family":"Lai","given":"Paris","non-dropping-particle":"","parse-names":false,"suffix":""},{"dropping-particle":"","family":"Rauth","given":"Andrew M.","non-dropping-particle":"","parse-names":false,"suffix":""},{"dropping-particle":"","family":"Pang","given":"K. Sandy","non-dropping-particle":"","parse-names":false,"suffix":""},{"dropping-particle":"","family":"Wu","given":"Xiao Yu","non-dropping-particle":"","parse-names":false,"suffix":""}],"container-title":"Journal of Visualized Experiments","id":"ITEM-3","issue":"128","issued":{"date-parts":[["2017"]]},"page":"1-11","title":"Sample extraction and simultaneous chromatographic quantitation of doxorubicin and mitomycin C following drug combination delivery in nanoparticles to tumor-bearing mice","type":"article-journal","volume":"2017"},"uris":["http://www.mendeley.com/documents/?uuid=d7c2be01-2030-4260-a08f-a62076aa5fbf"]}],"mendeley":{"formattedCitation":"[93], [98], [103]","plainTextFormattedCitation":"[93], [98], [103]","previouslyFormattedCitation":"[93], [98], [103]"},"properties":{"noteIndex":0},"schema":"https://github.com/citation-style-language/schema/raw/master/csl-citation.json"}</w:instrText>
      </w:r>
      <w:r w:rsidR="00A845B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[93], [98], [103]</w:t>
      </w:r>
      <w:r w:rsidR="00A845B4">
        <w:rPr>
          <w:rFonts w:ascii="Times New Roman" w:eastAsia="Times New Roman" w:hAnsi="Times New Roman" w:cs="Times New Roman"/>
          <w:color w:val="222222"/>
          <w:sz w:val="24"/>
          <w:szCs w:val="24"/>
        </w:rPr>
        <w:fldChar w:fldCharType="end"/>
      </w:r>
      <w:r w:rsidR="77F797D3" w:rsidRPr="2506C974">
        <w:rPr>
          <w:rFonts w:ascii="Times New Roman" w:eastAsia="Times New Roman" w:hAnsi="Times New Roman" w:cs="Times New Roman"/>
          <w:color w:val="222222"/>
          <w:sz w:val="24"/>
          <w:szCs w:val="24"/>
        </w:rPr>
        <w:t>.</w:t>
      </w:r>
      <w:r w:rsidR="77F797D3" w:rsidRPr="00E11754">
        <w:rPr>
          <w:rFonts w:ascii="Times New Roman" w:eastAsia="Times New Roman" w:hAnsi="Times New Roman" w:cs="Times New Roman"/>
          <w:color w:val="222222"/>
          <w:sz w:val="24"/>
          <w:szCs w:val="24"/>
        </w:rPr>
        <w:t xml:space="preserve"> Dodatkowo, niektóre prace dotyczyły bardzo specyficznego rodzaju tkanki jak np. tkanka oczna królika </w:t>
      </w:r>
      <w:r w:rsidR="00A845B4">
        <w:rPr>
          <w:rFonts w:ascii="Times New Roman" w:eastAsia="Times New Roman" w:hAnsi="Times New Roman" w:cs="Times New Roman"/>
          <w:color w:val="222222"/>
          <w:sz w:val="24"/>
          <w:szCs w:val="24"/>
        </w:rPr>
        <w:fldChar w:fldCharType="begin" w:fldLock="1"/>
      </w:r>
      <w:r w:rsidR="003F3548">
        <w:rPr>
          <w:rFonts w:ascii="Times New Roman" w:eastAsia="Times New Roman" w:hAnsi="Times New Roman" w:cs="Times New Roman"/>
          <w:color w:val="222222"/>
          <w:sz w:val="24"/>
          <w:szCs w:val="24"/>
        </w:rPr>
        <w:instrText>ADDIN CSL_CITATION {"citationItems":[{"id":"ITEM-1","itemData":{"DOI":"10.1016/j.jpba.2006.06.032","ISSN":"07317085","PMID":"16884884","abstract":"A validated HPLC method was developed for the quantification of doxorubicin in rabbit ocular tissues using solid phase extraction and ultraviolet detection. Chromatographic separation of doxorubicin in various ocular tissues was performed on a C18 column. The mobile phase was composed of 0.2 M KH2PO4 buffer solution, acetonitrile and triethylamine in volumetric ratio of 70/30/0.2, adjusted to pH 4.0 with orthophosphoric acid. The calibration curve was linear over the range of 0.03-10, 0.03-10, 0.05-10 and 0.05-10 μg/ml in vitreous body, iris, retina/choroids and sclera, respectively. The intra-day and inter-day precisions in all ocular tissues were smaller than 4.95% and 5.73%, and the accuracies were about 100%. The extraction recoveries of doxorubicin in all of the ocular tissues were between 83.47% and 96.33%. After intravitreal administration of doxorubicin-loaded poly-β-hydroxybutyrate microspheres, doxorubicin level in ocular tissues was much lower than that for administration of free doxorubicin, which was helpful to reduce the associated toxicity to surrounding tissues. Doxorubicin was detectable even after tens of days in the studied ocular tissues. © 2006 Elsevier B.V. All rights reserved.","author":[{"dropping-particle":"","family":"Hu","given":"Tao","non-dropping-particle":"","parse-names":false,"suffix":""},{"dropping-particle":"","family":"Le","given":"Qihua","non-dropping-particle":"","parse-names":false,"suffix":""},{"dropping-particle":"","family":"Wu","given":"Zhiyi","non-dropping-particle":"","parse-names":false,"suffix":""},{"dropping-particle":"","family":"Wu","given":"Wei","non-dropping-particle":"","parse-names":false,"suffix":""}],"container-title":"Journal of Pharmaceutical and Biomedical Analysis","id":"ITEM-1","issue":"1","issued":{"date-parts":[["2007"]]},"page":"263-269","title":"Determination of doxorubicin in rabbit ocular tissues and pharmacokinetics after intravitreal injection of a single dose of doxorubicin-loaded poly-β-hydroxybutyrate microspheres","type":"article-journal","volume":"43"},"uris":["http://www.mendeley.com/documents/?uuid=2dded347-b193-4fdf-8e33-c48d11657724"]}],"mendeley":{"formattedCitation":"[59]","plainTextFormattedCitation":"[59]","previouslyFormattedCitation":"[59]"},"properties":{"noteIndex":0},"schema":"https://github.com/citation-style-language/schema/raw/master/csl-citation.json"}</w:instrText>
      </w:r>
      <w:r w:rsidR="00A845B4">
        <w:rPr>
          <w:rFonts w:ascii="Times New Roman" w:eastAsia="Times New Roman" w:hAnsi="Times New Roman" w:cs="Times New Roman"/>
          <w:color w:val="222222"/>
          <w:sz w:val="24"/>
          <w:szCs w:val="24"/>
        </w:rPr>
        <w:fldChar w:fldCharType="separate"/>
      </w:r>
      <w:r w:rsidR="008D518D" w:rsidRPr="008D518D">
        <w:rPr>
          <w:rFonts w:ascii="Times New Roman" w:eastAsia="Times New Roman" w:hAnsi="Times New Roman" w:cs="Times New Roman"/>
          <w:noProof/>
          <w:color w:val="222222"/>
          <w:sz w:val="24"/>
          <w:szCs w:val="24"/>
        </w:rPr>
        <w:t>[59]</w:t>
      </w:r>
      <w:r w:rsidR="00A845B4">
        <w:rPr>
          <w:rFonts w:ascii="Times New Roman" w:eastAsia="Times New Roman" w:hAnsi="Times New Roman" w:cs="Times New Roman"/>
          <w:color w:val="222222"/>
          <w:sz w:val="24"/>
          <w:szCs w:val="24"/>
        </w:rPr>
        <w:fldChar w:fldCharType="end"/>
      </w:r>
      <w:r w:rsidR="77F797D3" w:rsidRPr="00E11754">
        <w:rPr>
          <w:rFonts w:ascii="Times New Roman" w:eastAsia="Times New Roman" w:hAnsi="Times New Roman" w:cs="Times New Roman"/>
          <w:color w:val="222222"/>
          <w:sz w:val="24"/>
          <w:szCs w:val="24"/>
        </w:rPr>
        <w:t xml:space="preserve"> lub tkanka stawów skokowych szczura </w:t>
      </w:r>
      <w:r w:rsidR="00A845B4">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{"citationItems":[{"id":"ITEM-1","itemData":{"DOI":"10.12659/msmbr.904103","ISSN":"23254416","PMID":"28408733","abstract":"BACKGROUND Neoangiogenesis occurring in inflamed articular synovium in early rheumatoid arthritis (RA) is characterized by enhanced vascular permeability that allows nanoparticle agents, including liposomes, to deliver encapsulated drugs to arthritic joints and subsequently improve therapeutic efficacy and reduce adverse effects. However, the targeting distribution of liposomes in arthritic joints during RA has not been quantitatively demonstrated. We performed this study to evaluate the targeting distribution of PEGylated doxorubicin liposomes in the arthritic joints of collagen-induced arthritis (CIA) rats by high-performance liquid chromatography (HPLC). MATERIAL AND METHODS Two doxorubicin formulations were administered to CIA rats via tail intravenous injection at a single dose (50 mg/m²). CIA rats were sacrificed and the tissues of the inflamed ankle joints were collected. The content of doxorubicin in the arthritic joints was analyzed by a validated and reproducible HPLC method. A two-way ANOVA for 2×5 factorial design was used for statistical analysis. RESULTS The developed HPLC method was sensitive, precise, and reproducible. The method was successfully applied to quantify doxorubicin content in arthritic tissues. At each time point (6, 12, 24, 48, and 72 h), doxorubicin content in the arthritic joints of the doxorubicin liposome group (DOX-LIP group) was higher than in the free doxorubicin group (DOX group) (P&lt;0.05). In the DOX-LIP group, doxorubicin levels in the arthritic joints increased gradually and significantly in the interval of 6-72 h post-administration. CONCLUSIONS PEGylated doxorubicin liposomes were targeted to, accumulated, and retained in the arthritic joints of CIA rats. The present study indicates that liposome encapsulation increases the therapeutic efficacy of antirheumatic drugs, presenting a promising therapeutic strategy for RA.","author":[{"dropping-particle":"","family":"Niu","given":"Hongqing","non-dropping-particle":"","parse-names":false,"suffix":""},{"dropping-particle":"","family":"Xu","given":"Menghua","non-dropping-particle":"","parse-names":false,"suffix":""},{"dropping-particle":"","family":"Li","given":"Shuangtian","non-dropping-particle":"","parse-names":false,"suffix":""},{"dropping-particle":"","family":"Chen","given":"Junwei","non-dropping-particle":"","parse-names":false,"suffix":""},{"dropping-particle":"","family":"Luo","given":"Jing","non-dropping-particle":"","parse-names":false,"suffix":""},{"dropping-particle":"","family":"Zhao","given":"Xiangcong","non-dropping-particle":"","parse-names":false,"suffix":""},{"dropping-particle":"","family":"Gao","given":"Chong","non-dropping-particle":"","parse-names":false,"suffix":""},{"dropping-particle":"","family":"Li","given":"Xiaofeng","non-dropping-particle":"","parse-names":false,"suffix":""}],"container-title":"Medical science monitor basic research","id":"ITEM-1","issued":{"date-parts":[["2017"]]},"page":"150-158","title":"High-Performance Liquid Chromatography (HPLC) Quantification of Liposome-Delivered Doxorubicin in Arthritic Joints of Collagen-Induced Arthritis Rats","type":"article-journal","volume":"23"},"uris":["http://www.mendeley.com/documents/?uuid=38d76df3-bb1a-4356-9875-d56cd9a7ca35"]}],"mendeley":{"formattedCitation":"[93]","plainTextFormattedCitation":"[93]","previouslyFormattedCitation":"[93]"},"properties":{"noteIndex":0},"schema":"https://github.com/citation-style-language/schema/raw/master/csl-citation.json"}</w:instrText>
      </w:r>
      <w:r w:rsidR="00A845B4">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[93]</w:t>
      </w:r>
      <w:r w:rsidR="00A845B4">
        <w:rPr>
          <w:rFonts w:ascii="Times New Roman" w:eastAsia="Times New Roman" w:hAnsi="Times New Roman" w:cs="Times New Roman"/>
          <w:color w:val="222222"/>
          <w:sz w:val="24"/>
          <w:szCs w:val="24"/>
        </w:rPr>
        <w:fldChar w:fldCharType="end"/>
      </w:r>
      <w:r w:rsidR="77F797D3" w:rsidRPr="00E11754">
        <w:rPr>
          <w:rFonts w:ascii="Times New Roman" w:eastAsia="Times New Roman" w:hAnsi="Times New Roman" w:cs="Times New Roman"/>
          <w:color w:val="222222"/>
          <w:sz w:val="24"/>
          <w:szCs w:val="24"/>
        </w:rPr>
        <w:t>.</w:t>
      </w:r>
      <w:r w:rsidR="424734AD" w:rsidRPr="00E11754">
        <w:rPr>
          <w:rFonts w:ascii="Times New Roman" w:eastAsia="Times New Roman" w:hAnsi="Times New Roman" w:cs="Times New Roman"/>
          <w:color w:val="222222"/>
          <w:sz w:val="24"/>
          <w:szCs w:val="24"/>
        </w:rPr>
        <w:t xml:space="preserve"> </w:t>
      </w:r>
    </w:p>
    <w:p w14:paraId="70D88F6F" w14:textId="21599662" w:rsidR="00746B4E" w:rsidRPr="00E11754" w:rsidRDefault="77F797D3" w:rsidP="2506C974">
      <w:pPr>
        <w:spacing w:before="120" w:after="120" w:line="360" w:lineRule="auto"/>
        <w:ind w:firstLine="708"/>
        <w:jc w:val="both"/>
        <w:rPr>
          <w:rFonts w:ascii="Times New Roman" w:eastAsia="Times New Roman" w:hAnsi="Times New Roman" w:cs="Times New Roman"/>
          <w:color w:val="222222"/>
          <w:sz w:val="24"/>
          <w:szCs w:val="24"/>
        </w:rPr>
      </w:pPr>
      <w:r w:rsidRPr="00E11754">
        <w:rPr>
          <w:rFonts w:ascii="Times New Roman" w:eastAsia="Times New Roman" w:hAnsi="Times New Roman" w:cs="Times New Roman"/>
          <w:color w:val="222222"/>
          <w:sz w:val="24"/>
          <w:szCs w:val="24"/>
        </w:rPr>
        <w:t xml:space="preserve">W badaniu </w:t>
      </w:r>
      <w:r w:rsidR="424734AD" w:rsidRPr="00E11754">
        <w:rPr>
          <w:rFonts w:ascii="Times New Roman" w:eastAsia="Times New Roman" w:hAnsi="Times New Roman" w:cs="Times New Roman"/>
          <w:color w:val="222222"/>
          <w:sz w:val="24"/>
          <w:szCs w:val="24"/>
        </w:rPr>
        <w:t xml:space="preserve">realizowanym w ramach pracy doktorskiej </w:t>
      </w:r>
      <w:r w:rsidRPr="00E11754">
        <w:rPr>
          <w:rFonts w:ascii="Times New Roman" w:eastAsia="Times New Roman" w:hAnsi="Times New Roman" w:cs="Times New Roman"/>
          <w:color w:val="222222"/>
          <w:sz w:val="24"/>
          <w:szCs w:val="24"/>
        </w:rPr>
        <w:t>skupiono się</w:t>
      </w:r>
      <w:r w:rsidR="424734AD" w:rsidRPr="00E11754">
        <w:rPr>
          <w:rFonts w:ascii="Times New Roman" w:eastAsia="Times New Roman" w:hAnsi="Times New Roman" w:cs="Times New Roman"/>
          <w:color w:val="222222"/>
          <w:sz w:val="24"/>
          <w:szCs w:val="24"/>
        </w:rPr>
        <w:t xml:space="preserve"> w głównej mierze</w:t>
      </w:r>
      <w:r w:rsidRPr="00E11754">
        <w:rPr>
          <w:rFonts w:ascii="Times New Roman" w:eastAsia="Times New Roman" w:hAnsi="Times New Roman" w:cs="Times New Roman"/>
          <w:color w:val="222222"/>
          <w:sz w:val="24"/>
          <w:szCs w:val="24"/>
        </w:rPr>
        <w:t xml:space="preserve"> na porównywaniu różnych procedur ekstrakcji </w:t>
      </w:r>
      <w:proofErr w:type="spellStart"/>
      <w:r w:rsidRPr="00E11754">
        <w:rPr>
          <w:rFonts w:ascii="Times New Roman" w:eastAsia="Times New Roman" w:hAnsi="Times New Roman" w:cs="Times New Roman"/>
          <w:color w:val="222222"/>
          <w:sz w:val="24"/>
          <w:szCs w:val="24"/>
        </w:rPr>
        <w:t>doksorubicyny</w:t>
      </w:r>
      <w:proofErr w:type="spellEnd"/>
      <w:r w:rsidRPr="00E11754">
        <w:rPr>
          <w:rFonts w:ascii="Times New Roman" w:eastAsia="Times New Roman" w:hAnsi="Times New Roman" w:cs="Times New Roman"/>
          <w:color w:val="222222"/>
          <w:sz w:val="24"/>
          <w:szCs w:val="24"/>
        </w:rPr>
        <w:t xml:space="preserve"> z tkanek zwierzęcych (tkanki szczura)</w:t>
      </w:r>
      <w:r w:rsidR="424734AD" w:rsidRPr="00E11754">
        <w:rPr>
          <w:rFonts w:ascii="Times New Roman" w:eastAsia="Times New Roman" w:hAnsi="Times New Roman" w:cs="Times New Roman"/>
          <w:color w:val="222222"/>
          <w:sz w:val="24"/>
          <w:szCs w:val="24"/>
        </w:rPr>
        <w:t>, a warunki rozdzielenia chromatograficznego dostosowano do potrzeb oznaczeń tego leku w tkankach zwierzęcych bazując na warunkach opisanych w publikacji 1</w:t>
      </w:r>
      <w:r w:rsidRPr="00E11754">
        <w:rPr>
          <w:rFonts w:ascii="Times New Roman" w:eastAsia="Times New Roman" w:hAnsi="Times New Roman" w:cs="Times New Roman"/>
          <w:color w:val="222222"/>
          <w:sz w:val="24"/>
          <w:szCs w:val="24"/>
        </w:rPr>
        <w:t>.</w:t>
      </w:r>
    </w:p>
    <w:p w14:paraId="239CA1F9" w14:textId="7BA4F911" w:rsidR="006C6CAA" w:rsidRPr="00E11754" w:rsidRDefault="13A8E3F4" w:rsidP="00746B4E">
      <w:pPr>
        <w:spacing w:before="120" w:after="120" w:line="360" w:lineRule="auto"/>
        <w:jc w:val="both"/>
        <w:rPr>
          <w:rFonts w:ascii="Times New Roman" w:eastAsia="Times New Roman" w:hAnsi="Times New Roman" w:cs="Times New Roman"/>
          <w:color w:val="222222"/>
          <w:sz w:val="24"/>
          <w:szCs w:val="24"/>
        </w:rPr>
      </w:pPr>
      <w:r w:rsidRPr="00E11754">
        <w:rPr>
          <w:rFonts w:ascii="Times New Roman" w:eastAsia="Times New Roman" w:hAnsi="Times New Roman" w:cs="Times New Roman"/>
          <w:b/>
          <w:bCs/>
          <w:i/>
          <w:iCs/>
          <w:sz w:val="24"/>
          <w:szCs w:val="24"/>
        </w:rPr>
        <w:t>Część doświadczalna oraz wyniki badań</w:t>
      </w:r>
      <w:r w:rsidRPr="00E11754">
        <w:rPr>
          <w:rFonts w:ascii="Times New Roman" w:eastAsia="Times New Roman" w:hAnsi="Times New Roman" w:cs="Times New Roman"/>
          <w:sz w:val="24"/>
          <w:szCs w:val="24"/>
        </w:rPr>
        <w:t xml:space="preserve"> </w:t>
      </w:r>
    </w:p>
    <w:p w14:paraId="653828CC" w14:textId="2A844C99" w:rsidR="006C6CAA" w:rsidRPr="00E11754" w:rsidRDefault="00BC798E" w:rsidP="785B763D">
      <w:pPr>
        <w:spacing w:before="240" w:after="120" w:line="360" w:lineRule="auto"/>
        <w:jc w:val="both"/>
        <w:rPr>
          <w:rFonts w:ascii="Times New Roman" w:eastAsia="Times New Roman" w:hAnsi="Times New Roman" w:cs="Times New Roman"/>
          <w:sz w:val="24"/>
          <w:szCs w:val="24"/>
        </w:rPr>
      </w:pPr>
      <w:r w:rsidRPr="00E11754">
        <w:rPr>
          <w:rFonts w:ascii="Times New Roman" w:eastAsia="Times New Roman" w:hAnsi="Times New Roman" w:cs="Times New Roman"/>
          <w:color w:val="222222"/>
          <w:sz w:val="24"/>
          <w:szCs w:val="24"/>
        </w:rPr>
        <w:tab/>
      </w:r>
      <w:r w:rsidR="424734AD" w:rsidRPr="00E11754">
        <w:rPr>
          <w:rFonts w:ascii="Times New Roman" w:eastAsia="Times New Roman" w:hAnsi="Times New Roman" w:cs="Times New Roman"/>
          <w:color w:val="222222"/>
          <w:sz w:val="24"/>
          <w:szCs w:val="24"/>
        </w:rPr>
        <w:t>Jak wspomniano powyżej, w</w:t>
      </w:r>
      <w:r w:rsidR="13A8E3F4" w:rsidRPr="00E11754">
        <w:rPr>
          <w:rFonts w:ascii="Times New Roman" w:eastAsia="Times New Roman" w:hAnsi="Times New Roman" w:cs="Times New Roman"/>
          <w:color w:val="222222"/>
          <w:sz w:val="24"/>
          <w:szCs w:val="24"/>
        </w:rPr>
        <w:t>arunki analizy chromatograficznej techniką LC-</w:t>
      </w:r>
      <w:r w:rsidR="424734AD" w:rsidRPr="00E11754">
        <w:rPr>
          <w:rFonts w:ascii="Times New Roman" w:eastAsia="Times New Roman" w:hAnsi="Times New Roman" w:cs="Times New Roman"/>
          <w:color w:val="222222"/>
          <w:sz w:val="24"/>
          <w:szCs w:val="24"/>
        </w:rPr>
        <w:t xml:space="preserve">FL zamieszczone w publikacji 1 </w:t>
      </w:r>
      <w:r w:rsidR="13A8E3F4" w:rsidRPr="00E11754">
        <w:rPr>
          <w:rFonts w:ascii="Times New Roman" w:eastAsia="Times New Roman" w:hAnsi="Times New Roman" w:cs="Times New Roman"/>
          <w:color w:val="222222"/>
          <w:sz w:val="24"/>
          <w:szCs w:val="24"/>
        </w:rPr>
        <w:t>były</w:t>
      </w:r>
      <w:r w:rsidR="424734AD" w:rsidRPr="00E11754">
        <w:rPr>
          <w:rFonts w:ascii="Times New Roman" w:eastAsia="Times New Roman" w:hAnsi="Times New Roman" w:cs="Times New Roman"/>
          <w:color w:val="222222"/>
          <w:sz w:val="24"/>
          <w:szCs w:val="24"/>
        </w:rPr>
        <w:t xml:space="preserve"> adoptowane do</w:t>
      </w:r>
      <w:r w:rsidR="13A8E3F4" w:rsidRPr="00E1175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 xml:space="preserve">oznaczeń </w:t>
      </w:r>
      <w:proofErr w:type="spellStart"/>
      <w:r w:rsidR="424734AD" w:rsidRPr="00E11754">
        <w:rPr>
          <w:rFonts w:ascii="Times New Roman" w:eastAsia="Times New Roman" w:hAnsi="Times New Roman" w:cs="Times New Roman"/>
          <w:color w:val="222222"/>
          <w:sz w:val="24"/>
          <w:szCs w:val="24"/>
        </w:rPr>
        <w:t>doksorubicyny</w:t>
      </w:r>
      <w:proofErr w:type="spellEnd"/>
      <w:r w:rsidR="424734AD" w:rsidRPr="00E11754">
        <w:rPr>
          <w:rFonts w:ascii="Times New Roman" w:eastAsia="Times New Roman" w:hAnsi="Times New Roman" w:cs="Times New Roman"/>
          <w:color w:val="222222"/>
          <w:sz w:val="24"/>
          <w:szCs w:val="24"/>
        </w:rPr>
        <w:t xml:space="preserve"> </w:t>
      </w:r>
      <w:r w:rsidR="13A8E3F4" w:rsidRPr="00E11754">
        <w:rPr>
          <w:rFonts w:ascii="Times New Roman" w:eastAsia="Times New Roman" w:hAnsi="Times New Roman" w:cs="Times New Roman"/>
          <w:color w:val="222222"/>
          <w:sz w:val="24"/>
          <w:szCs w:val="24"/>
        </w:rPr>
        <w:t xml:space="preserve"> w</w:t>
      </w:r>
      <w:r w:rsidR="424734AD" w:rsidRPr="00E11754">
        <w:rPr>
          <w:rFonts w:ascii="Times New Roman" w:eastAsia="Times New Roman" w:hAnsi="Times New Roman" w:cs="Times New Roman"/>
          <w:color w:val="222222"/>
          <w:sz w:val="24"/>
          <w:szCs w:val="24"/>
        </w:rPr>
        <w:t xml:space="preserve"> tkankach szczurzych.</w:t>
      </w:r>
      <w:r w:rsidR="13A8E3F4" w:rsidRPr="00E1175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 xml:space="preserve">Zatem, próbki zawierające </w:t>
      </w:r>
      <w:proofErr w:type="spellStart"/>
      <w:r w:rsidR="424734AD" w:rsidRPr="00E11754">
        <w:rPr>
          <w:rFonts w:ascii="Times New Roman" w:eastAsia="Times New Roman" w:hAnsi="Times New Roman" w:cs="Times New Roman"/>
          <w:color w:val="222222"/>
          <w:sz w:val="24"/>
          <w:szCs w:val="24"/>
        </w:rPr>
        <w:t>doksorubicynę</w:t>
      </w:r>
      <w:proofErr w:type="spellEnd"/>
      <w:r w:rsidR="424734AD" w:rsidRPr="00E11754">
        <w:rPr>
          <w:rFonts w:ascii="Times New Roman" w:eastAsia="Times New Roman" w:hAnsi="Times New Roman" w:cs="Times New Roman"/>
          <w:color w:val="222222"/>
          <w:sz w:val="24"/>
          <w:szCs w:val="24"/>
        </w:rPr>
        <w:t xml:space="preserve"> i </w:t>
      </w:r>
      <w:proofErr w:type="spellStart"/>
      <w:r w:rsidR="424734AD" w:rsidRPr="00E11754">
        <w:rPr>
          <w:rFonts w:ascii="Times New Roman" w:eastAsia="Times New Roman" w:hAnsi="Times New Roman" w:cs="Times New Roman"/>
          <w:color w:val="222222"/>
          <w:sz w:val="24"/>
          <w:szCs w:val="24"/>
        </w:rPr>
        <w:t>daunorubicynę</w:t>
      </w:r>
      <w:proofErr w:type="spellEnd"/>
      <w:r w:rsidR="424734AD" w:rsidRPr="00E11754">
        <w:rPr>
          <w:rFonts w:ascii="Times New Roman" w:eastAsia="Times New Roman" w:hAnsi="Times New Roman" w:cs="Times New Roman"/>
          <w:color w:val="222222"/>
          <w:sz w:val="24"/>
          <w:szCs w:val="24"/>
        </w:rPr>
        <w:t xml:space="preserve"> użytą jako IS rozdzielano</w:t>
      </w:r>
      <w:r w:rsidR="13A8E3F4" w:rsidRPr="00E11754">
        <w:rPr>
          <w:rFonts w:ascii="Times New Roman" w:eastAsia="Times New Roman" w:hAnsi="Times New Roman" w:cs="Times New Roman"/>
          <w:color w:val="222222"/>
          <w:sz w:val="24"/>
          <w:szCs w:val="24"/>
        </w:rPr>
        <w:t xml:space="preserve"> na kolumnie Discovery HS C18 (150 x 4,6 mm, 5 µm) w temperaturze 30 </w:t>
      </w:r>
      <w:proofErr w:type="spellStart"/>
      <w:r w:rsidR="13A8E3F4" w:rsidRPr="00E11754">
        <w:rPr>
          <w:rFonts w:ascii="Times New Roman" w:eastAsia="Times New Roman" w:hAnsi="Times New Roman" w:cs="Times New Roman"/>
          <w:color w:val="222222"/>
          <w:sz w:val="24"/>
          <w:szCs w:val="24"/>
          <w:vertAlign w:val="superscript"/>
        </w:rPr>
        <w:t>o</w:t>
      </w:r>
      <w:r w:rsidR="13A8E3F4" w:rsidRPr="00E11754">
        <w:rPr>
          <w:rFonts w:ascii="Times New Roman" w:eastAsia="Times New Roman" w:hAnsi="Times New Roman" w:cs="Times New Roman"/>
          <w:color w:val="222222"/>
          <w:sz w:val="24"/>
          <w:szCs w:val="24"/>
        </w:rPr>
        <w:t>C.</w:t>
      </w:r>
      <w:proofErr w:type="spellEnd"/>
      <w:r w:rsidR="13A8E3F4" w:rsidRPr="00E11754">
        <w:rPr>
          <w:rFonts w:ascii="Times New Roman" w:eastAsia="Times New Roman" w:hAnsi="Times New Roman" w:cs="Times New Roman"/>
          <w:color w:val="222222"/>
          <w:sz w:val="24"/>
          <w:szCs w:val="24"/>
        </w:rPr>
        <w:t xml:space="preserve"> Faza ruchoma składała się z ACN i 0,1 % </w:t>
      </w:r>
      <w:r w:rsidR="424734AD" w:rsidRPr="00E11754">
        <w:rPr>
          <w:rFonts w:ascii="Times New Roman" w:eastAsia="Times New Roman" w:hAnsi="Times New Roman" w:cs="Times New Roman"/>
          <w:color w:val="222222"/>
          <w:sz w:val="24"/>
          <w:szCs w:val="24"/>
        </w:rPr>
        <w:t>kwasu mrówkowego w</w:t>
      </w:r>
      <w:r w:rsidR="13A8E3F4" w:rsidRPr="00E11754">
        <w:rPr>
          <w:rFonts w:ascii="Times New Roman" w:eastAsia="Times New Roman" w:hAnsi="Times New Roman" w:cs="Times New Roman"/>
          <w:color w:val="222222"/>
          <w:sz w:val="24"/>
          <w:szCs w:val="24"/>
        </w:rPr>
        <w:t xml:space="preserve"> wodzie</w:t>
      </w:r>
      <w:r w:rsidR="424734AD" w:rsidRPr="00E11754">
        <w:rPr>
          <w:rFonts w:ascii="Times New Roman" w:eastAsia="Times New Roman" w:hAnsi="Times New Roman" w:cs="Times New Roman"/>
          <w:color w:val="222222"/>
          <w:sz w:val="24"/>
          <w:szCs w:val="24"/>
        </w:rPr>
        <w:t xml:space="preserve">, przy czym zmieniono proporcje jej składników na </w:t>
      </w:r>
      <w:r w:rsidR="13A8E3F4" w:rsidRPr="00E11754">
        <w:rPr>
          <w:rFonts w:ascii="Times New Roman" w:eastAsia="Times New Roman" w:hAnsi="Times New Roman" w:cs="Times New Roman"/>
          <w:color w:val="222222"/>
          <w:sz w:val="24"/>
          <w:szCs w:val="24"/>
        </w:rPr>
        <w:t>28:72, (</w:t>
      </w:r>
      <w:r w:rsidR="13A8E3F4" w:rsidRPr="00E11754">
        <w:rPr>
          <w:rFonts w:ascii="Times New Roman" w:eastAsia="Times New Roman" w:hAnsi="Times New Roman" w:cs="Times New Roman"/>
          <w:i/>
          <w:iCs/>
          <w:color w:val="222222"/>
          <w:sz w:val="24"/>
          <w:szCs w:val="24"/>
        </w:rPr>
        <w:t>v</w:t>
      </w:r>
      <w:r w:rsidR="13A8E3F4" w:rsidRPr="00E11754">
        <w:rPr>
          <w:rFonts w:ascii="Times New Roman" w:eastAsia="Times New Roman" w:hAnsi="Times New Roman" w:cs="Times New Roman"/>
          <w:color w:val="222222"/>
          <w:sz w:val="24"/>
          <w:szCs w:val="24"/>
        </w:rPr>
        <w:t>/</w:t>
      </w:r>
      <w:r w:rsidR="13A8E3F4" w:rsidRPr="00E11754">
        <w:rPr>
          <w:rFonts w:ascii="Times New Roman" w:eastAsia="Times New Roman" w:hAnsi="Times New Roman" w:cs="Times New Roman"/>
          <w:i/>
          <w:iCs/>
          <w:color w:val="222222"/>
          <w:sz w:val="24"/>
          <w:szCs w:val="24"/>
        </w:rPr>
        <w:t>v</w:t>
      </w:r>
      <w:r w:rsidR="13A8E3F4" w:rsidRPr="00E11754">
        <w:rPr>
          <w:rFonts w:ascii="Times New Roman" w:eastAsia="Times New Roman" w:hAnsi="Times New Roman" w:cs="Times New Roman"/>
          <w:color w:val="222222"/>
          <w:sz w:val="24"/>
          <w:szCs w:val="24"/>
        </w:rPr>
        <w:t>),</w:t>
      </w:r>
      <w:r w:rsidR="424734AD" w:rsidRPr="00E11754">
        <w:rPr>
          <w:rFonts w:ascii="Times New Roman" w:eastAsia="Times New Roman" w:hAnsi="Times New Roman" w:cs="Times New Roman"/>
          <w:color w:val="222222"/>
          <w:sz w:val="24"/>
          <w:szCs w:val="24"/>
        </w:rPr>
        <w:t xml:space="preserve"> zachowując przepływ fazy ruchomej na poziomie </w:t>
      </w:r>
      <w:r w:rsidR="13A8E3F4" w:rsidRPr="00E11754">
        <w:rPr>
          <w:rFonts w:ascii="Times New Roman" w:eastAsia="Times New Roman" w:hAnsi="Times New Roman" w:cs="Times New Roman"/>
          <w:color w:val="222222"/>
          <w:sz w:val="24"/>
          <w:szCs w:val="24"/>
        </w:rPr>
        <w:t xml:space="preserve">1 ml/min. </w:t>
      </w:r>
      <w:r w:rsidR="424734AD" w:rsidRPr="00E11754">
        <w:rPr>
          <w:rFonts w:ascii="Times New Roman" w:eastAsia="Times New Roman" w:hAnsi="Times New Roman" w:cs="Times New Roman"/>
          <w:color w:val="222222"/>
          <w:sz w:val="24"/>
          <w:szCs w:val="24"/>
        </w:rPr>
        <w:t xml:space="preserve">Objętość </w:t>
      </w:r>
      <w:proofErr w:type="spellStart"/>
      <w:r w:rsidR="424734AD" w:rsidRPr="00E11754">
        <w:rPr>
          <w:rFonts w:ascii="Times New Roman" w:eastAsia="Times New Roman" w:hAnsi="Times New Roman" w:cs="Times New Roman"/>
          <w:color w:val="222222"/>
          <w:sz w:val="24"/>
          <w:szCs w:val="24"/>
        </w:rPr>
        <w:t>nastrzyku</w:t>
      </w:r>
      <w:proofErr w:type="spellEnd"/>
      <w:r w:rsidR="424734AD" w:rsidRPr="00E11754">
        <w:rPr>
          <w:rFonts w:ascii="Times New Roman" w:eastAsia="Times New Roman" w:hAnsi="Times New Roman" w:cs="Times New Roman"/>
          <w:color w:val="222222"/>
          <w:sz w:val="24"/>
          <w:szCs w:val="24"/>
        </w:rPr>
        <w:t xml:space="preserve"> dla prób </w:t>
      </w:r>
      <w:r w:rsidR="2100169C" w:rsidRPr="00E11754">
        <w:rPr>
          <w:rFonts w:ascii="Times New Roman" w:eastAsia="Times New Roman" w:hAnsi="Times New Roman" w:cs="Times New Roman"/>
          <w:color w:val="222222"/>
          <w:sz w:val="24"/>
          <w:szCs w:val="24"/>
        </w:rPr>
        <w:t>≤ 1 µg/g wynosiła</w:t>
      </w:r>
      <w:r w:rsidR="00BC3489" w:rsidRPr="00E11754">
        <w:rPr>
          <w:rFonts w:ascii="Times New Roman" w:eastAsia="Times New Roman" w:hAnsi="Times New Roman" w:cs="Times New Roman"/>
          <w:color w:val="222222"/>
          <w:sz w:val="24"/>
          <w:szCs w:val="24"/>
        </w:rPr>
        <w:t xml:space="preserve"> 30</w:t>
      </w:r>
      <w:r w:rsidR="00950956" w:rsidRPr="00E11754">
        <w:rPr>
          <w:rFonts w:ascii="Times New Roman" w:eastAsia="Times New Roman" w:hAnsi="Times New Roman" w:cs="Times New Roman"/>
          <w:color w:val="222222"/>
          <w:sz w:val="24"/>
          <w:szCs w:val="24"/>
        </w:rPr>
        <w:t xml:space="preserve"> µl</w:t>
      </w:r>
      <w:r w:rsidR="424734AD" w:rsidRPr="00E11754">
        <w:rPr>
          <w:rFonts w:ascii="Times New Roman" w:eastAsia="Times New Roman" w:hAnsi="Times New Roman" w:cs="Times New Roman"/>
          <w:color w:val="222222"/>
          <w:sz w:val="24"/>
          <w:szCs w:val="24"/>
        </w:rPr>
        <w:t xml:space="preserve">, podczas gdy dla prób zawierających ten cytostatyk w zakresie 1-30 µg/g było to </w:t>
      </w:r>
      <w:r w:rsidR="13267014" w:rsidRPr="00E11754">
        <w:rPr>
          <w:rFonts w:ascii="Times New Roman" w:eastAsia="Times New Roman" w:hAnsi="Times New Roman" w:cs="Times New Roman"/>
          <w:color w:val="222222"/>
          <w:sz w:val="24"/>
          <w:szCs w:val="24"/>
        </w:rPr>
        <w:t>5 µl. B</w:t>
      </w:r>
      <w:r w:rsidR="13A8E3F4" w:rsidRPr="00E11754">
        <w:rPr>
          <w:rFonts w:ascii="Times New Roman" w:eastAsia="Times New Roman" w:hAnsi="Times New Roman" w:cs="Times New Roman"/>
          <w:sz w:val="24"/>
          <w:szCs w:val="24"/>
        </w:rPr>
        <w:t xml:space="preserve">adane </w:t>
      </w:r>
      <w:proofErr w:type="spellStart"/>
      <w:r w:rsidR="13A8E3F4" w:rsidRPr="00E11754">
        <w:rPr>
          <w:rFonts w:ascii="Times New Roman" w:eastAsia="Times New Roman" w:hAnsi="Times New Roman" w:cs="Times New Roman"/>
          <w:sz w:val="24"/>
          <w:szCs w:val="24"/>
        </w:rPr>
        <w:t>anality</w:t>
      </w:r>
      <w:proofErr w:type="spellEnd"/>
      <w:r w:rsidR="13A8E3F4" w:rsidRPr="00E11754">
        <w:rPr>
          <w:rFonts w:ascii="Times New Roman" w:eastAsia="Times New Roman" w:hAnsi="Times New Roman" w:cs="Times New Roman"/>
          <w:sz w:val="24"/>
          <w:szCs w:val="24"/>
        </w:rPr>
        <w:t xml:space="preserve"> monitorowano przy długościach fali wzbudzenia </w:t>
      </w:r>
      <w:r w:rsidR="13A8E3F4" w:rsidRPr="00E11754">
        <w:rPr>
          <w:rFonts w:ascii="Times New Roman" w:eastAsia="Times New Roman" w:hAnsi="Times New Roman" w:cs="Times New Roman"/>
          <w:color w:val="040C28"/>
          <w:sz w:val="24"/>
          <w:szCs w:val="24"/>
          <w:lang w:val="en-GB"/>
        </w:rPr>
        <w:t>λ</w:t>
      </w:r>
      <w:r w:rsidR="13A8E3F4" w:rsidRPr="00E11754">
        <w:rPr>
          <w:rFonts w:ascii="Times New Roman" w:eastAsia="Times New Roman" w:hAnsi="Times New Roman" w:cs="Times New Roman"/>
          <w:sz w:val="24"/>
          <w:szCs w:val="24"/>
        </w:rPr>
        <w:t xml:space="preserve"> = 487 </w:t>
      </w:r>
      <w:proofErr w:type="spellStart"/>
      <w:r w:rsidR="13A8E3F4" w:rsidRPr="00E11754">
        <w:rPr>
          <w:rFonts w:ascii="Times New Roman" w:eastAsia="Times New Roman" w:hAnsi="Times New Roman" w:cs="Times New Roman"/>
          <w:sz w:val="24"/>
          <w:szCs w:val="24"/>
        </w:rPr>
        <w:t>nm</w:t>
      </w:r>
      <w:proofErr w:type="spellEnd"/>
      <w:r w:rsidR="13A8E3F4" w:rsidRPr="00E11754">
        <w:rPr>
          <w:rFonts w:ascii="Times New Roman" w:eastAsia="Times New Roman" w:hAnsi="Times New Roman" w:cs="Times New Roman"/>
          <w:sz w:val="24"/>
          <w:szCs w:val="24"/>
        </w:rPr>
        <w:t xml:space="preserve"> oraz fali emisji </w:t>
      </w:r>
      <w:r w:rsidR="13A8E3F4" w:rsidRPr="00E11754">
        <w:rPr>
          <w:rFonts w:ascii="Times New Roman" w:eastAsia="Times New Roman" w:hAnsi="Times New Roman" w:cs="Times New Roman"/>
          <w:color w:val="040C28"/>
          <w:sz w:val="24"/>
          <w:szCs w:val="24"/>
          <w:lang w:val="en-GB"/>
        </w:rPr>
        <w:t>λ</w:t>
      </w:r>
      <w:r w:rsidR="13A8E3F4" w:rsidRPr="00E11754">
        <w:rPr>
          <w:rFonts w:ascii="Times New Roman" w:eastAsia="Times New Roman" w:hAnsi="Times New Roman" w:cs="Times New Roman"/>
          <w:sz w:val="24"/>
          <w:szCs w:val="24"/>
        </w:rPr>
        <w:t xml:space="preserve"> = 555 nm. </w:t>
      </w:r>
    </w:p>
    <w:p w14:paraId="73B21E3E" w14:textId="58748FD8" w:rsidR="006C6CAA" w:rsidRPr="00E11754" w:rsidRDefault="02602357" w:rsidP="2506C974">
      <w:pPr>
        <w:spacing w:after="0" w:line="360" w:lineRule="auto"/>
        <w:jc w:val="both"/>
        <w:rPr>
          <w:rFonts w:ascii="Times New Roman" w:eastAsia="Times New Roman" w:hAnsi="Times New Roman" w:cs="Times New Roman"/>
          <w:color w:val="222222"/>
          <w:sz w:val="24"/>
          <w:szCs w:val="24"/>
        </w:rPr>
      </w:pPr>
      <w:r w:rsidRPr="02602357">
        <w:rPr>
          <w:rFonts w:ascii="Times New Roman" w:eastAsia="Times New Roman" w:hAnsi="Times New Roman" w:cs="Times New Roman"/>
          <w:color w:val="222222"/>
          <w:sz w:val="24"/>
          <w:szCs w:val="24"/>
        </w:rPr>
        <w:t xml:space="preserve">            Podczas etapu optymalizacji ekstrakcji </w:t>
      </w:r>
      <w:proofErr w:type="spellStart"/>
      <w:r w:rsidRPr="02602357">
        <w:rPr>
          <w:rFonts w:ascii="Times New Roman" w:eastAsia="Times New Roman" w:hAnsi="Times New Roman" w:cs="Times New Roman"/>
          <w:color w:val="222222"/>
          <w:sz w:val="24"/>
          <w:szCs w:val="24"/>
        </w:rPr>
        <w:t>doksorubicyny</w:t>
      </w:r>
      <w:proofErr w:type="spellEnd"/>
      <w:r w:rsidRPr="02602357">
        <w:rPr>
          <w:rFonts w:ascii="Times New Roman" w:eastAsia="Times New Roman" w:hAnsi="Times New Roman" w:cs="Times New Roman"/>
          <w:color w:val="222222"/>
          <w:sz w:val="24"/>
          <w:szCs w:val="24"/>
        </w:rPr>
        <w:t xml:space="preserve">  użyto różnych tkanek szczurzych tj. wątroby, nerek, żołądka, płuc, serca oraz śledziony, które pozyskano z Trójmiejskiej Akademickiej Zwierzętarni Doświadczalnej przy Gdańskim Uniwersytecie Medycznym. W każdym testowanej procedurze z zastosowaniem </w:t>
      </w:r>
      <w:proofErr w:type="spellStart"/>
      <w:r w:rsidRPr="02602357">
        <w:rPr>
          <w:rFonts w:ascii="Times New Roman" w:eastAsia="Times New Roman" w:hAnsi="Times New Roman" w:cs="Times New Roman"/>
          <w:color w:val="222222"/>
          <w:sz w:val="24"/>
          <w:szCs w:val="24"/>
        </w:rPr>
        <w:t>deproteinizacji</w:t>
      </w:r>
      <w:proofErr w:type="spellEnd"/>
      <w:r w:rsidRPr="02602357">
        <w:rPr>
          <w:rFonts w:ascii="Times New Roman" w:eastAsia="Times New Roman" w:hAnsi="Times New Roman" w:cs="Times New Roman"/>
          <w:color w:val="222222"/>
          <w:sz w:val="24"/>
          <w:szCs w:val="24"/>
        </w:rPr>
        <w:t xml:space="preserve">, LLE bądź SPE stosowano 200 mg tkanki niezależnie od rodzaju matrycy biologicznej, a izolację </w:t>
      </w:r>
      <w:proofErr w:type="spellStart"/>
      <w:r w:rsidRPr="02602357">
        <w:rPr>
          <w:rFonts w:ascii="Times New Roman" w:eastAsia="Times New Roman" w:hAnsi="Times New Roman" w:cs="Times New Roman"/>
          <w:color w:val="222222"/>
          <w:sz w:val="24"/>
          <w:szCs w:val="24"/>
        </w:rPr>
        <w:t>analitów</w:t>
      </w:r>
      <w:proofErr w:type="spellEnd"/>
      <w:r w:rsidRPr="02602357">
        <w:rPr>
          <w:rFonts w:ascii="Times New Roman" w:eastAsia="Times New Roman" w:hAnsi="Times New Roman" w:cs="Times New Roman"/>
          <w:color w:val="222222"/>
          <w:sz w:val="24"/>
          <w:szCs w:val="24"/>
        </w:rPr>
        <w:t xml:space="preserve"> rozpoczynano od homogenizacji tkanki z dodatkiem soli fizjologicznej. Spośród </w:t>
      </w:r>
      <w:r w:rsidRPr="02602357">
        <w:rPr>
          <w:rFonts w:ascii="Times New Roman" w:eastAsia="Times New Roman" w:hAnsi="Times New Roman" w:cs="Times New Roman"/>
          <w:color w:val="222222"/>
          <w:sz w:val="24"/>
          <w:szCs w:val="24"/>
        </w:rPr>
        <w:lastRenderedPageBreak/>
        <w:t xml:space="preserve">odczynników do </w:t>
      </w:r>
      <w:proofErr w:type="spellStart"/>
      <w:r w:rsidRPr="02602357">
        <w:rPr>
          <w:rFonts w:ascii="Times New Roman" w:eastAsia="Times New Roman" w:hAnsi="Times New Roman" w:cs="Times New Roman"/>
          <w:color w:val="222222"/>
          <w:sz w:val="24"/>
          <w:szCs w:val="24"/>
        </w:rPr>
        <w:t>deproteinizacji</w:t>
      </w:r>
      <w:proofErr w:type="spellEnd"/>
      <w:r w:rsidRPr="02602357">
        <w:rPr>
          <w:rFonts w:ascii="Times New Roman" w:eastAsia="Times New Roman" w:hAnsi="Times New Roman" w:cs="Times New Roman"/>
          <w:color w:val="222222"/>
          <w:sz w:val="24"/>
          <w:szCs w:val="24"/>
        </w:rPr>
        <w:t xml:space="preserve"> stosowano ACN, </w:t>
      </w:r>
      <w:proofErr w:type="spellStart"/>
      <w:r w:rsidRPr="02602357">
        <w:rPr>
          <w:rFonts w:ascii="Times New Roman" w:eastAsia="Times New Roman" w:hAnsi="Times New Roman" w:cs="Times New Roman"/>
          <w:color w:val="222222"/>
          <w:sz w:val="24"/>
          <w:szCs w:val="24"/>
        </w:rPr>
        <w:t>MeOH</w:t>
      </w:r>
      <w:proofErr w:type="spellEnd"/>
      <w:r w:rsidRPr="02602357">
        <w:rPr>
          <w:rFonts w:ascii="Times New Roman" w:eastAsia="Times New Roman" w:hAnsi="Times New Roman" w:cs="Times New Roman"/>
          <w:color w:val="222222"/>
          <w:sz w:val="24"/>
          <w:szCs w:val="24"/>
        </w:rPr>
        <w:t xml:space="preserve">, mieszaninę ACN i </w:t>
      </w:r>
      <w:proofErr w:type="spellStart"/>
      <w:r w:rsidRPr="02602357">
        <w:rPr>
          <w:rFonts w:ascii="Times New Roman" w:eastAsia="Times New Roman" w:hAnsi="Times New Roman" w:cs="Times New Roman"/>
          <w:color w:val="222222"/>
          <w:sz w:val="24"/>
          <w:szCs w:val="24"/>
        </w:rPr>
        <w:t>MeOH</w:t>
      </w:r>
      <w:proofErr w:type="spellEnd"/>
      <w:r w:rsidRPr="02602357">
        <w:rPr>
          <w:rFonts w:ascii="Times New Roman" w:eastAsia="Times New Roman" w:hAnsi="Times New Roman" w:cs="Times New Roman"/>
          <w:color w:val="222222"/>
          <w:sz w:val="24"/>
          <w:szCs w:val="24"/>
        </w:rPr>
        <w:t xml:space="preserve"> (1:1, </w:t>
      </w:r>
      <w:r w:rsidRPr="02602357">
        <w:rPr>
          <w:rFonts w:ascii="Times New Roman" w:eastAsia="Times New Roman" w:hAnsi="Times New Roman" w:cs="Times New Roman"/>
          <w:i/>
          <w:iCs/>
          <w:color w:val="222222"/>
          <w:sz w:val="24"/>
          <w:szCs w:val="24"/>
        </w:rPr>
        <w:t>v</w:t>
      </w:r>
      <w:r w:rsidRPr="02602357">
        <w:rPr>
          <w:rFonts w:ascii="Times New Roman" w:eastAsia="Times New Roman" w:hAnsi="Times New Roman" w:cs="Times New Roman"/>
          <w:color w:val="222222"/>
          <w:sz w:val="24"/>
          <w:szCs w:val="24"/>
        </w:rPr>
        <w:t>/</w:t>
      </w:r>
      <w:r w:rsidRPr="02602357">
        <w:rPr>
          <w:rFonts w:ascii="Times New Roman" w:eastAsia="Times New Roman" w:hAnsi="Times New Roman" w:cs="Times New Roman"/>
          <w:i/>
          <w:iCs/>
          <w:color w:val="222222"/>
          <w:sz w:val="24"/>
          <w:szCs w:val="24"/>
        </w:rPr>
        <w:t>v</w:t>
      </w:r>
      <w:r w:rsidRPr="02602357">
        <w:rPr>
          <w:rFonts w:ascii="Times New Roman" w:eastAsia="Times New Roman" w:hAnsi="Times New Roman" w:cs="Times New Roman"/>
          <w:color w:val="222222"/>
          <w:sz w:val="24"/>
          <w:szCs w:val="24"/>
        </w:rPr>
        <w:t xml:space="preserve">) oraz 3 % kwas </w:t>
      </w:r>
      <w:proofErr w:type="spellStart"/>
      <w:r w:rsidRPr="02602357">
        <w:rPr>
          <w:rFonts w:ascii="Times New Roman" w:eastAsia="Times New Roman" w:hAnsi="Times New Roman" w:cs="Times New Roman"/>
          <w:color w:val="222222"/>
          <w:sz w:val="24"/>
          <w:szCs w:val="24"/>
        </w:rPr>
        <w:t>trichloroctowy</w:t>
      </w:r>
      <w:proofErr w:type="spellEnd"/>
      <w:r w:rsidRPr="02602357">
        <w:rPr>
          <w:rFonts w:ascii="Times New Roman" w:eastAsia="Times New Roman" w:hAnsi="Times New Roman" w:cs="Times New Roman"/>
          <w:color w:val="222222"/>
          <w:sz w:val="24"/>
          <w:szCs w:val="24"/>
        </w:rPr>
        <w:t xml:space="preserve"> (ang. </w:t>
      </w:r>
      <w:proofErr w:type="spellStart"/>
      <w:r w:rsidRPr="02602357">
        <w:rPr>
          <w:rFonts w:ascii="Times New Roman" w:eastAsia="Times New Roman" w:hAnsi="Times New Roman" w:cs="Times New Roman"/>
          <w:i/>
          <w:iCs/>
          <w:color w:val="222222"/>
          <w:sz w:val="24"/>
          <w:szCs w:val="24"/>
        </w:rPr>
        <w:t>trichloroacetic</w:t>
      </w:r>
      <w:proofErr w:type="spellEnd"/>
      <w:r w:rsidRPr="02602357">
        <w:rPr>
          <w:rFonts w:ascii="Times New Roman" w:eastAsia="Times New Roman" w:hAnsi="Times New Roman" w:cs="Times New Roman"/>
          <w:i/>
          <w:iCs/>
          <w:color w:val="222222"/>
          <w:sz w:val="24"/>
          <w:szCs w:val="24"/>
        </w:rPr>
        <w:t xml:space="preserve"> </w:t>
      </w:r>
      <w:proofErr w:type="spellStart"/>
      <w:r w:rsidRPr="02602357">
        <w:rPr>
          <w:rFonts w:ascii="Times New Roman" w:eastAsia="Times New Roman" w:hAnsi="Times New Roman" w:cs="Times New Roman"/>
          <w:i/>
          <w:iCs/>
          <w:color w:val="222222"/>
          <w:sz w:val="24"/>
          <w:szCs w:val="24"/>
        </w:rPr>
        <w:t>acid</w:t>
      </w:r>
      <w:proofErr w:type="spellEnd"/>
      <w:r w:rsidRPr="02602357">
        <w:rPr>
          <w:rFonts w:ascii="Times New Roman" w:eastAsia="Times New Roman" w:hAnsi="Times New Roman" w:cs="Times New Roman"/>
          <w:color w:val="222222"/>
          <w:sz w:val="24"/>
          <w:szCs w:val="24"/>
        </w:rPr>
        <w:t xml:space="preserve">, TCA) w ACN. Najwyższą wydajność ekstrakcji </w:t>
      </w:r>
      <w:proofErr w:type="spellStart"/>
      <w:r w:rsidRPr="02602357">
        <w:rPr>
          <w:rFonts w:ascii="Times New Roman" w:eastAsia="Times New Roman" w:hAnsi="Times New Roman" w:cs="Times New Roman"/>
          <w:color w:val="222222"/>
          <w:sz w:val="24"/>
          <w:szCs w:val="24"/>
        </w:rPr>
        <w:t>doksorubicyny</w:t>
      </w:r>
      <w:proofErr w:type="spellEnd"/>
      <w:r w:rsidRPr="02602357">
        <w:rPr>
          <w:rFonts w:ascii="Times New Roman" w:eastAsia="Times New Roman" w:hAnsi="Times New Roman" w:cs="Times New Roman"/>
          <w:color w:val="222222"/>
          <w:sz w:val="24"/>
          <w:szCs w:val="24"/>
        </w:rPr>
        <w:t xml:space="preserve"> na poziomie 52,8 ± 4,2 % otrzymano po zastosowaniu ACN, jednakże była ona niższa niż w przypadku izolacji tego </w:t>
      </w:r>
      <w:proofErr w:type="spellStart"/>
      <w:r w:rsidRPr="02602357">
        <w:rPr>
          <w:rFonts w:ascii="Times New Roman" w:eastAsia="Times New Roman" w:hAnsi="Times New Roman" w:cs="Times New Roman"/>
          <w:color w:val="222222"/>
          <w:sz w:val="24"/>
          <w:szCs w:val="24"/>
        </w:rPr>
        <w:t>analitu</w:t>
      </w:r>
      <w:proofErr w:type="spellEnd"/>
      <w:r w:rsidRPr="02602357">
        <w:rPr>
          <w:rFonts w:ascii="Times New Roman" w:eastAsia="Times New Roman" w:hAnsi="Times New Roman" w:cs="Times New Roman"/>
          <w:color w:val="222222"/>
          <w:sz w:val="24"/>
          <w:szCs w:val="24"/>
        </w:rPr>
        <w:t xml:space="preserve"> z próbek osocza i moczu (publikacja 1).  Najmniej wydajnym procesem było użycie 3 % TCA (Tabela 1. w publikacji 4). W trakcie testowania protokołów LLE używano octanu etylu, DCHM oraz mieszaniny </w:t>
      </w:r>
      <w:proofErr w:type="spellStart"/>
      <w:r w:rsidRPr="02602357">
        <w:rPr>
          <w:rFonts w:ascii="Times New Roman" w:eastAsia="Times New Roman" w:hAnsi="Times New Roman" w:cs="Times New Roman"/>
          <w:color w:val="222222"/>
          <w:sz w:val="24"/>
          <w:szCs w:val="24"/>
        </w:rPr>
        <w:t>Chl</w:t>
      </w:r>
      <w:proofErr w:type="spellEnd"/>
      <w:r w:rsidRPr="02602357">
        <w:rPr>
          <w:rFonts w:ascii="Times New Roman" w:eastAsia="Times New Roman" w:hAnsi="Times New Roman" w:cs="Times New Roman"/>
          <w:color w:val="222222"/>
          <w:sz w:val="24"/>
          <w:szCs w:val="24"/>
        </w:rPr>
        <w:t xml:space="preserve"> i </w:t>
      </w:r>
      <w:proofErr w:type="spellStart"/>
      <w:r w:rsidRPr="02602357">
        <w:rPr>
          <w:rFonts w:ascii="Times New Roman" w:eastAsia="Times New Roman" w:hAnsi="Times New Roman" w:cs="Times New Roman"/>
          <w:color w:val="222222"/>
          <w:sz w:val="24"/>
          <w:szCs w:val="24"/>
        </w:rPr>
        <w:t>MeOH</w:t>
      </w:r>
      <w:proofErr w:type="spellEnd"/>
      <w:r w:rsidRPr="02602357">
        <w:rPr>
          <w:rFonts w:ascii="Times New Roman" w:eastAsia="Times New Roman" w:hAnsi="Times New Roman" w:cs="Times New Roman"/>
          <w:color w:val="222222"/>
          <w:sz w:val="24"/>
          <w:szCs w:val="24"/>
        </w:rPr>
        <w:t xml:space="preserve"> (4:1, </w:t>
      </w:r>
      <w:r w:rsidRPr="02602357">
        <w:rPr>
          <w:rFonts w:ascii="Times New Roman" w:eastAsia="Times New Roman" w:hAnsi="Times New Roman" w:cs="Times New Roman"/>
          <w:i/>
          <w:iCs/>
          <w:color w:val="222222"/>
          <w:sz w:val="24"/>
          <w:szCs w:val="24"/>
        </w:rPr>
        <w:t>v</w:t>
      </w:r>
      <w:r w:rsidRPr="02602357">
        <w:rPr>
          <w:rFonts w:ascii="Times New Roman" w:eastAsia="Times New Roman" w:hAnsi="Times New Roman" w:cs="Times New Roman"/>
          <w:color w:val="222222"/>
          <w:sz w:val="24"/>
          <w:szCs w:val="24"/>
        </w:rPr>
        <w:t>/</w:t>
      </w:r>
      <w:r w:rsidRPr="02602357">
        <w:rPr>
          <w:rFonts w:ascii="Times New Roman" w:eastAsia="Times New Roman" w:hAnsi="Times New Roman" w:cs="Times New Roman"/>
          <w:i/>
          <w:iCs/>
          <w:color w:val="222222"/>
          <w:sz w:val="24"/>
          <w:szCs w:val="24"/>
        </w:rPr>
        <w:t>v</w:t>
      </w:r>
      <w:r w:rsidRPr="02602357">
        <w:rPr>
          <w:rFonts w:ascii="Times New Roman" w:eastAsia="Times New Roman" w:hAnsi="Times New Roman" w:cs="Times New Roman"/>
          <w:color w:val="222222"/>
          <w:sz w:val="24"/>
          <w:szCs w:val="24"/>
        </w:rPr>
        <w:t xml:space="preserve">). Najmniej efektywnym odczynnikiem okazał się DCHM, dla którego wydajność izolacji </w:t>
      </w:r>
      <w:proofErr w:type="spellStart"/>
      <w:r w:rsidRPr="02602357">
        <w:rPr>
          <w:rFonts w:ascii="Times New Roman" w:eastAsia="Times New Roman" w:hAnsi="Times New Roman" w:cs="Times New Roman"/>
          <w:color w:val="222222"/>
          <w:sz w:val="24"/>
          <w:szCs w:val="24"/>
        </w:rPr>
        <w:t>doksorubicyny</w:t>
      </w:r>
      <w:proofErr w:type="spellEnd"/>
      <w:r w:rsidRPr="02602357">
        <w:rPr>
          <w:rFonts w:ascii="Times New Roman" w:eastAsia="Times New Roman" w:hAnsi="Times New Roman" w:cs="Times New Roman"/>
          <w:color w:val="222222"/>
          <w:sz w:val="24"/>
          <w:szCs w:val="24"/>
        </w:rPr>
        <w:t xml:space="preserve"> była na poziomie 2,8 ±1,0 %, podczas gdy najlepsze rezultaty odnotowano dla mieszaniny  </w:t>
      </w:r>
      <w:proofErr w:type="spellStart"/>
      <w:r w:rsidRPr="02602357">
        <w:rPr>
          <w:rFonts w:ascii="Times New Roman" w:eastAsia="Times New Roman" w:hAnsi="Times New Roman" w:cs="Times New Roman"/>
          <w:color w:val="222222"/>
          <w:sz w:val="24"/>
          <w:szCs w:val="24"/>
        </w:rPr>
        <w:t>Chl</w:t>
      </w:r>
      <w:proofErr w:type="spellEnd"/>
      <w:r w:rsidRPr="02602357">
        <w:rPr>
          <w:rFonts w:ascii="Times New Roman" w:eastAsia="Times New Roman" w:hAnsi="Times New Roman" w:cs="Times New Roman"/>
          <w:color w:val="222222"/>
          <w:sz w:val="24"/>
          <w:szCs w:val="24"/>
        </w:rPr>
        <w:t xml:space="preserve"> i </w:t>
      </w:r>
      <w:proofErr w:type="spellStart"/>
      <w:r w:rsidRPr="02602357">
        <w:rPr>
          <w:rFonts w:ascii="Times New Roman" w:eastAsia="Times New Roman" w:hAnsi="Times New Roman" w:cs="Times New Roman"/>
          <w:color w:val="222222"/>
          <w:sz w:val="24"/>
          <w:szCs w:val="24"/>
        </w:rPr>
        <w:t>MeOH</w:t>
      </w:r>
      <w:proofErr w:type="spellEnd"/>
      <w:r w:rsidRPr="02602357">
        <w:rPr>
          <w:rFonts w:ascii="Times New Roman" w:eastAsia="Times New Roman" w:hAnsi="Times New Roman" w:cs="Times New Roman"/>
          <w:color w:val="222222"/>
          <w:sz w:val="24"/>
          <w:szCs w:val="24"/>
        </w:rPr>
        <w:t xml:space="preserve"> (4:1, </w:t>
      </w:r>
      <w:r w:rsidRPr="02602357">
        <w:rPr>
          <w:rFonts w:ascii="Times New Roman" w:eastAsia="Times New Roman" w:hAnsi="Times New Roman" w:cs="Times New Roman"/>
          <w:i/>
          <w:iCs/>
          <w:color w:val="222222"/>
          <w:sz w:val="24"/>
          <w:szCs w:val="24"/>
        </w:rPr>
        <w:t>v</w:t>
      </w:r>
      <w:r w:rsidRPr="02602357">
        <w:rPr>
          <w:rFonts w:ascii="Times New Roman" w:eastAsia="Times New Roman" w:hAnsi="Times New Roman" w:cs="Times New Roman"/>
          <w:color w:val="222222"/>
          <w:sz w:val="24"/>
          <w:szCs w:val="24"/>
        </w:rPr>
        <w:t>/</w:t>
      </w:r>
      <w:r w:rsidRPr="02602357">
        <w:rPr>
          <w:rFonts w:ascii="Times New Roman" w:eastAsia="Times New Roman" w:hAnsi="Times New Roman" w:cs="Times New Roman"/>
          <w:i/>
          <w:iCs/>
          <w:color w:val="222222"/>
          <w:sz w:val="24"/>
          <w:szCs w:val="24"/>
        </w:rPr>
        <w:t>v</w:t>
      </w:r>
      <w:r w:rsidRPr="02602357">
        <w:rPr>
          <w:rFonts w:ascii="Times New Roman" w:eastAsia="Times New Roman" w:hAnsi="Times New Roman" w:cs="Times New Roman"/>
          <w:color w:val="222222"/>
          <w:sz w:val="24"/>
          <w:szCs w:val="24"/>
        </w:rPr>
        <w:t xml:space="preserve">). Jednakże, powyższe procedury nie zapewniały wysokiego oczyszczenia matrycy próbki, co znacząco utrudniało wykazanie selektywności metody. W związku z tym podjęto badania związane ze sprawdzeniem efektywności ekstrakcji SPE bazującej na trzech rodzajach złoża HLB (30 mg), SOLA HRP (10 mg), C18 (40 mg).  W każdym przypadku, zastosowano sól fizjologiczną do homogenizacji tkanki oraz wodę i </w:t>
      </w:r>
      <w:proofErr w:type="spellStart"/>
      <w:r w:rsidRPr="02602357">
        <w:rPr>
          <w:rFonts w:ascii="Times New Roman" w:eastAsia="Times New Roman" w:hAnsi="Times New Roman" w:cs="Times New Roman"/>
          <w:color w:val="222222"/>
          <w:sz w:val="24"/>
          <w:szCs w:val="24"/>
        </w:rPr>
        <w:t>MeOH</w:t>
      </w:r>
      <w:proofErr w:type="spellEnd"/>
      <w:r w:rsidRPr="02602357">
        <w:rPr>
          <w:rFonts w:ascii="Times New Roman" w:eastAsia="Times New Roman" w:hAnsi="Times New Roman" w:cs="Times New Roman"/>
          <w:color w:val="222222"/>
          <w:sz w:val="24"/>
          <w:szCs w:val="24"/>
        </w:rPr>
        <w:t xml:space="preserve"> odpowiednio jako odczynniki do przemywania złoża SPE i </w:t>
      </w:r>
      <w:proofErr w:type="spellStart"/>
      <w:r w:rsidRPr="02602357">
        <w:rPr>
          <w:rFonts w:ascii="Times New Roman" w:eastAsia="Times New Roman" w:hAnsi="Times New Roman" w:cs="Times New Roman"/>
          <w:color w:val="222222"/>
          <w:sz w:val="24"/>
          <w:szCs w:val="24"/>
        </w:rPr>
        <w:t>elucji</w:t>
      </w:r>
      <w:proofErr w:type="spellEnd"/>
      <w:r w:rsidRPr="02602357">
        <w:rPr>
          <w:rFonts w:ascii="Times New Roman" w:eastAsia="Times New Roman" w:hAnsi="Times New Roman" w:cs="Times New Roman"/>
          <w:color w:val="222222"/>
          <w:sz w:val="24"/>
          <w:szCs w:val="24"/>
        </w:rPr>
        <w:t xml:space="preserve"> </w:t>
      </w:r>
      <w:proofErr w:type="spellStart"/>
      <w:r w:rsidRPr="02602357">
        <w:rPr>
          <w:rFonts w:ascii="Times New Roman" w:eastAsia="Times New Roman" w:hAnsi="Times New Roman" w:cs="Times New Roman"/>
          <w:color w:val="222222"/>
          <w:sz w:val="24"/>
          <w:szCs w:val="24"/>
        </w:rPr>
        <w:t>analitów</w:t>
      </w:r>
      <w:proofErr w:type="spellEnd"/>
      <w:r w:rsidRPr="02602357">
        <w:rPr>
          <w:rFonts w:ascii="Times New Roman" w:eastAsia="Times New Roman" w:hAnsi="Times New Roman" w:cs="Times New Roman"/>
          <w:color w:val="222222"/>
          <w:sz w:val="24"/>
          <w:szCs w:val="24"/>
        </w:rPr>
        <w:t xml:space="preserve">. Na podstawie uzyskanych wyników udowodniono, że najmniej wydajnym procesem było użycie złoża HRP SOLO, a najbardziej efektywnym zastosowanie złoża HLB (Tabela 1. w publikacji 4), które to jak dotąd nie stosowano do izolacji tego </w:t>
      </w:r>
      <w:proofErr w:type="spellStart"/>
      <w:r w:rsidRPr="02602357">
        <w:rPr>
          <w:rFonts w:ascii="Times New Roman" w:eastAsia="Times New Roman" w:hAnsi="Times New Roman" w:cs="Times New Roman"/>
          <w:color w:val="222222"/>
          <w:sz w:val="24"/>
          <w:szCs w:val="24"/>
        </w:rPr>
        <w:t>cytostatyku</w:t>
      </w:r>
      <w:proofErr w:type="spellEnd"/>
      <w:r w:rsidRPr="02602357">
        <w:rPr>
          <w:rFonts w:ascii="Times New Roman" w:eastAsia="Times New Roman" w:hAnsi="Times New Roman" w:cs="Times New Roman"/>
          <w:color w:val="222222"/>
          <w:sz w:val="24"/>
          <w:szCs w:val="24"/>
        </w:rPr>
        <w:t xml:space="preserve">  z tkanek zwierzęcych. Dalsze etapy optymalizacji procedury przygotowania prób dotyczyły doboru odczynnika do modyfikacji matrycy próbki przed SPE (0,9% NaCl, 0,9% </w:t>
      </w:r>
      <w:proofErr w:type="spellStart"/>
      <w:r w:rsidRPr="02602357">
        <w:rPr>
          <w:rFonts w:ascii="Times New Roman" w:eastAsia="Times New Roman" w:hAnsi="Times New Roman" w:cs="Times New Roman"/>
          <w:color w:val="222222"/>
          <w:sz w:val="24"/>
          <w:szCs w:val="24"/>
        </w:rPr>
        <w:t>NaCl:ACN</w:t>
      </w:r>
      <w:proofErr w:type="spellEnd"/>
      <w:r w:rsidRPr="02602357">
        <w:rPr>
          <w:rFonts w:ascii="Times New Roman" w:eastAsia="Times New Roman" w:hAnsi="Times New Roman" w:cs="Times New Roman"/>
          <w:color w:val="222222"/>
          <w:sz w:val="24"/>
          <w:szCs w:val="24"/>
        </w:rPr>
        <w:t xml:space="preserve"> (9:1, </w:t>
      </w:r>
      <w:r w:rsidRPr="02602357">
        <w:rPr>
          <w:rFonts w:ascii="Times New Roman" w:eastAsia="Times New Roman" w:hAnsi="Times New Roman" w:cs="Times New Roman"/>
          <w:i/>
          <w:iCs/>
          <w:color w:val="222222"/>
          <w:sz w:val="24"/>
          <w:szCs w:val="24"/>
        </w:rPr>
        <w:t>v/v</w:t>
      </w:r>
      <w:r w:rsidRPr="02602357">
        <w:rPr>
          <w:rFonts w:ascii="Times New Roman" w:eastAsia="Times New Roman" w:hAnsi="Times New Roman" w:cs="Times New Roman"/>
          <w:color w:val="222222"/>
          <w:sz w:val="24"/>
          <w:szCs w:val="24"/>
        </w:rPr>
        <w:t xml:space="preserve">), 0,05 M HCl, 0,1 M HCl, 0,1 M </w:t>
      </w:r>
      <w:proofErr w:type="spellStart"/>
      <w:r w:rsidRPr="02602357">
        <w:rPr>
          <w:rFonts w:ascii="Times New Roman" w:eastAsia="Times New Roman" w:hAnsi="Times New Roman" w:cs="Times New Roman"/>
          <w:color w:val="222222"/>
          <w:sz w:val="24"/>
          <w:szCs w:val="24"/>
        </w:rPr>
        <w:t>HCl:ACN</w:t>
      </w:r>
      <w:proofErr w:type="spellEnd"/>
      <w:r w:rsidRPr="02602357">
        <w:rPr>
          <w:rFonts w:ascii="Times New Roman" w:eastAsia="Times New Roman" w:hAnsi="Times New Roman" w:cs="Times New Roman"/>
          <w:color w:val="222222"/>
          <w:sz w:val="24"/>
          <w:szCs w:val="24"/>
        </w:rPr>
        <w:t xml:space="preserve"> (9:1, </w:t>
      </w:r>
      <w:r w:rsidRPr="02602357">
        <w:rPr>
          <w:rFonts w:ascii="Times New Roman" w:eastAsia="Times New Roman" w:hAnsi="Times New Roman" w:cs="Times New Roman"/>
          <w:i/>
          <w:iCs/>
          <w:color w:val="222222"/>
          <w:sz w:val="24"/>
          <w:szCs w:val="24"/>
        </w:rPr>
        <w:t>v/v</w:t>
      </w:r>
      <w:r w:rsidRPr="02602357">
        <w:rPr>
          <w:rFonts w:ascii="Times New Roman" w:eastAsia="Times New Roman" w:hAnsi="Times New Roman" w:cs="Times New Roman"/>
          <w:color w:val="222222"/>
          <w:sz w:val="24"/>
          <w:szCs w:val="24"/>
        </w:rPr>
        <w:t>), 0,2 M HCl, 0,1 M H</w:t>
      </w:r>
      <w:r w:rsidRPr="02602357">
        <w:rPr>
          <w:rFonts w:ascii="Times New Roman" w:eastAsia="Times New Roman" w:hAnsi="Times New Roman" w:cs="Times New Roman"/>
          <w:color w:val="222222"/>
          <w:sz w:val="24"/>
          <w:szCs w:val="24"/>
          <w:vertAlign w:val="subscript"/>
        </w:rPr>
        <w:t>3</w:t>
      </w:r>
      <w:r w:rsidRPr="02602357">
        <w:rPr>
          <w:rFonts w:ascii="Times New Roman" w:eastAsia="Times New Roman" w:hAnsi="Times New Roman" w:cs="Times New Roman"/>
          <w:color w:val="222222"/>
          <w:sz w:val="24"/>
          <w:szCs w:val="24"/>
        </w:rPr>
        <w:t>PO</w:t>
      </w:r>
      <w:r w:rsidRPr="02602357">
        <w:rPr>
          <w:rFonts w:ascii="Times New Roman" w:eastAsia="Times New Roman" w:hAnsi="Times New Roman" w:cs="Times New Roman"/>
          <w:color w:val="222222"/>
          <w:sz w:val="24"/>
          <w:szCs w:val="24"/>
          <w:vertAlign w:val="subscript"/>
        </w:rPr>
        <w:t>4</w:t>
      </w:r>
      <w:r w:rsidRPr="02602357">
        <w:rPr>
          <w:rFonts w:ascii="Times New Roman" w:eastAsia="Times New Roman" w:hAnsi="Times New Roman" w:cs="Times New Roman"/>
          <w:color w:val="222222"/>
          <w:sz w:val="24"/>
          <w:szCs w:val="24"/>
        </w:rPr>
        <w:t>), odczynników do przemywania złoża (H</w:t>
      </w:r>
      <w:r w:rsidRPr="02602357">
        <w:rPr>
          <w:rFonts w:ascii="Times New Roman" w:eastAsia="Times New Roman" w:hAnsi="Times New Roman" w:cs="Times New Roman"/>
          <w:color w:val="222222"/>
          <w:sz w:val="24"/>
          <w:szCs w:val="24"/>
          <w:vertAlign w:val="subscript"/>
        </w:rPr>
        <w:t>2</w:t>
      </w:r>
      <w:r w:rsidRPr="02602357">
        <w:rPr>
          <w:rFonts w:ascii="Times New Roman" w:eastAsia="Times New Roman" w:hAnsi="Times New Roman" w:cs="Times New Roman"/>
          <w:color w:val="222222"/>
          <w:sz w:val="24"/>
          <w:szCs w:val="24"/>
        </w:rPr>
        <w:t>O, ACN:H</w:t>
      </w:r>
      <w:r w:rsidRPr="02602357">
        <w:rPr>
          <w:rFonts w:ascii="Times New Roman" w:eastAsia="Times New Roman" w:hAnsi="Times New Roman" w:cs="Times New Roman"/>
          <w:color w:val="222222"/>
          <w:sz w:val="24"/>
          <w:szCs w:val="24"/>
          <w:vertAlign w:val="subscript"/>
        </w:rPr>
        <w:t>2</w:t>
      </w:r>
      <w:r w:rsidRPr="02602357">
        <w:rPr>
          <w:rFonts w:ascii="Times New Roman" w:eastAsia="Times New Roman" w:hAnsi="Times New Roman" w:cs="Times New Roman"/>
          <w:color w:val="222222"/>
          <w:sz w:val="24"/>
          <w:szCs w:val="24"/>
        </w:rPr>
        <w:t xml:space="preserve">O (1:9, </w:t>
      </w:r>
      <w:r w:rsidRPr="02602357">
        <w:rPr>
          <w:rFonts w:ascii="Times New Roman" w:eastAsia="Times New Roman" w:hAnsi="Times New Roman" w:cs="Times New Roman"/>
          <w:i/>
          <w:iCs/>
          <w:color w:val="222222"/>
          <w:sz w:val="24"/>
          <w:szCs w:val="24"/>
        </w:rPr>
        <w:t>v/v</w:t>
      </w:r>
      <w:r w:rsidRPr="02602357">
        <w:rPr>
          <w:rFonts w:ascii="Times New Roman" w:eastAsia="Times New Roman" w:hAnsi="Times New Roman" w:cs="Times New Roman"/>
          <w:color w:val="222222"/>
          <w:sz w:val="24"/>
          <w:szCs w:val="24"/>
        </w:rPr>
        <w:t>), MeOH:H</w:t>
      </w:r>
      <w:r w:rsidRPr="02602357">
        <w:rPr>
          <w:rFonts w:ascii="Times New Roman" w:eastAsia="Times New Roman" w:hAnsi="Times New Roman" w:cs="Times New Roman"/>
          <w:color w:val="222222"/>
          <w:sz w:val="24"/>
          <w:szCs w:val="24"/>
          <w:vertAlign w:val="subscript"/>
        </w:rPr>
        <w:t>2</w:t>
      </w:r>
      <w:r w:rsidRPr="02602357">
        <w:rPr>
          <w:rFonts w:ascii="Times New Roman" w:eastAsia="Times New Roman" w:hAnsi="Times New Roman" w:cs="Times New Roman"/>
          <w:color w:val="222222"/>
          <w:sz w:val="24"/>
          <w:szCs w:val="24"/>
        </w:rPr>
        <w:t xml:space="preserve">O (1:9, </w:t>
      </w:r>
      <w:r w:rsidRPr="02602357">
        <w:rPr>
          <w:rFonts w:ascii="Times New Roman" w:eastAsia="Times New Roman" w:hAnsi="Times New Roman" w:cs="Times New Roman"/>
          <w:i/>
          <w:iCs/>
          <w:color w:val="222222"/>
          <w:sz w:val="24"/>
          <w:szCs w:val="24"/>
        </w:rPr>
        <w:t>v/v</w:t>
      </w:r>
      <w:r w:rsidRPr="02602357">
        <w:rPr>
          <w:rFonts w:ascii="Times New Roman" w:eastAsia="Times New Roman" w:hAnsi="Times New Roman" w:cs="Times New Roman"/>
          <w:color w:val="222222"/>
          <w:sz w:val="24"/>
          <w:szCs w:val="24"/>
        </w:rPr>
        <w:t>), ACN:MeOH:H</w:t>
      </w:r>
      <w:r w:rsidRPr="02602357">
        <w:rPr>
          <w:rFonts w:ascii="Times New Roman" w:eastAsia="Times New Roman" w:hAnsi="Times New Roman" w:cs="Times New Roman"/>
          <w:color w:val="222222"/>
          <w:sz w:val="24"/>
          <w:szCs w:val="24"/>
          <w:vertAlign w:val="subscript"/>
        </w:rPr>
        <w:t>2</w:t>
      </w:r>
      <w:r w:rsidRPr="02602357">
        <w:rPr>
          <w:rFonts w:ascii="Times New Roman" w:eastAsia="Times New Roman" w:hAnsi="Times New Roman" w:cs="Times New Roman"/>
          <w:color w:val="222222"/>
          <w:sz w:val="24"/>
          <w:szCs w:val="24"/>
        </w:rPr>
        <w:t xml:space="preserve">O (0,5:0,5:9, </w:t>
      </w:r>
      <w:r w:rsidRPr="02602357">
        <w:rPr>
          <w:rFonts w:ascii="Times New Roman" w:eastAsia="Times New Roman" w:hAnsi="Times New Roman" w:cs="Times New Roman"/>
          <w:i/>
          <w:iCs/>
          <w:color w:val="222222"/>
          <w:sz w:val="24"/>
          <w:szCs w:val="24"/>
        </w:rPr>
        <w:t>v/v/v</w:t>
      </w:r>
      <w:r w:rsidRPr="02602357">
        <w:rPr>
          <w:rFonts w:ascii="Times New Roman" w:eastAsia="Times New Roman" w:hAnsi="Times New Roman" w:cs="Times New Roman"/>
          <w:color w:val="222222"/>
          <w:sz w:val="24"/>
          <w:szCs w:val="24"/>
        </w:rPr>
        <w:t xml:space="preserve">), 0,01 M HCl) oraz </w:t>
      </w:r>
      <w:proofErr w:type="spellStart"/>
      <w:r w:rsidRPr="02602357">
        <w:rPr>
          <w:rFonts w:ascii="Times New Roman" w:eastAsia="Times New Roman" w:hAnsi="Times New Roman" w:cs="Times New Roman"/>
          <w:color w:val="222222"/>
          <w:sz w:val="24"/>
          <w:szCs w:val="24"/>
        </w:rPr>
        <w:t>elucji</w:t>
      </w:r>
      <w:proofErr w:type="spellEnd"/>
      <w:r w:rsidRPr="02602357">
        <w:rPr>
          <w:rFonts w:ascii="Times New Roman" w:eastAsia="Times New Roman" w:hAnsi="Times New Roman" w:cs="Times New Roman"/>
          <w:color w:val="222222"/>
          <w:sz w:val="24"/>
          <w:szCs w:val="24"/>
        </w:rPr>
        <w:t xml:space="preserve"> </w:t>
      </w:r>
      <w:proofErr w:type="spellStart"/>
      <w:r w:rsidRPr="02602357">
        <w:rPr>
          <w:rFonts w:ascii="Times New Roman" w:eastAsia="Times New Roman" w:hAnsi="Times New Roman" w:cs="Times New Roman"/>
          <w:color w:val="222222"/>
          <w:sz w:val="24"/>
          <w:szCs w:val="24"/>
        </w:rPr>
        <w:t>analitu</w:t>
      </w:r>
      <w:proofErr w:type="spellEnd"/>
      <w:r w:rsidRPr="02602357">
        <w:rPr>
          <w:rFonts w:ascii="Times New Roman" w:eastAsia="Times New Roman" w:hAnsi="Times New Roman" w:cs="Times New Roman"/>
          <w:color w:val="222222"/>
          <w:sz w:val="24"/>
          <w:szCs w:val="24"/>
        </w:rPr>
        <w:t xml:space="preserve">. Do tego celu stosowano </w:t>
      </w:r>
      <w:proofErr w:type="spellStart"/>
      <w:r w:rsidRPr="02602357">
        <w:rPr>
          <w:rFonts w:ascii="Times New Roman" w:eastAsia="Times New Roman" w:hAnsi="Times New Roman" w:cs="Times New Roman"/>
          <w:color w:val="222222"/>
          <w:sz w:val="24"/>
          <w:szCs w:val="24"/>
        </w:rPr>
        <w:t>MeOH</w:t>
      </w:r>
      <w:proofErr w:type="spellEnd"/>
      <w:r w:rsidRPr="02602357">
        <w:rPr>
          <w:rFonts w:ascii="Times New Roman" w:eastAsia="Times New Roman" w:hAnsi="Times New Roman" w:cs="Times New Roman"/>
          <w:color w:val="222222"/>
          <w:sz w:val="24"/>
          <w:szCs w:val="24"/>
        </w:rPr>
        <w:t xml:space="preserve">, ACN, </w:t>
      </w:r>
      <w:proofErr w:type="spellStart"/>
      <w:r w:rsidRPr="02602357">
        <w:rPr>
          <w:rFonts w:ascii="Times New Roman" w:eastAsia="Times New Roman" w:hAnsi="Times New Roman" w:cs="Times New Roman"/>
          <w:color w:val="222222"/>
          <w:sz w:val="24"/>
          <w:szCs w:val="24"/>
        </w:rPr>
        <w:t>MeOH:ACN</w:t>
      </w:r>
      <w:proofErr w:type="spellEnd"/>
      <w:r w:rsidRPr="02602357">
        <w:rPr>
          <w:rFonts w:ascii="Times New Roman" w:eastAsia="Times New Roman" w:hAnsi="Times New Roman" w:cs="Times New Roman"/>
          <w:color w:val="222222"/>
          <w:sz w:val="24"/>
          <w:szCs w:val="24"/>
        </w:rPr>
        <w:t xml:space="preserve"> (1:1, </w:t>
      </w:r>
      <w:r w:rsidRPr="02602357">
        <w:rPr>
          <w:rFonts w:ascii="Times New Roman" w:eastAsia="Times New Roman" w:hAnsi="Times New Roman" w:cs="Times New Roman"/>
          <w:i/>
          <w:iCs/>
          <w:color w:val="222222"/>
          <w:sz w:val="24"/>
          <w:szCs w:val="24"/>
        </w:rPr>
        <w:t>v/v</w:t>
      </w:r>
      <w:r w:rsidRPr="02602357">
        <w:rPr>
          <w:rFonts w:ascii="Times New Roman" w:eastAsia="Times New Roman" w:hAnsi="Times New Roman" w:cs="Times New Roman"/>
          <w:color w:val="222222"/>
          <w:sz w:val="24"/>
          <w:szCs w:val="24"/>
        </w:rPr>
        <w:t xml:space="preserve">), a także te trzy rozpuszczalniki po zakwaszeniu do </w:t>
      </w:r>
      <w:proofErr w:type="spellStart"/>
      <w:r w:rsidRPr="02602357">
        <w:rPr>
          <w:rFonts w:ascii="Times New Roman" w:eastAsia="Times New Roman" w:hAnsi="Times New Roman" w:cs="Times New Roman"/>
          <w:color w:val="222222"/>
          <w:sz w:val="24"/>
          <w:szCs w:val="24"/>
        </w:rPr>
        <w:t>pH</w:t>
      </w:r>
      <w:proofErr w:type="spellEnd"/>
      <w:r w:rsidRPr="02602357">
        <w:rPr>
          <w:rFonts w:ascii="Times New Roman" w:eastAsia="Times New Roman" w:hAnsi="Times New Roman" w:cs="Times New Roman"/>
          <w:color w:val="222222"/>
          <w:sz w:val="24"/>
          <w:szCs w:val="24"/>
        </w:rPr>
        <w:t xml:space="preserve"> 3,5 za pomocą HCl. Spośród testowanych procedur SPE ze złożem HLB, najwyższą wydajność ekstrakcji </w:t>
      </w:r>
      <w:proofErr w:type="spellStart"/>
      <w:r w:rsidRPr="02602357">
        <w:rPr>
          <w:rFonts w:ascii="Times New Roman" w:eastAsia="Times New Roman" w:hAnsi="Times New Roman" w:cs="Times New Roman"/>
          <w:color w:val="222222"/>
          <w:sz w:val="24"/>
          <w:szCs w:val="24"/>
        </w:rPr>
        <w:t>doksorubicyny</w:t>
      </w:r>
      <w:proofErr w:type="spellEnd"/>
      <w:r w:rsidRPr="02602357">
        <w:rPr>
          <w:rFonts w:ascii="Times New Roman" w:eastAsia="Times New Roman" w:hAnsi="Times New Roman" w:cs="Times New Roman"/>
          <w:color w:val="222222"/>
          <w:sz w:val="24"/>
          <w:szCs w:val="24"/>
        </w:rPr>
        <w:t xml:space="preserve"> otrzymano po zastosowaniu 0,1 M HCl jako środka do homogenizacji tkanki oraz jako modyfikatora </w:t>
      </w:r>
      <w:proofErr w:type="spellStart"/>
      <w:r w:rsidRPr="02602357">
        <w:rPr>
          <w:rFonts w:ascii="Times New Roman" w:eastAsia="Times New Roman" w:hAnsi="Times New Roman" w:cs="Times New Roman"/>
          <w:color w:val="222222"/>
          <w:sz w:val="24"/>
          <w:szCs w:val="24"/>
        </w:rPr>
        <w:t>pH</w:t>
      </w:r>
      <w:proofErr w:type="spellEnd"/>
      <w:r w:rsidRPr="02602357">
        <w:rPr>
          <w:rFonts w:ascii="Times New Roman" w:eastAsia="Times New Roman" w:hAnsi="Times New Roman" w:cs="Times New Roman"/>
          <w:color w:val="222222"/>
          <w:sz w:val="24"/>
          <w:szCs w:val="24"/>
        </w:rPr>
        <w:t xml:space="preserve"> matrycy próbki przez SPE, wody jako środka przemywającego oraz </w:t>
      </w:r>
      <w:proofErr w:type="spellStart"/>
      <w:r w:rsidRPr="02602357">
        <w:rPr>
          <w:rFonts w:ascii="Times New Roman" w:eastAsia="Times New Roman" w:hAnsi="Times New Roman" w:cs="Times New Roman"/>
          <w:color w:val="222222"/>
          <w:sz w:val="24"/>
          <w:szCs w:val="24"/>
        </w:rPr>
        <w:t>MeOH</w:t>
      </w:r>
      <w:proofErr w:type="spellEnd"/>
      <w:r w:rsidRPr="02602357">
        <w:rPr>
          <w:rFonts w:ascii="Times New Roman" w:eastAsia="Times New Roman" w:hAnsi="Times New Roman" w:cs="Times New Roman"/>
          <w:color w:val="222222"/>
          <w:sz w:val="24"/>
          <w:szCs w:val="24"/>
        </w:rPr>
        <w:t xml:space="preserve"> do wymywania </w:t>
      </w:r>
      <w:proofErr w:type="spellStart"/>
      <w:r w:rsidRPr="02602357">
        <w:rPr>
          <w:rFonts w:ascii="Times New Roman" w:eastAsia="Times New Roman" w:hAnsi="Times New Roman" w:cs="Times New Roman"/>
          <w:color w:val="222222"/>
          <w:sz w:val="24"/>
          <w:szCs w:val="24"/>
        </w:rPr>
        <w:t>analitów</w:t>
      </w:r>
      <w:proofErr w:type="spellEnd"/>
      <w:r w:rsidRPr="02602357">
        <w:rPr>
          <w:rFonts w:ascii="Times New Roman" w:eastAsia="Times New Roman" w:hAnsi="Times New Roman" w:cs="Times New Roman"/>
          <w:color w:val="222222"/>
          <w:sz w:val="24"/>
          <w:szCs w:val="24"/>
        </w:rPr>
        <w:t xml:space="preserve">  (Tabela 1. w publikacji 4). Ta procedura gwarantowała ekstrakcję </w:t>
      </w:r>
      <w:proofErr w:type="spellStart"/>
      <w:r w:rsidRPr="02602357">
        <w:rPr>
          <w:rFonts w:ascii="Times New Roman" w:eastAsia="Times New Roman" w:hAnsi="Times New Roman" w:cs="Times New Roman"/>
          <w:color w:val="222222"/>
          <w:sz w:val="24"/>
          <w:szCs w:val="24"/>
        </w:rPr>
        <w:t>doksorubicyny</w:t>
      </w:r>
      <w:proofErr w:type="spellEnd"/>
      <w:r w:rsidRPr="02602357">
        <w:rPr>
          <w:rFonts w:ascii="Times New Roman" w:eastAsia="Times New Roman" w:hAnsi="Times New Roman" w:cs="Times New Roman"/>
          <w:color w:val="222222"/>
          <w:sz w:val="24"/>
          <w:szCs w:val="24"/>
        </w:rPr>
        <w:t xml:space="preserve"> i IS z tkanki wątrobowej na poziomie 91,6 ± 5,1% oraz 95,4 ± 5,5 %. Dla pozostałych tkanek wydajności ekstrakcji dla </w:t>
      </w:r>
      <w:proofErr w:type="spellStart"/>
      <w:r w:rsidRPr="02602357">
        <w:rPr>
          <w:rFonts w:ascii="Times New Roman" w:eastAsia="Times New Roman" w:hAnsi="Times New Roman" w:cs="Times New Roman"/>
          <w:color w:val="222222"/>
          <w:sz w:val="24"/>
          <w:szCs w:val="24"/>
        </w:rPr>
        <w:t>doksorubicyny</w:t>
      </w:r>
      <w:proofErr w:type="spellEnd"/>
      <w:r w:rsidRPr="02602357">
        <w:rPr>
          <w:rFonts w:ascii="Times New Roman" w:eastAsia="Times New Roman" w:hAnsi="Times New Roman" w:cs="Times New Roman"/>
          <w:color w:val="222222"/>
          <w:sz w:val="24"/>
          <w:szCs w:val="24"/>
        </w:rPr>
        <w:t xml:space="preserve"> wahały się w granicach od 89,2 ± 6,2 % (śledziona) do 92,8 ± 4,3 % (nerki). </w:t>
      </w:r>
    </w:p>
    <w:p w14:paraId="4BC058AF" w14:textId="42602F1E" w:rsidR="006C6CAA" w:rsidRPr="00E11754" w:rsidRDefault="02602357" w:rsidP="2506C974">
      <w:pPr>
        <w:spacing w:after="0" w:line="360" w:lineRule="auto"/>
        <w:jc w:val="both"/>
        <w:rPr>
          <w:rFonts w:ascii="Times New Roman" w:eastAsia="Times New Roman" w:hAnsi="Times New Roman" w:cs="Times New Roman"/>
          <w:color w:val="222222"/>
          <w:sz w:val="24"/>
          <w:szCs w:val="24"/>
        </w:rPr>
      </w:pPr>
      <w:r w:rsidRPr="02602357">
        <w:rPr>
          <w:rFonts w:ascii="Times New Roman" w:eastAsia="Times New Roman" w:hAnsi="Times New Roman" w:cs="Times New Roman"/>
          <w:color w:val="222222"/>
          <w:sz w:val="24"/>
          <w:szCs w:val="24"/>
        </w:rPr>
        <w:t xml:space="preserve">           Następnie, najbardziej optymalny protokół SPE z użyciem HLB zastosowano w połączeniu z LC-FL do rozdzielenia oraz ilościowego oznaczenia </w:t>
      </w:r>
      <w:proofErr w:type="spellStart"/>
      <w:r w:rsidRPr="02602357">
        <w:rPr>
          <w:rFonts w:ascii="Times New Roman" w:eastAsia="Times New Roman" w:hAnsi="Times New Roman" w:cs="Times New Roman"/>
          <w:color w:val="222222"/>
          <w:sz w:val="24"/>
          <w:szCs w:val="24"/>
        </w:rPr>
        <w:t>doksorubicyny</w:t>
      </w:r>
      <w:proofErr w:type="spellEnd"/>
      <w:r w:rsidRPr="02602357">
        <w:rPr>
          <w:rFonts w:ascii="Times New Roman" w:eastAsia="Times New Roman" w:hAnsi="Times New Roman" w:cs="Times New Roman"/>
          <w:color w:val="222222"/>
          <w:sz w:val="24"/>
          <w:szCs w:val="24"/>
        </w:rPr>
        <w:t xml:space="preserve"> w tkankach szczurzych i poddano walidacji, którą przeprowadzano na tkankach wątroby. Potwierdzono selektywność metody (</w:t>
      </w:r>
      <w:r w:rsidRPr="02602357">
        <w:rPr>
          <w:rFonts w:ascii="Times New Roman" w:eastAsia="Times New Roman" w:hAnsi="Times New Roman" w:cs="Times New Roman"/>
          <w:sz w:val="24"/>
          <w:szCs w:val="24"/>
        </w:rPr>
        <w:t>Fig. 2. w publikacji 4)</w:t>
      </w:r>
      <w:r w:rsidRPr="02602357">
        <w:rPr>
          <w:rFonts w:ascii="Times New Roman" w:eastAsia="Times New Roman" w:hAnsi="Times New Roman" w:cs="Times New Roman"/>
          <w:color w:val="222222"/>
          <w:sz w:val="24"/>
          <w:szCs w:val="24"/>
        </w:rPr>
        <w:t xml:space="preserve"> jak również jej liniowość, która mieściła się w </w:t>
      </w:r>
      <w:r w:rsidRPr="02602357">
        <w:rPr>
          <w:rFonts w:ascii="Times New Roman" w:eastAsia="Times New Roman" w:hAnsi="Times New Roman" w:cs="Times New Roman"/>
          <w:color w:val="222222"/>
          <w:sz w:val="24"/>
          <w:szCs w:val="24"/>
        </w:rPr>
        <w:lastRenderedPageBreak/>
        <w:t>granicach 0,1-30 µg/g. Parametry LOD oraz LOQ były na poziomach 0,005 µg/g oraz 0,01 µg/g i były niższe od wcześniej opublikowanych w literaturze</w:t>
      </w:r>
      <w:r w:rsidR="2100169C" w:rsidRPr="02602357">
        <w:rPr>
          <w:rFonts w:ascii="Times New Roman" w:eastAsia="Times New Roman" w:hAnsi="Times New Roman" w:cs="Times New Roman"/>
          <w:color w:val="222222"/>
          <w:sz w:val="24"/>
          <w:szCs w:val="24"/>
        </w:rPr>
        <w:fldChar w:fldCharType="begin" w:fldLock="1"/>
      </w:r>
      <w:r w:rsidR="003F195C">
        <w:rPr>
          <w:rFonts w:ascii="Times New Roman" w:eastAsia="Times New Roman" w:hAnsi="Times New Roman" w:cs="Times New Roman"/>
          <w:color w:val="222222"/>
          <w:sz w:val="24"/>
          <w:szCs w:val="24"/>
        </w:rPr>
        <w:instrText>ADDIN CSL_CITATION {"citationItems":[{"id":"ITEM-1","itemData":{"DOI":"10.12659/msmbr.904103","ISSN":"23254416","PMID":"28408733","abstract":"BACKGROUND Neoangiogenesis occurring in inflamed articular synovium in early rheumatoid arthritis (RA) is characterized by enhanced vascular permeability that allows nanoparticle agents, including liposomes, to deliver encapsulated drugs to arthritic joints and subsequently improve therapeutic efficacy and reduce adverse effects. However, the targeting distribution of liposomes in arthritic joints during RA has not been quantitatively demonstrated. We performed this study to evaluate the targeting distribution of PEGylated doxorubicin liposomes in the arthritic joints of collagen-induced arthritis (CIA) rats by high-performance liquid chromatography (HPLC). MATERIAL AND METHODS Two doxorubicin formulations were administered to CIA rats via tail intravenous injection at a single dose (50 mg/m²). CIA rats were sacrificed and the tissues of the inflamed ankle joints were collected. The content of doxorubicin in the arthritic joints was analyzed by a validated and reproducible HPLC method. A two-way ANOVA for 2×5 factorial design was used for statistical analysis. RESULTS The developed HPLC method was sensitive, precise, and reproducible. The method was successfully applied to quantify doxorubicin content in arthritic tissues. At each time point (6, 12, 24, 48, and 72 h), doxorubicin content in the arthritic joints of the doxorubicin liposome group (DOX-LIP group) was higher than in the free doxorubicin group (DOX group) (P&lt;0.05). In the DOX-LIP group, doxorubicin levels in the arthritic joints increased gradually and significantly in the interval of 6-72 h post-administration. CONCLUSIONS PEGylated doxorubicin liposomes were targeted to, accumulated, and retained in the arthritic joints of CIA rats. The present study indicates that liposome encapsulation increases the therapeutic efficacy of antirheumatic drugs, presenting a promising therapeutic strategy for RA.","author":[{"dropping-particle":"","family":"Niu","given":"Hongqing","non-dropping-particle":"","parse-names":false,"suffix":""},{"dropping-particle":"","family":"Xu","given":"Menghua","non-dropping-particle":"","parse-names":false,"suffix":""},{"dropping-particle":"","family":"Li","given":"Shuangtian","non-dropping-particle":"","parse-names":false,"suffix":""},{"dropping-particle":"","family":"Chen","given":"Junwei","non-dropping-particle":"","parse-names":false,"suffix":""},{"dropping-particle":"","family":"Luo","given":"Jing","non-dropping-particle":"","parse-names":false,"suffix":""},{"dropping-particle":"","family":"Zhao","given":"Xiangcong","non-dropping-particle":"","parse-names":false,"suffix":""},{"dropping-particle":"","family":"Gao","given":"Chong","non-dropping-particle":"","parse-names":false,"suffix":""},{"dropping-particle":"","family":"Li","given":"Xiaofeng","non-dropping-particle":"","parse-names":false,"suffix":""}],"container-title":"Medical science monitor basic research","id":"ITEM-1","issued":{"date-parts":[["2017"]]},"page":"150-158","title":"High-Performance Liquid Chromatography (HPLC) Quantification of Liposome-Delivered Doxorubicin in Arthritic Joints of Collagen-Induced Arthritis Rats","type":"article-journal","volume":"23"},"uris":["http://www.mendeley.com/documents/?uuid=38d76df3-bb1a-4356-9875-d56cd9a7ca35"]},{"id":"ITEM-2","itemData":{"DOI":"10.1016/j.jchromb.2012.01.025","ISSN":"15700232","PMID":"22341684","abstract":"The long-term clinical use of doxorubicin (Dox), one of the most important anticancer agent in use, is limited by dose-related acute cardiotoxicity, myelo-suppression and multidrug resistance developed by cancer cells. To improve the antitumor efficacy and reduce the toxicity of Dox, many drug delivery systems have been developed, including poly(alkylcyanoacrylate) (PACA) nanoparticles. A new formulation of PACA nanoparticles with potential stealth properties were prepared by redox radical emulsion polymerization and associated to Dox in our laboratory. To comparatively investigate the pharmacokinetics and the biodistribution of different formulations of Dox associated PACA nanoparticles, a simple and rapid high performance liquid chromatographic method (HPLC) was developed for the quantification of Dox in plasma and tissues of rats treated with Dox loaded PACA nanoparticle (Dox-PACA). Dox was eluted at 4.4. min and it was well separated from its main metabolites doxorubicinol (Doxl) and doxorubicinon (Doxon) and idarubicin (Ida) used as internal standard (IS). Extraction of Dox from biological media was achieved by liquid-liquid extraction. The recovery of total Dox (i.e. free Dox and Dox associated with nanoparticles) from plasma and tissues (liver, spleen and heart) spiked with Dox-PACA were 71 and 78% for 0.05 and 1 μg/mL in rat plasma, respectively, and 73% and 80% for 0.5 and 10 μg/g in tissues, respectively. The method is linear from 0.05 to 1.5 μg/mL of Dox in plasma. The limit of detection of the method is 0.5. ng of Dox per injection (50 μL). The between-day and within-day precisions of the method were 97.1-102.9% and 97.3-101.7% for concentrations ranging from 0.05 to 1 μg/mL, respectively. Preliminary data suggested that this method can be applied to determine the pharmacokinetic and biodistribution of Dox associated with PACA nanoparticles after intravenous administration to rats. © 2012 Elsevier B.V.","author":[{"dropping-particle":"","family":"Alhareth","given":"Khairallah","non-dropping-particle":"","parse-names":false,"suffix":""},{"dropping-particle":"","family":"Vauthier","given":"Christine","non-dropping-particle":"","parse-names":false,"suffix":""},{"dropping-particle":"","family":"Gueutin","given":"Claire","non-dropping-particle":"","parse-names":false,"suffix":""},{"dropping-particle":"","family":"Ponchel","given":"Gilles","non-dropping-particle":"","parse-names":false,"suffix":""},{"dropping-particle":"","family":"Moussa","given":"Fathi","non-dropping-particle":"","parse-names":false,"suffix":""}],"container-title":"Journal of Chromatography B: Analytical Technologies in the Biomedical and Life Sciences","id":"ITEM-2","issued":{"date-parts":[["2012"]]},"page":"128-132","publisher":"Elsevier B.V.","title":"HPLC quantification of doxorubicin in plasma and tissues of rats treated with doxorubicin loaded poly(alkylcyanoacrylate) nanoparticles","type":"article-journal","volume":"887-888"},"uris":["http://www.mendeley.com/documents/?uuid=0da71790-6a89-4cad-b03b-97811b60c556"]},{"id":"ITEM-3","itemData":{"DOI":"10.1016/j.jchromb.2009.02.018","ISSN":"15700232","PMID":"19246257","abstract":"A sensitive high performance liquid chromatography method (HPLC) has been developed for the quantification of doxorubicin in mouse plasma and tissues. Samples of serum or tissue homogenates, 20 μl, were analyzed following a single step protein precipitation using perchloric acid (35%, v/v). Doxorubicin was separated from the internal standard, daunorubicin, on a Zorbax 300SB C18 column at 35 °C. Mobile phase was comprised of acetonitrile and water (25:75) containing 0.1% triethylamine, and was adjusted to pH 3 with phosphoric acid. Peaks eluting from the column were detected with a fluorescence detector with excitation and emission wavelengths of 480 and 560 nm, respectively. Standard curves were linear in the range 5-1000 ng/ml, and correlation coefficients were typically greater than 0.999. Intra-assay recoveries ranged from 94.7 to 99.9%, and inter-assay recoveries were in the range of 95.2-101%. The associated coefficient of variation (CV) was less than 10% in all cases. The method was successfully applied to investigate doxorubicin plasma pharmacokinetics and tissue distribution in athymic Foxnu mice. © 2009.","author":[{"dropping-particle":"","family":"Urva","given":"Shweta R.","non-dropping-particle":"","parse-names":false,"suffix":""},{"dropping-particle":"","family":"Shin","given":"Beom Soo","non-dropping-particle":"","parse-names":false,"suffix":""},{"dropping-particle":"","family":"Yang","given":"Victor C.","non-dropping-particle":"","parse-names":false,"suffix":""},{"dropping-particle":"","family":"Balthasar","given":"Joseph P.","non-dropping-particle":"","parse-names":false,"suffix":""}],"container-title":"Journal of Chromatography B: Analytical Technologies in the Biomedical and Life Sciences","id":"ITEM-3","issue":"8-9","issued":{"date-parts":[["2009"]]},"page":"837-841","title":"Sensitive high performance liquid chromatographic assay for assessment of doxorubicin pharmacokinetics in mouse plasma and tissues","type":"article-journal","volume":"877"},"uris":["http://www.mendeley.com/documents/?uuid=1c825807-dddc-4b4b-b324-ecbff96e9d99"]},{"id":"ITEM-4","itemData":{"DOI":"10.3791/56159","ISSN":"1940087X","PMID":"29053672","abstract":"Combination chemotherapy is frequently used in the clinic for cancer treatment; however, associated adverse effects to normal tissue may limit its therapeutic benefit. Nanoparticle-based drug combination has been shown to mitigate the problems encountered by free drug combination therapy. Our previous studies have shown that the combination of two anticancer drugs, doxorubicin (DOX) and mitomycin C (MMC), produced a synergistic effect against both murine and human breast cancer cells in vitro. DOX and MMC co-loaded polymer-lipid hybrid nanoparticles (DMPLN) bypassed various efflux transporter pumps that confer multidrug resistance and demonstrated enhanced efficacy in breast tumor models. Compared to conventional solution forms, such superior efficacy of DMPLN was attributed to the synchronized pharmacokinetics of DOX and MMC and increased intracellular drug bioavailability within tumor cells enabled by the nanocarrier PLN. To evaluate the pharmacokinetics and bio-distribution of co-administered DOX and MMC in both free solution and nanoparticle forms, a simple and efficient multi-drug analysis method using reverse-phase high performance liquid chromatography (HPLC) was developed. In contrast to previously reported methods that analyzed DOX or MMC individually in the plasma, this new HPLC method is able to simultaneously quantitate DOX, MMC and a major cardio-toxic DOX metabolite, doxorubicinol (DOXol), in various biological matrices (e.g., whole blood, breast tumor, and heart). A dual fluorescent and ultraviolet absorbent probe 4-methylumbelliferone (4-MU) was used as an internal standard (I.S.) for one-step detection of multiple drug analysis with different detection wavelengths. This method was successfully applied to determine the concentrations of DOX and MMC delivered by both nanoparticle and solution approaches in whole blood and various tissues in an orthotopic breast tumor murine model. The analytical method presented is a useful tool for pre-clinical analysis of nanoparticle-based delivery of drug combinations.","author":[{"dropping-particle":"","family":"Zhang","given":"Rui Xue","non-dropping-particle":"","parse-names":false,"suffix":""},{"dropping-particle":"","family":"Zhang","given":"Tian","non-dropping-particle":"","parse-names":false,"suffix":""},{"dropping-particle":"","family":"Chen","given":"King","non-dropping-particle":"","parse-names":false,"suffix":""},{"dropping-particle":"","family":"Cheng","given":"Ji","non-dropping-particle":"","parse-names":false,"suffix":""},{"dropping-particle":"","family":"Lai","given":"Paris","non-dropping-particle":"","parse-names":false,"suffix":""},{"dropping-particle":"","family":"Rauth","given":"Andrew M.","non-dropping-particle":"","parse-names":false,"suffix":""},{"dropping-particle":"","family":"Pang","given":"K. Sandy","non-dropping-particle":"","parse-names":false,"suffix":""},{"dropping-particle":"","family":"Wu","given":"Xiao Yu","non-dropping-particle":"","parse-names":false,"suffix":""}],"container-title":"Journal of Visualized Experiments","id":"ITEM-4","issue":"128","issued":{"date-parts":[["2017"]]},"page":"1-11","title":"Sample extraction and simultaneous chromatographic quantitation of doxorubicin and mitomycin C following drug combination delivery in nanoparticles to tumor-bearing mice","type":"article-journal","volume":"2017"},"uris":["http://www.mendeley.com/documents/?uuid=d7c2be01-2030-4260-a08f-a62076aa5fbf"]},{"id":"ITEM-5","itemData":{"DOI":"10.3109/13880209.2015.1014918","ISSN":"17445116","PMID":"25880143","abstract":"Context: Doxorubicin (DOX)-loaded folate-targeted poly(3-hydroxybutyrate-co-3-hydroxyoctanoate) [P(HB-HO)] nanoparticles [DOX/FA-PEG-P(HB-HO) NPs] were prepared by the W1/O/W2 solvent extraction/evaporation method for applications in cancer treatment. However, the biodistribution, pharmacokinetics, and targeting of the nanoparticles (NPs) have not yet been studied. Objective: The biodistribution, pharmacokinetics, and targeting of DOX/FA-PEG-P(HB-HO) NPs were evaluated in female BALB/c nude mice bearing HeLa tumors. Materials and methods: Three DOX formulations were injected into the tail vein of the mice at a dosage of 5 mg/kg. At each time point, blood and various tissues were collected. All samples were then processed and analyzed by a validated high performance liquid chromatographic (HPLC) method. Results: The t1/2 values of DOX/P(HB-HO) NPs and DOX/FA-PEG-P(HB-HO) NPs were 2.7- and 3.5-times higher than that of free DOX. No significant difference (p &gt; 0.05) was found in Cmax between the NPs and free DOX. The Tmax values of the two NPs were prolonged from 0.25 to 1 h. The AUC0-t values were 1.55- and 3.05-folds higher than that of free DOX, and MRT increased to 15.99 h for DOX/P(HB-HO) NPs and 25.14 h for DOX/FA-PEG-P(HB-HO) NPs. For DOX/FA-PEG-P(HB-HO) NPs, the DOX content in the tumors were 10.81- and 3.33-times higher than those for free DOX and DOX/P(HB-HO) NPs at 48 h, respectively.Discussion and conclusions: DOX/FA-PEG-P(HB-HO) NPs displayed reduced cardiac toxicity and improved bioavailability. Moreover, the NPs exhibited a significant extent of DOX accumulation in the tumors, thus suggesting that folate-targeted NPs could effectively transport into HeLa tumors with satisfying targeting.","author":[{"dropping-particle":"","family":"Zhang","given":"Chan","non-dropping-particle":"","parse-names":false,"suffix":""},{"dropping-particle":"","family":"Wu","given":"Yifan","non-dropping-particle":"","parse-names":false,"suffix":""},{"dropping-particle":"","family":"Dong","given":"Yuefeng","non-dropping-particle":"","parse-names":false,"suffix":""},{"dropping-particle":"","family":"Xu","given":"Hongying","non-dropping-particle":"","parse-names":false,"suffix":""},{"dropping-particle":"","family":"Zhao","given":"Liangqi","non-dropping-particle":"","parse-names":false,"suffix":""}],"container-title":"Pharmaceutical Biology","id":"ITEM-5","issue":"1","issued":{"date-parts":[["2016"]]},"page":"55-61","title":"Quantification of DOX bioavailability in biological samples of mice by sensitive and precise HPLC assay","type":"article-journal","volume":"54"},"uris":["http://www.mendeley.com/documents/?uuid=5f6f2338-58d9-4845-9606-60b9ee49d359"]},{"id":"ITEM-6","itemData":{"DOI":"10.1016/j.talanta.2018.02.049","ISSN":"00399140","PMID":"29567180","abstract":"The fast and sensitive determination of concentrations of anticancer drugs in specific organs can improve the efficacy of chemotherapy and minimize its adverse effects. In this paper, ex vivo solid-phase microextraction (SPME) coupled to LC-MS/MS as a method for rapidly quantitating doxorubicin (DOX) in lung tissue was optimized. Furthermore, the theoretical and practical challenges related to the real-time monitoring of DOX levels in the lung tissue of a living organism (in vivo SPME) are presented. In addition, several parameters for ex vivo/in vivo SPME studies, such as extraction efficiency of autoclaved fibers, intact/homogenized tissue differences, critical tissue amount, and the absence of an internal standard are thoroughly examined. To both accurately quantify DOX in solid tissue and minimize the error related to the lack of an internal standard, a calibration method at equilibrium conditions was chosen. In optimized ex vivo SPME conditions, the targeted compound was extracted by directly introducing a 15 mm (45 µm thickness) mixed-mode fiber into 15 g of homogenized tissue for 20 min, followed by a desorption step in an optimal solvent mixture. The detection limit for DOX was 2.5 µg g−1 of tissue. The optimized ex vivo SPME method was successfully applied for the analysis of DOX in real pig lung biopsies, providing an averaged accuracy and precision of 103.2% and 12.3%, respectively. Additionally, a comparison between SPME and solid-liquid extraction revealed good agreement. The results presented herein demonstrate that the developed SPME method radically simplifies the sample preparation step and eliminates the need for tissue biopsies. These results suggest that SPME can accurately quantify DOX in different tissue compartments and can be potentially useful for monitoring and adjusting drug dosages during chemotherapy in order to achieve effective and safe concentrations of doxorubicin.","author":[{"dropping-particle":"","family":"Roszkowska","given":"Anna","non-dropping-particle":"","parse-names":false,"suffix":""},{"dropping-particle":"","family":"Tascon","given":"Marcos","non-dropping-particle":"","parse-names":false,"suffix":""},{"dropping-particle":"","family":"Bojko","given":"Barbara","non-dropping-particle":"","parse-names":false,"suffix":""},{"dropping-particle":"","family":"Goryński","given":"Krzysztof","non-dropping-particle":"","parse-names":false,"suffix":""},{"dropping-particle":"","family":"Santos","given":"Pedro Reck","non-dropping-particle":"dos","parse-names":false,"suffix":""},{"dropping-particle":"","family":"Cypel","given":"Marcelo","non-dropping-particle":"","parse-names":false,"suffix":""},{"dropping-particle":"","family":"Pawliszyn","given":"Janusz","non-dropping-particle":"","parse-names":false,"suffix":""}],"container-title":"Talanta","id":"ITEM-6","issue":"February","issued":{"date-parts":[["2018"]]},"page":"304-310","title":"Equilibrium ex vivo calibration of homogenized tissue for in vivo SPME quantitation of doxorubicin in lung tissue","type":"article-journal","volume":"183"},"uris":["http://www.mendeley.com/documents/?uuid=b7ecc56f-5330-4c9f-85d0-f66db0a363d2"]},{"id":"ITEM-7","itemData":{"DOI":"10.1016/S0731-7085(03)00300-5","ISSN":"07317085","PMID":"14550866","abstract":"Doxorubicin is an antineoplasic agent active against sarcoma pulmonary metastasis, but its clinical use is hampered by its myelotoxicity and its cumulative cardiotoxicity, when administered systemically. This limitation may be circumvented using the isolated lung perfusion (ILP) approach, wherein a therapeutic agent is infused locoregionally after vascular isolation of the lung. The influence of the mode of infusion (anterograde (AG): through the pulmonary artery (PA); retrograde (RG): through the pulmonary vein (PV)) on doxorubicin pharmacokinetics and lung distribution was unknown. Therefore, a simple, rapid and sensitive high-performance liquid chromatography method has been developed to quantify doxorubicin in four different biological matrices (infusion effluent, serum, tissues with low or high levels of doxorubicin). The related compound daunorubicin was used as internal standard (I.S.). Following a single-step protein precipitation of 500 μl samples with 250 μl acetone and 50 μl zinc sulfate 70% aqueous solution, the obtained supernatant was evaporated to dryness at 60°C for exactly 45 min under a stream of nitrogen and the solid residue was solubilized in 200 μl of purified water. A 100 μl-volume was subjected to HPLC analysis onto a Nucleosil 100-5 μm C18 AB column equipped with a guard column (Nucleosil 100-5 μm C6H 5 (phenyl) end-capped) using a gradient elution of acetonitrile and 1-heptanesulfonic acid 0.2% pH 4: 15/85 at 0 min→50/50 at 20 min→100/ 0 at 22 min→15/85 at 24 min→15/85 at 26 min, delivered at 1 ml/min. The analytes were detected by fluorescence detection with excitation and emission wavelength set at 480 and 550 nm, respectively. The calibration curves were linear over the range of 2-1000 ng/ml for effluent and plasma matrices, and 0.1 μg/g-750 μg/g for tissues matrices. The method is precise with inter-day and intra-day relative standard deviation within 0.5 and 6.7% and accurate with inter-day and intra-day deviations between -5.4 and +7.7%. The in vitro stability in all matrices and in processed samples has been studied at -80°C for 1 month, and at 4°C for 48 h, respectively. During initial studies, heparin used as anticoagulant was found to profoundly influence the measurements of doxorubicin in effluents collected from animals under ILP. Moreover, the strong matrix effect observed with tissues samples indicate that it is mandatory to prepare doxorubicin calibration standard samples in biological matrices which would reflec…","author":[{"dropping-particle":"","family":"Kümmerle","given":"A.","non-dropping-particle":"","parse-names":false,"suffix":""},{"dropping-particle":"","family":"Krueger","given":"T.","non-dropping-particle":"","parse-names":false,"suffix":""},{"dropping-particle":"","family":"Dusmet","given":"M.","non-dropping-particle":"","parse-names":false,"suffix":""},{"dropping-particle":"","family":"Vallet","given":"C.","non-dropping-particle":"","parse-names":false,"suffix":""},{"dropping-particle":"","family":"Pan","given":"Y.","non-dropping-particle":"","parse-names":false,"suffix":""},{"dropping-particle":"","family":"Ris","given":"H. B.","non-dropping-particle":"","parse-names":false,"suffix":""},{"dropping-particle":"","family":"Decosterd","given":"Laurent A.","non-dropping-particle":"","parse-names":false,"suffix":""}],"container-title":"Journal of Pharmaceutical and Biomedical Analysis","id":"ITEM-7","issue":"3","issued":{"date-parts":[["2003"]]},"page":"475-494","title":"A validated assay for measuring doxorubicin in biological fluids and tissues in an isolated lung perfusion model: Matrix effect and heparin interference strongly influence doxorubicin measurements","type":"article-journal","volume":"33"},"uris":["http://www.mendeley.com/documents/?uuid=0aa12b56-04ca-4b3f-8830-9e98e6cde28d"]}],"mendeley":{"formattedCitation":"[93], [95], [96], [98], [99], [101], [103]","plainTextFormattedCitation":"[93], [95], [96], [98], [99], [101], [103]","previouslyFormattedCitation":"[93], [95], [96], [98], [99], [101], [103]"},"properties":{"noteIndex":0},"schema":"https://github.com/citation-style-language/schema/raw/master/csl-citation.json"}</w:instrText>
      </w:r>
      <w:r w:rsidR="2100169C" w:rsidRPr="02602357">
        <w:rPr>
          <w:rFonts w:ascii="Times New Roman" w:eastAsia="Times New Roman" w:hAnsi="Times New Roman" w:cs="Times New Roman"/>
          <w:color w:val="222222"/>
          <w:sz w:val="24"/>
          <w:szCs w:val="24"/>
        </w:rPr>
        <w:fldChar w:fldCharType="separate"/>
      </w:r>
      <w:r w:rsidR="003F195C" w:rsidRPr="003F195C">
        <w:rPr>
          <w:rFonts w:ascii="Times New Roman" w:eastAsia="Times New Roman" w:hAnsi="Times New Roman" w:cs="Times New Roman"/>
          <w:noProof/>
          <w:color w:val="222222"/>
          <w:sz w:val="24"/>
          <w:szCs w:val="24"/>
        </w:rPr>
        <w:t>[93], [95], [96], [98], [99], [101], [103]</w:t>
      </w:r>
      <w:r w:rsidR="2100169C" w:rsidRPr="02602357">
        <w:rPr>
          <w:rFonts w:ascii="Times New Roman" w:eastAsia="Times New Roman" w:hAnsi="Times New Roman" w:cs="Times New Roman"/>
          <w:color w:val="222222"/>
          <w:sz w:val="24"/>
          <w:szCs w:val="24"/>
        </w:rPr>
        <w:fldChar w:fldCharType="end"/>
      </w:r>
      <w:r w:rsidRPr="02602357">
        <w:rPr>
          <w:rFonts w:ascii="Times New Roman" w:eastAsia="Times New Roman" w:hAnsi="Times New Roman" w:cs="Times New Roman"/>
          <w:color w:val="222222"/>
          <w:sz w:val="24"/>
          <w:szCs w:val="24"/>
        </w:rPr>
        <w:t xml:space="preserve">. Ponadto, udowodniono, że precyzja i dokładność metody w badanym zakresie stężeń była zgodna z kryteriami FDA i ICH (Tabeli 3. w publikacji 4), a badania stabilności </w:t>
      </w:r>
      <w:proofErr w:type="spellStart"/>
      <w:r w:rsidRPr="02602357">
        <w:rPr>
          <w:rFonts w:ascii="Times New Roman" w:eastAsia="Times New Roman" w:hAnsi="Times New Roman" w:cs="Times New Roman"/>
          <w:color w:val="222222"/>
          <w:sz w:val="24"/>
          <w:szCs w:val="24"/>
        </w:rPr>
        <w:t>doksorubicyny</w:t>
      </w:r>
      <w:proofErr w:type="spellEnd"/>
      <w:r w:rsidRPr="02602357">
        <w:rPr>
          <w:rFonts w:ascii="Times New Roman" w:eastAsia="Times New Roman" w:hAnsi="Times New Roman" w:cs="Times New Roman"/>
          <w:color w:val="222222"/>
          <w:sz w:val="24"/>
          <w:szCs w:val="24"/>
        </w:rPr>
        <w:t xml:space="preserve">  w różnych warunkach przechowywania roztworów wzorcowych oraz próbek tkanek wzbogaconych dodatkiem tego </w:t>
      </w:r>
      <w:proofErr w:type="spellStart"/>
      <w:r w:rsidRPr="02602357">
        <w:rPr>
          <w:rFonts w:ascii="Times New Roman" w:eastAsia="Times New Roman" w:hAnsi="Times New Roman" w:cs="Times New Roman"/>
          <w:color w:val="222222"/>
          <w:sz w:val="24"/>
          <w:szCs w:val="24"/>
        </w:rPr>
        <w:t>cytostatyku</w:t>
      </w:r>
      <w:proofErr w:type="spellEnd"/>
      <w:r w:rsidRPr="02602357">
        <w:rPr>
          <w:rFonts w:ascii="Times New Roman" w:eastAsia="Times New Roman" w:hAnsi="Times New Roman" w:cs="Times New Roman"/>
          <w:color w:val="222222"/>
          <w:sz w:val="24"/>
          <w:szCs w:val="24"/>
        </w:rPr>
        <w:t xml:space="preserve"> potwierdziły, że badany związek jest trwały w testowanych warunkach eksperymentalnych (Tabela 4. w publikacji 4). </w:t>
      </w:r>
    </w:p>
    <w:p w14:paraId="0CD2D007" w14:textId="1ADFF56C" w:rsidR="006C6CAA" w:rsidRPr="00E11754" w:rsidRDefault="2100169C" w:rsidP="2100169C">
      <w:pPr>
        <w:spacing w:before="240" w:after="120" w:line="360" w:lineRule="auto"/>
        <w:jc w:val="both"/>
        <w:rPr>
          <w:rFonts w:ascii="Times New Roman" w:eastAsia="Times New Roman" w:hAnsi="Times New Roman" w:cs="Times New Roman"/>
          <w:b/>
          <w:bCs/>
          <w:i/>
          <w:iCs/>
          <w:color w:val="222222"/>
          <w:sz w:val="24"/>
          <w:szCs w:val="24"/>
        </w:rPr>
      </w:pPr>
      <w:r w:rsidRPr="00E11754">
        <w:rPr>
          <w:rFonts w:ascii="Times New Roman" w:eastAsia="Times New Roman" w:hAnsi="Times New Roman" w:cs="Times New Roman"/>
          <w:color w:val="222222"/>
          <w:sz w:val="24"/>
          <w:szCs w:val="24"/>
        </w:rPr>
        <w:t xml:space="preserve">            W celu zademonstrowania przydatności opracowanego protokołu SPE-LC-FL do badań farmakokinetycznych oraz klinicznych zastosowano tę procedurę do analizy próbek tkanek szczurzych (wątroby, nerki, żołądka płuca, serca oraz śledziony) wzbogaconych dodatkiem </w:t>
      </w:r>
      <w:proofErr w:type="spellStart"/>
      <w:r w:rsidRPr="00E11754">
        <w:rPr>
          <w:rFonts w:ascii="Times New Roman" w:eastAsia="Times New Roman" w:hAnsi="Times New Roman" w:cs="Times New Roman"/>
          <w:color w:val="222222"/>
          <w:sz w:val="24"/>
          <w:szCs w:val="24"/>
        </w:rPr>
        <w:t>doksorubicyny</w:t>
      </w:r>
      <w:proofErr w:type="spellEnd"/>
      <w:r w:rsidRPr="00E11754">
        <w:rPr>
          <w:rFonts w:ascii="Times New Roman" w:eastAsia="Times New Roman" w:hAnsi="Times New Roman" w:cs="Times New Roman"/>
          <w:color w:val="222222"/>
          <w:sz w:val="24"/>
          <w:szCs w:val="24"/>
        </w:rPr>
        <w:t xml:space="preserve"> oraz </w:t>
      </w:r>
      <w:proofErr w:type="spellStart"/>
      <w:r w:rsidRPr="00E11754">
        <w:rPr>
          <w:rFonts w:ascii="Times New Roman" w:eastAsia="Times New Roman" w:hAnsi="Times New Roman" w:cs="Times New Roman"/>
          <w:color w:val="222222"/>
          <w:sz w:val="24"/>
          <w:szCs w:val="24"/>
        </w:rPr>
        <w:t>daunorubicyny</w:t>
      </w:r>
      <w:proofErr w:type="spellEnd"/>
      <w:r w:rsidRPr="00E11754">
        <w:rPr>
          <w:rFonts w:ascii="Times New Roman" w:eastAsia="Times New Roman" w:hAnsi="Times New Roman" w:cs="Times New Roman"/>
          <w:color w:val="222222"/>
          <w:sz w:val="24"/>
          <w:szCs w:val="24"/>
        </w:rPr>
        <w:t xml:space="preserve"> jako IS. W wyniku trzykrotnych powtórzeń danej serii otrzymano wyniki, które spełniały kryteria dokładności i precyzji (Tabela 5</w:t>
      </w:r>
      <w:r w:rsidR="13267014" w:rsidRPr="00E11754">
        <w:rPr>
          <w:rFonts w:ascii="Times New Roman" w:eastAsia="Times New Roman" w:hAnsi="Times New Roman" w:cs="Times New Roman"/>
          <w:color w:val="222222"/>
          <w:sz w:val="24"/>
          <w:szCs w:val="24"/>
        </w:rPr>
        <w:t>.</w:t>
      </w:r>
      <w:r w:rsidRPr="00E11754">
        <w:rPr>
          <w:rFonts w:ascii="Times New Roman" w:eastAsia="Times New Roman" w:hAnsi="Times New Roman" w:cs="Times New Roman"/>
          <w:color w:val="222222"/>
          <w:sz w:val="24"/>
          <w:szCs w:val="24"/>
        </w:rPr>
        <w:t xml:space="preserve"> w publikacji 4). Podsumowując, potwierdzono użyteczność opracowanego protokołu SPE-LC-FL jako potencjalnej alternatywy dla dotychczas opublikowanych metod oznaczania </w:t>
      </w:r>
      <w:proofErr w:type="spellStart"/>
      <w:r w:rsidRPr="00E11754">
        <w:rPr>
          <w:rFonts w:ascii="Times New Roman" w:eastAsia="Times New Roman" w:hAnsi="Times New Roman" w:cs="Times New Roman"/>
          <w:color w:val="222222"/>
          <w:sz w:val="24"/>
          <w:szCs w:val="24"/>
        </w:rPr>
        <w:t>doksorubicyny</w:t>
      </w:r>
      <w:proofErr w:type="spellEnd"/>
      <w:r w:rsidRPr="00E11754">
        <w:rPr>
          <w:rFonts w:ascii="Times New Roman" w:eastAsia="Times New Roman" w:hAnsi="Times New Roman" w:cs="Times New Roman"/>
          <w:color w:val="222222"/>
          <w:sz w:val="24"/>
          <w:szCs w:val="24"/>
        </w:rPr>
        <w:t xml:space="preserve"> w tkankach do badań farmakokinetycznych </w:t>
      </w:r>
      <w:r w:rsidR="13267014" w:rsidRPr="00E11754">
        <w:rPr>
          <w:rFonts w:ascii="Times New Roman" w:eastAsia="Times New Roman" w:hAnsi="Times New Roman" w:cs="Times New Roman"/>
          <w:color w:val="222222"/>
          <w:sz w:val="24"/>
          <w:szCs w:val="24"/>
        </w:rPr>
        <w:t>oraz</w:t>
      </w:r>
      <w:r w:rsidRPr="00E11754">
        <w:rPr>
          <w:rFonts w:ascii="Times New Roman" w:eastAsia="Times New Roman" w:hAnsi="Times New Roman" w:cs="Times New Roman"/>
          <w:color w:val="222222"/>
          <w:sz w:val="24"/>
          <w:szCs w:val="24"/>
        </w:rPr>
        <w:t xml:space="preserve"> klinicznych z udziałem zwierząt laboratoryjnych.</w:t>
      </w:r>
    </w:p>
    <w:p w14:paraId="30E4D5A6" w14:textId="31527B51" w:rsidR="006C6CAA" w:rsidRPr="00E11754" w:rsidRDefault="2100169C" w:rsidP="2100169C">
      <w:pPr>
        <w:spacing w:before="240" w:after="120" w:line="360" w:lineRule="auto"/>
        <w:jc w:val="both"/>
        <w:rPr>
          <w:rFonts w:ascii="Times New Roman" w:eastAsia="Times New Roman" w:hAnsi="Times New Roman" w:cs="Times New Roman"/>
          <w:b/>
          <w:bCs/>
          <w:i/>
          <w:iCs/>
          <w:color w:val="222222"/>
          <w:sz w:val="24"/>
          <w:szCs w:val="24"/>
        </w:rPr>
      </w:pPr>
      <w:r w:rsidRPr="00E11754">
        <w:rPr>
          <w:rFonts w:ascii="Times New Roman" w:eastAsia="Times New Roman" w:hAnsi="Times New Roman" w:cs="Times New Roman"/>
          <w:b/>
          <w:bCs/>
          <w:i/>
          <w:iCs/>
          <w:color w:val="222222"/>
          <w:sz w:val="24"/>
          <w:szCs w:val="24"/>
        </w:rPr>
        <w:t>Wnioski</w:t>
      </w:r>
    </w:p>
    <w:p w14:paraId="6EE2FA6D" w14:textId="736B201A" w:rsidR="006C6CAA" w:rsidRDefault="004D1538" w:rsidP="13A8E3F4">
      <w:pPr>
        <w:spacing w:before="240" w:after="120" w:line="360" w:lineRule="auto"/>
        <w:jc w:val="both"/>
        <w:rPr>
          <w:rFonts w:ascii="Times New Roman" w:eastAsia="Times New Roman" w:hAnsi="Times New Roman" w:cs="Times New Roman"/>
          <w:color w:val="222222"/>
          <w:sz w:val="24"/>
          <w:szCs w:val="24"/>
        </w:rPr>
      </w:pPr>
      <w:r w:rsidRPr="00E11754">
        <w:rPr>
          <w:rFonts w:ascii="Times New Roman" w:eastAsia="Times New Roman" w:hAnsi="Times New Roman" w:cs="Times New Roman"/>
          <w:color w:val="222222"/>
          <w:sz w:val="24"/>
          <w:szCs w:val="24"/>
        </w:rPr>
        <w:tab/>
      </w:r>
      <w:r w:rsidR="13A8E3F4" w:rsidRPr="00E11754">
        <w:rPr>
          <w:rFonts w:ascii="Times New Roman" w:eastAsia="Times New Roman" w:hAnsi="Times New Roman" w:cs="Times New Roman"/>
          <w:color w:val="222222"/>
          <w:sz w:val="24"/>
          <w:szCs w:val="24"/>
        </w:rPr>
        <w:t xml:space="preserve">Przeprowadzono i porównano różne </w:t>
      </w:r>
      <w:r w:rsidR="424734AD" w:rsidRPr="00E11754">
        <w:rPr>
          <w:rFonts w:ascii="Times New Roman" w:eastAsia="Times New Roman" w:hAnsi="Times New Roman" w:cs="Times New Roman"/>
          <w:color w:val="222222"/>
          <w:sz w:val="24"/>
          <w:szCs w:val="24"/>
        </w:rPr>
        <w:t xml:space="preserve">metody przygotowania prób z zastosowaniem </w:t>
      </w:r>
      <w:proofErr w:type="spellStart"/>
      <w:r w:rsidR="13A8E3F4" w:rsidRPr="00E11754">
        <w:rPr>
          <w:rFonts w:ascii="Times New Roman" w:eastAsia="Times New Roman" w:hAnsi="Times New Roman" w:cs="Times New Roman"/>
          <w:color w:val="222222"/>
          <w:sz w:val="24"/>
          <w:szCs w:val="24"/>
        </w:rPr>
        <w:t>deproteinizacj</w:t>
      </w:r>
      <w:r w:rsidR="424734AD" w:rsidRPr="00E11754">
        <w:rPr>
          <w:rFonts w:ascii="Times New Roman" w:eastAsia="Times New Roman" w:hAnsi="Times New Roman" w:cs="Times New Roman"/>
          <w:color w:val="222222"/>
          <w:sz w:val="24"/>
          <w:szCs w:val="24"/>
        </w:rPr>
        <w:t>i</w:t>
      </w:r>
      <w:proofErr w:type="spellEnd"/>
      <w:r w:rsidR="21D7558D" w:rsidRPr="00E11754">
        <w:rPr>
          <w:rFonts w:ascii="Times New Roman" w:eastAsia="Times New Roman" w:hAnsi="Times New Roman" w:cs="Times New Roman"/>
          <w:color w:val="222222"/>
          <w:sz w:val="24"/>
          <w:szCs w:val="24"/>
        </w:rPr>
        <w:t>, LLE</w:t>
      </w:r>
      <w:r w:rsidR="424734AD" w:rsidRPr="00E11754">
        <w:rPr>
          <w:rFonts w:ascii="Times New Roman" w:eastAsia="Times New Roman" w:hAnsi="Times New Roman" w:cs="Times New Roman"/>
          <w:color w:val="222222"/>
          <w:sz w:val="24"/>
          <w:szCs w:val="24"/>
        </w:rPr>
        <w:t xml:space="preserve"> oraz</w:t>
      </w:r>
      <w:r w:rsidR="13A8E3F4" w:rsidRPr="00E11754">
        <w:rPr>
          <w:rFonts w:ascii="Times New Roman" w:eastAsia="Times New Roman" w:hAnsi="Times New Roman" w:cs="Times New Roman"/>
          <w:color w:val="222222"/>
          <w:sz w:val="24"/>
          <w:szCs w:val="24"/>
        </w:rPr>
        <w:t xml:space="preserve"> SPE do </w:t>
      </w:r>
      <w:r w:rsidR="424734AD" w:rsidRPr="00E11754">
        <w:rPr>
          <w:rFonts w:ascii="Times New Roman" w:eastAsia="Times New Roman" w:hAnsi="Times New Roman" w:cs="Times New Roman"/>
          <w:color w:val="222222"/>
          <w:sz w:val="24"/>
          <w:szCs w:val="24"/>
        </w:rPr>
        <w:t xml:space="preserve">izolacji </w:t>
      </w:r>
      <w:proofErr w:type="spellStart"/>
      <w:r w:rsidR="424734AD" w:rsidRPr="00E11754">
        <w:rPr>
          <w:rFonts w:ascii="Times New Roman" w:eastAsia="Times New Roman" w:hAnsi="Times New Roman" w:cs="Times New Roman"/>
          <w:color w:val="222222"/>
          <w:sz w:val="24"/>
          <w:szCs w:val="24"/>
        </w:rPr>
        <w:t>doksorubicyny</w:t>
      </w:r>
      <w:proofErr w:type="spellEnd"/>
      <w:r w:rsidR="13A8E3F4" w:rsidRPr="00E11754">
        <w:rPr>
          <w:rFonts w:ascii="Times New Roman" w:eastAsia="Times New Roman" w:hAnsi="Times New Roman" w:cs="Times New Roman"/>
          <w:color w:val="222222"/>
          <w:sz w:val="24"/>
          <w:szCs w:val="24"/>
        </w:rPr>
        <w:t xml:space="preserve"> z sześciu różnych tkanek szczurzych. </w:t>
      </w:r>
      <w:r w:rsidR="424734AD" w:rsidRPr="00E11754">
        <w:rPr>
          <w:rFonts w:ascii="Times New Roman" w:eastAsia="Times New Roman" w:hAnsi="Times New Roman" w:cs="Times New Roman"/>
          <w:color w:val="222222"/>
          <w:sz w:val="24"/>
          <w:szCs w:val="24"/>
        </w:rPr>
        <w:t>Omówiono zalety</w:t>
      </w:r>
      <w:r w:rsidR="13A8E3F4" w:rsidRPr="00E11754">
        <w:rPr>
          <w:rFonts w:ascii="Times New Roman" w:eastAsia="Times New Roman" w:hAnsi="Times New Roman" w:cs="Times New Roman"/>
          <w:color w:val="222222"/>
          <w:sz w:val="24"/>
          <w:szCs w:val="24"/>
        </w:rPr>
        <w:t xml:space="preserve"> oraz wady </w:t>
      </w:r>
      <w:r w:rsidR="424734AD" w:rsidRPr="00E11754">
        <w:rPr>
          <w:rFonts w:ascii="Times New Roman" w:eastAsia="Times New Roman" w:hAnsi="Times New Roman" w:cs="Times New Roman"/>
          <w:color w:val="222222"/>
          <w:sz w:val="24"/>
          <w:szCs w:val="24"/>
        </w:rPr>
        <w:t xml:space="preserve">każdego podejścia </w:t>
      </w:r>
      <w:r w:rsidR="13A8E3F4" w:rsidRPr="00E11754">
        <w:rPr>
          <w:rFonts w:ascii="Times New Roman" w:eastAsia="Times New Roman" w:hAnsi="Times New Roman" w:cs="Times New Roman"/>
          <w:color w:val="222222"/>
          <w:sz w:val="24"/>
          <w:szCs w:val="24"/>
        </w:rPr>
        <w:t xml:space="preserve">wraz z oceną ich potencjalnego zastosowania w badaniach klinicznych. Spośród procedur </w:t>
      </w:r>
      <w:proofErr w:type="spellStart"/>
      <w:r w:rsidR="13A8E3F4" w:rsidRPr="00E11754">
        <w:rPr>
          <w:rFonts w:ascii="Times New Roman" w:eastAsia="Times New Roman" w:hAnsi="Times New Roman" w:cs="Times New Roman"/>
          <w:color w:val="222222"/>
          <w:sz w:val="24"/>
          <w:szCs w:val="24"/>
        </w:rPr>
        <w:t>deproteinizacji</w:t>
      </w:r>
      <w:proofErr w:type="spellEnd"/>
      <w:r w:rsidR="13A8E3F4" w:rsidRPr="00E11754">
        <w:rPr>
          <w:rFonts w:ascii="Times New Roman" w:eastAsia="Times New Roman" w:hAnsi="Times New Roman" w:cs="Times New Roman"/>
          <w:color w:val="222222"/>
          <w:sz w:val="24"/>
          <w:szCs w:val="24"/>
        </w:rPr>
        <w:t xml:space="preserve"> oraz LLE</w:t>
      </w:r>
      <w:r w:rsidR="424734AD" w:rsidRPr="00E11754">
        <w:rPr>
          <w:rFonts w:ascii="Times New Roman" w:eastAsia="Times New Roman" w:hAnsi="Times New Roman" w:cs="Times New Roman"/>
          <w:color w:val="222222"/>
          <w:sz w:val="24"/>
          <w:szCs w:val="24"/>
        </w:rPr>
        <w:t>,</w:t>
      </w:r>
      <w:r w:rsidR="13A8E3F4" w:rsidRPr="00E11754">
        <w:rPr>
          <w:rFonts w:ascii="Times New Roman" w:eastAsia="Times New Roman" w:hAnsi="Times New Roman" w:cs="Times New Roman"/>
          <w:color w:val="222222"/>
          <w:sz w:val="24"/>
          <w:szCs w:val="24"/>
        </w:rPr>
        <w:t xml:space="preserve"> najbardziej rokującym </w:t>
      </w:r>
      <w:r w:rsidR="424734AD" w:rsidRPr="00E11754">
        <w:rPr>
          <w:rFonts w:ascii="Times New Roman" w:eastAsia="Times New Roman" w:hAnsi="Times New Roman" w:cs="Times New Roman"/>
          <w:color w:val="222222"/>
          <w:sz w:val="24"/>
          <w:szCs w:val="24"/>
        </w:rPr>
        <w:t xml:space="preserve">wariantem </w:t>
      </w:r>
      <w:r w:rsidR="13A8E3F4" w:rsidRPr="00E11754">
        <w:rPr>
          <w:rFonts w:ascii="Times New Roman" w:eastAsia="Times New Roman" w:hAnsi="Times New Roman" w:cs="Times New Roman"/>
          <w:color w:val="222222"/>
          <w:sz w:val="24"/>
          <w:szCs w:val="24"/>
        </w:rPr>
        <w:t>był</w:t>
      </w:r>
      <w:r w:rsidR="424734AD" w:rsidRPr="00E11754">
        <w:rPr>
          <w:rFonts w:ascii="Times New Roman" w:eastAsia="Times New Roman" w:hAnsi="Times New Roman" w:cs="Times New Roman"/>
          <w:color w:val="222222"/>
          <w:sz w:val="24"/>
          <w:szCs w:val="24"/>
        </w:rPr>
        <w:t>o użycie</w:t>
      </w:r>
      <w:r w:rsidR="13A8E3F4" w:rsidRPr="00E11754">
        <w:rPr>
          <w:rFonts w:ascii="Times New Roman" w:eastAsia="Times New Roman" w:hAnsi="Times New Roman" w:cs="Times New Roman"/>
          <w:color w:val="222222"/>
          <w:sz w:val="24"/>
          <w:szCs w:val="24"/>
        </w:rPr>
        <w:t xml:space="preserve"> ACN. Niemniej jednak</w:t>
      </w:r>
      <w:r w:rsidR="424734AD" w:rsidRPr="00E11754">
        <w:rPr>
          <w:rFonts w:ascii="Times New Roman" w:eastAsia="Times New Roman" w:hAnsi="Times New Roman" w:cs="Times New Roman"/>
          <w:color w:val="222222"/>
          <w:sz w:val="24"/>
          <w:szCs w:val="24"/>
        </w:rPr>
        <w:t>,</w:t>
      </w:r>
      <w:r w:rsidR="13A8E3F4" w:rsidRPr="00E11754">
        <w:rPr>
          <w:rFonts w:ascii="Times New Roman" w:eastAsia="Times New Roman" w:hAnsi="Times New Roman" w:cs="Times New Roman"/>
          <w:color w:val="222222"/>
          <w:sz w:val="24"/>
          <w:szCs w:val="24"/>
        </w:rPr>
        <w:t xml:space="preserve"> wyższe wartości wydajności </w:t>
      </w:r>
      <w:r w:rsidR="424734AD" w:rsidRPr="00E11754">
        <w:rPr>
          <w:rFonts w:ascii="Times New Roman" w:eastAsia="Times New Roman" w:hAnsi="Times New Roman" w:cs="Times New Roman"/>
          <w:color w:val="222222"/>
          <w:sz w:val="24"/>
          <w:szCs w:val="24"/>
        </w:rPr>
        <w:t xml:space="preserve">ekstrakcji </w:t>
      </w:r>
      <w:proofErr w:type="spellStart"/>
      <w:r w:rsidR="424734AD" w:rsidRPr="00E11754">
        <w:rPr>
          <w:rFonts w:ascii="Times New Roman" w:eastAsia="Times New Roman" w:hAnsi="Times New Roman" w:cs="Times New Roman"/>
          <w:color w:val="222222"/>
          <w:sz w:val="24"/>
          <w:szCs w:val="24"/>
        </w:rPr>
        <w:t>doksorubicyny</w:t>
      </w:r>
      <w:proofErr w:type="spellEnd"/>
      <w:r w:rsidR="424734AD" w:rsidRPr="00E11754">
        <w:rPr>
          <w:rFonts w:ascii="Times New Roman" w:eastAsia="Times New Roman" w:hAnsi="Times New Roman" w:cs="Times New Roman"/>
          <w:color w:val="222222"/>
          <w:sz w:val="24"/>
          <w:szCs w:val="24"/>
        </w:rPr>
        <w:t xml:space="preserve">, jak i bardziej efektywne oczyszczenie prób </w:t>
      </w:r>
      <w:r w:rsidR="13A8E3F4" w:rsidRPr="00E11754">
        <w:rPr>
          <w:rFonts w:ascii="Times New Roman" w:eastAsia="Times New Roman" w:hAnsi="Times New Roman" w:cs="Times New Roman"/>
          <w:color w:val="222222"/>
          <w:sz w:val="24"/>
          <w:szCs w:val="24"/>
        </w:rPr>
        <w:t>gwarantował protokół</w:t>
      </w:r>
      <w:r w:rsidR="424734AD" w:rsidRPr="00E11754">
        <w:rPr>
          <w:rFonts w:ascii="Times New Roman" w:eastAsia="Times New Roman" w:hAnsi="Times New Roman" w:cs="Times New Roman"/>
          <w:color w:val="222222"/>
          <w:sz w:val="24"/>
          <w:szCs w:val="24"/>
        </w:rPr>
        <w:t xml:space="preserve"> </w:t>
      </w:r>
      <w:r w:rsidR="13A8E3F4" w:rsidRPr="00E11754">
        <w:rPr>
          <w:rFonts w:ascii="Times New Roman" w:eastAsia="Times New Roman" w:hAnsi="Times New Roman" w:cs="Times New Roman"/>
          <w:color w:val="222222"/>
          <w:sz w:val="24"/>
          <w:szCs w:val="24"/>
        </w:rPr>
        <w:t xml:space="preserve">SPE ze złożem HLB. </w:t>
      </w:r>
      <w:r w:rsidR="424734AD" w:rsidRPr="00E11754">
        <w:rPr>
          <w:rFonts w:ascii="Times New Roman" w:eastAsia="Times New Roman" w:hAnsi="Times New Roman" w:cs="Times New Roman"/>
          <w:color w:val="222222"/>
          <w:sz w:val="24"/>
          <w:szCs w:val="24"/>
        </w:rPr>
        <w:t xml:space="preserve">Powyższa </w:t>
      </w:r>
      <w:r w:rsidRPr="00E11754" w:rsidDel="424734AD">
        <w:rPr>
          <w:rFonts w:ascii="Times New Roman" w:eastAsia="Times New Roman" w:hAnsi="Times New Roman" w:cs="Times New Roman"/>
          <w:color w:val="222222"/>
          <w:sz w:val="24"/>
          <w:szCs w:val="24"/>
        </w:rPr>
        <w:t>procedura</w:t>
      </w:r>
      <w:r w:rsidR="13A8E3F4" w:rsidRPr="00E11754">
        <w:rPr>
          <w:rFonts w:ascii="Times New Roman" w:eastAsia="Times New Roman" w:hAnsi="Times New Roman" w:cs="Times New Roman"/>
          <w:color w:val="222222"/>
          <w:sz w:val="24"/>
          <w:szCs w:val="24"/>
        </w:rPr>
        <w:t xml:space="preserve"> w</w:t>
      </w:r>
      <w:r w:rsidR="424734AD" w:rsidRPr="00E11754">
        <w:rPr>
          <w:rFonts w:ascii="Times New Roman" w:eastAsia="Times New Roman" w:hAnsi="Times New Roman" w:cs="Times New Roman"/>
          <w:color w:val="222222"/>
          <w:sz w:val="24"/>
          <w:szCs w:val="24"/>
        </w:rPr>
        <w:t xml:space="preserve"> połączeniu z LC-FL,</w:t>
      </w:r>
      <w:r w:rsidR="13A8E3F4" w:rsidRPr="00E11754">
        <w:rPr>
          <w:rFonts w:ascii="Times New Roman" w:eastAsia="Times New Roman" w:hAnsi="Times New Roman" w:cs="Times New Roman"/>
          <w:color w:val="222222"/>
          <w:sz w:val="24"/>
          <w:szCs w:val="24"/>
        </w:rPr>
        <w:t xml:space="preserve"> została poddana walidacji, a uzyskane wyniki potwierdziły, iż spełnia kryteria FDA i ICH. Tym samym potwierdzono, że proponowany protokół </w:t>
      </w:r>
      <w:r w:rsidR="424734AD" w:rsidRPr="00E11754">
        <w:rPr>
          <w:rFonts w:ascii="Times New Roman" w:eastAsia="Times New Roman" w:hAnsi="Times New Roman" w:cs="Times New Roman"/>
          <w:color w:val="222222"/>
          <w:sz w:val="24"/>
          <w:szCs w:val="24"/>
        </w:rPr>
        <w:t xml:space="preserve">SPE-LC-FL </w:t>
      </w:r>
      <w:r w:rsidR="13A8E3F4" w:rsidRPr="00E11754">
        <w:rPr>
          <w:rFonts w:ascii="Times New Roman" w:eastAsia="Times New Roman" w:hAnsi="Times New Roman" w:cs="Times New Roman"/>
          <w:color w:val="222222"/>
          <w:sz w:val="24"/>
          <w:szCs w:val="24"/>
        </w:rPr>
        <w:t xml:space="preserve">oferuje dokładne oraz precyzyjne oznaczenie </w:t>
      </w:r>
      <w:proofErr w:type="spellStart"/>
      <w:r w:rsidR="424734AD" w:rsidRPr="00E11754">
        <w:rPr>
          <w:rFonts w:ascii="Times New Roman" w:eastAsia="Times New Roman" w:hAnsi="Times New Roman" w:cs="Times New Roman"/>
          <w:color w:val="222222"/>
          <w:sz w:val="24"/>
          <w:szCs w:val="24"/>
        </w:rPr>
        <w:t>doksorubicyny</w:t>
      </w:r>
      <w:proofErr w:type="spellEnd"/>
      <w:r w:rsidR="424734AD" w:rsidRPr="00E11754">
        <w:rPr>
          <w:rFonts w:ascii="Times New Roman" w:eastAsia="Times New Roman" w:hAnsi="Times New Roman" w:cs="Times New Roman"/>
          <w:color w:val="222222"/>
          <w:sz w:val="24"/>
          <w:szCs w:val="24"/>
        </w:rPr>
        <w:t xml:space="preserve"> w różnorodnych tkankach</w:t>
      </w:r>
      <w:r w:rsidR="13A8E3F4" w:rsidRPr="00E1175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zwierzęcych i</w:t>
      </w:r>
      <w:r w:rsidR="13A8E3F4" w:rsidRPr="00E1175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może</w:t>
      </w:r>
      <w:r w:rsidR="13A8E3F4" w:rsidRPr="00E1175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 xml:space="preserve">być </w:t>
      </w:r>
      <w:r w:rsidR="13A8E3F4" w:rsidRPr="00E11754">
        <w:rPr>
          <w:rFonts w:ascii="Times New Roman" w:eastAsia="Times New Roman" w:hAnsi="Times New Roman" w:cs="Times New Roman"/>
          <w:color w:val="222222"/>
          <w:sz w:val="24"/>
          <w:szCs w:val="24"/>
        </w:rPr>
        <w:t xml:space="preserve">narzędziem do monitorowania dystrybucji leku w </w:t>
      </w:r>
      <w:r w:rsidR="424734AD" w:rsidRPr="00E11754">
        <w:rPr>
          <w:rFonts w:ascii="Times New Roman" w:eastAsia="Times New Roman" w:hAnsi="Times New Roman" w:cs="Times New Roman"/>
          <w:color w:val="222222"/>
          <w:sz w:val="24"/>
          <w:szCs w:val="24"/>
        </w:rPr>
        <w:t>organizmie zwierząt laboratoryjnych</w:t>
      </w:r>
      <w:r w:rsidR="13A8E3F4" w:rsidRPr="00E11754">
        <w:rPr>
          <w:rFonts w:ascii="Times New Roman" w:eastAsia="Times New Roman" w:hAnsi="Times New Roman" w:cs="Times New Roman"/>
          <w:color w:val="222222"/>
          <w:sz w:val="24"/>
          <w:szCs w:val="24"/>
        </w:rPr>
        <w:t>. Warto również nadmienić, iż złoże HLB jak dotąd nie było stosowan</w:t>
      </w:r>
      <w:r w:rsidRPr="00E11754" w:rsidDel="424734AD">
        <w:rPr>
          <w:rFonts w:ascii="Times New Roman" w:eastAsia="Times New Roman" w:hAnsi="Times New Roman" w:cs="Times New Roman"/>
          <w:color w:val="222222"/>
          <w:sz w:val="24"/>
          <w:szCs w:val="24"/>
        </w:rPr>
        <w:t>e</w:t>
      </w:r>
      <w:r w:rsidR="13A8E3F4" w:rsidRPr="00E11754">
        <w:rPr>
          <w:rFonts w:ascii="Times New Roman" w:eastAsia="Times New Roman" w:hAnsi="Times New Roman" w:cs="Times New Roman"/>
          <w:color w:val="222222"/>
          <w:sz w:val="24"/>
          <w:szCs w:val="24"/>
        </w:rPr>
        <w:t xml:space="preserve"> do </w:t>
      </w:r>
      <w:r w:rsidR="424734AD" w:rsidRPr="00E11754">
        <w:rPr>
          <w:rFonts w:ascii="Times New Roman" w:eastAsia="Times New Roman" w:hAnsi="Times New Roman" w:cs="Times New Roman"/>
          <w:color w:val="222222"/>
          <w:sz w:val="24"/>
          <w:szCs w:val="24"/>
        </w:rPr>
        <w:t xml:space="preserve">izolacji </w:t>
      </w:r>
      <w:proofErr w:type="spellStart"/>
      <w:r w:rsidR="424734AD" w:rsidRPr="00E11754">
        <w:rPr>
          <w:rFonts w:ascii="Times New Roman" w:eastAsia="Times New Roman" w:hAnsi="Times New Roman" w:cs="Times New Roman"/>
          <w:color w:val="222222"/>
          <w:sz w:val="24"/>
          <w:szCs w:val="24"/>
        </w:rPr>
        <w:t>doksorubicyny</w:t>
      </w:r>
      <w:proofErr w:type="spellEnd"/>
      <w:r w:rsidR="13A8E3F4" w:rsidRPr="00E11754">
        <w:rPr>
          <w:rFonts w:ascii="Times New Roman" w:eastAsia="Times New Roman" w:hAnsi="Times New Roman" w:cs="Times New Roman"/>
          <w:color w:val="222222"/>
          <w:sz w:val="24"/>
          <w:szCs w:val="24"/>
        </w:rPr>
        <w:t xml:space="preserve"> </w:t>
      </w:r>
      <w:r w:rsidR="424734AD" w:rsidRPr="00E11754">
        <w:rPr>
          <w:rFonts w:ascii="Times New Roman" w:eastAsia="Times New Roman" w:hAnsi="Times New Roman" w:cs="Times New Roman"/>
          <w:color w:val="222222"/>
          <w:sz w:val="24"/>
          <w:szCs w:val="24"/>
        </w:rPr>
        <w:t>z tkanek</w:t>
      </w:r>
      <w:r w:rsidR="13A8E3F4" w:rsidRPr="00E11754">
        <w:rPr>
          <w:rFonts w:ascii="Times New Roman" w:eastAsia="Times New Roman" w:hAnsi="Times New Roman" w:cs="Times New Roman"/>
          <w:color w:val="222222"/>
          <w:sz w:val="24"/>
          <w:szCs w:val="24"/>
        </w:rPr>
        <w:t xml:space="preserve"> zwierzęcych.</w:t>
      </w:r>
    </w:p>
    <w:p w14:paraId="2B6FC169" w14:textId="77777777" w:rsidR="00E240A9" w:rsidRPr="00E11754" w:rsidRDefault="00E240A9" w:rsidP="13A8E3F4">
      <w:pPr>
        <w:spacing w:before="240" w:after="120" w:line="360" w:lineRule="auto"/>
        <w:jc w:val="both"/>
        <w:rPr>
          <w:rFonts w:ascii="Times New Roman" w:eastAsia="Times New Roman" w:hAnsi="Times New Roman" w:cs="Times New Roman"/>
          <w:color w:val="222222"/>
          <w:sz w:val="24"/>
          <w:szCs w:val="24"/>
        </w:rPr>
      </w:pPr>
    </w:p>
    <w:p w14:paraId="5008EECF" w14:textId="385B9722" w:rsidR="006C6CAA" w:rsidRPr="00E11754" w:rsidRDefault="2100169C" w:rsidP="003F1585">
      <w:pPr>
        <w:pStyle w:val="Nagwek2"/>
        <w:spacing w:before="240" w:after="120" w:line="360" w:lineRule="auto"/>
        <w:jc w:val="both"/>
        <w:rPr>
          <w:rFonts w:ascii="Times New Roman" w:hAnsi="Times New Roman" w:cs="Times New Roman"/>
          <w:b/>
          <w:bCs/>
          <w:sz w:val="24"/>
          <w:szCs w:val="24"/>
          <w:lang w:val="en-GB"/>
        </w:rPr>
      </w:pPr>
      <w:bookmarkStart w:id="27" w:name="_Toc135306232"/>
      <w:bookmarkStart w:id="28" w:name="_Toc137702484"/>
      <w:r w:rsidRPr="00E11754">
        <w:rPr>
          <w:rFonts w:ascii="Times New Roman" w:hAnsi="Times New Roman" w:cs="Times New Roman"/>
          <w:b/>
          <w:bCs/>
          <w:sz w:val="24"/>
          <w:szCs w:val="24"/>
          <w:lang w:val="en-GB"/>
        </w:rPr>
        <w:lastRenderedPageBreak/>
        <w:t xml:space="preserve">3.5. </w:t>
      </w:r>
      <w:proofErr w:type="spellStart"/>
      <w:r w:rsidRPr="00E11754">
        <w:rPr>
          <w:rFonts w:ascii="Times New Roman" w:hAnsi="Times New Roman" w:cs="Times New Roman"/>
          <w:b/>
          <w:bCs/>
          <w:sz w:val="24"/>
          <w:szCs w:val="24"/>
          <w:lang w:val="en-GB"/>
        </w:rPr>
        <w:t>Publikacja</w:t>
      </w:r>
      <w:proofErr w:type="spellEnd"/>
      <w:r w:rsidRPr="00E11754">
        <w:rPr>
          <w:rFonts w:ascii="Times New Roman" w:hAnsi="Times New Roman" w:cs="Times New Roman"/>
          <w:b/>
          <w:bCs/>
          <w:sz w:val="24"/>
          <w:szCs w:val="24"/>
          <w:lang w:val="en-GB"/>
        </w:rPr>
        <w:t xml:space="preserve"> 5.</w:t>
      </w:r>
      <w:bookmarkEnd w:id="27"/>
      <w:bookmarkEnd w:id="28"/>
      <w:r w:rsidRPr="00E11754">
        <w:rPr>
          <w:rFonts w:ascii="Times New Roman" w:hAnsi="Times New Roman" w:cs="Times New Roman"/>
          <w:b/>
          <w:bCs/>
          <w:sz w:val="24"/>
          <w:szCs w:val="24"/>
          <w:lang w:val="en-GB"/>
        </w:rPr>
        <w:t xml:space="preserve"> </w:t>
      </w:r>
    </w:p>
    <w:p w14:paraId="77303467" w14:textId="17DF1948" w:rsidR="13A8E3F4" w:rsidRPr="00E11754" w:rsidRDefault="13A8E3F4" w:rsidP="092671A4">
      <w:pPr>
        <w:spacing w:line="360" w:lineRule="auto"/>
        <w:rPr>
          <w:rFonts w:ascii="Times New Roman" w:hAnsi="Times New Roman" w:cs="Times New Roman"/>
          <w:color w:val="222222"/>
          <w:sz w:val="24"/>
          <w:szCs w:val="24"/>
          <w:lang w:val="en-GB"/>
        </w:rPr>
      </w:pPr>
      <w:r w:rsidRPr="00E11754">
        <w:rPr>
          <w:rStyle w:val="fau"/>
          <w:rFonts w:ascii="Times New Roman" w:hAnsi="Times New Roman" w:cs="Times New Roman"/>
          <w:color w:val="000000" w:themeColor="text1"/>
          <w:sz w:val="24"/>
          <w:szCs w:val="24"/>
          <w:lang w:val="en-US"/>
        </w:rPr>
        <w:t xml:space="preserve">O. </w:t>
      </w:r>
      <w:proofErr w:type="spellStart"/>
      <w:r w:rsidRPr="00E11754">
        <w:rPr>
          <w:rStyle w:val="fau"/>
          <w:rFonts w:ascii="Times New Roman" w:hAnsi="Times New Roman" w:cs="Times New Roman"/>
          <w:color w:val="000000" w:themeColor="text1"/>
          <w:sz w:val="24"/>
          <w:szCs w:val="24"/>
          <w:lang w:val="en-US"/>
        </w:rPr>
        <w:t>Maliszewska</w:t>
      </w:r>
      <w:proofErr w:type="spellEnd"/>
      <w:r w:rsidRPr="00E11754">
        <w:rPr>
          <w:rStyle w:val="fau"/>
          <w:rFonts w:ascii="Times New Roman" w:hAnsi="Times New Roman" w:cs="Times New Roman"/>
          <w:color w:val="000000" w:themeColor="text1"/>
          <w:sz w:val="24"/>
          <w:szCs w:val="24"/>
          <w:lang w:val="en-US"/>
        </w:rPr>
        <w:t xml:space="preserve">, A. </w:t>
      </w:r>
      <w:proofErr w:type="spellStart"/>
      <w:r w:rsidRPr="00E11754">
        <w:rPr>
          <w:rStyle w:val="fau"/>
          <w:rFonts w:ascii="Times New Roman" w:hAnsi="Times New Roman" w:cs="Times New Roman"/>
          <w:color w:val="000000" w:themeColor="text1"/>
          <w:sz w:val="24"/>
          <w:szCs w:val="24"/>
          <w:lang w:val="en-US"/>
        </w:rPr>
        <w:t>Roszkowska</w:t>
      </w:r>
      <w:proofErr w:type="spellEnd"/>
      <w:r w:rsidRPr="00E11754">
        <w:rPr>
          <w:rStyle w:val="fau"/>
          <w:rFonts w:ascii="Times New Roman" w:hAnsi="Times New Roman" w:cs="Times New Roman"/>
          <w:color w:val="000000" w:themeColor="text1"/>
          <w:sz w:val="24"/>
          <w:szCs w:val="24"/>
          <w:lang w:val="en-US"/>
        </w:rPr>
        <w:t xml:space="preserve">, M. </w:t>
      </w:r>
      <w:proofErr w:type="spellStart"/>
      <w:r w:rsidRPr="00E11754">
        <w:rPr>
          <w:rStyle w:val="fau"/>
          <w:rFonts w:ascii="Times New Roman" w:hAnsi="Times New Roman" w:cs="Times New Roman"/>
          <w:color w:val="000000" w:themeColor="text1"/>
          <w:sz w:val="24"/>
          <w:szCs w:val="24"/>
          <w:lang w:val="en-US"/>
        </w:rPr>
        <w:t>Lipiński</w:t>
      </w:r>
      <w:proofErr w:type="spellEnd"/>
      <w:r w:rsidRPr="00E11754">
        <w:rPr>
          <w:rStyle w:val="fau"/>
          <w:rFonts w:ascii="Times New Roman" w:hAnsi="Times New Roman" w:cs="Times New Roman"/>
          <w:color w:val="000000" w:themeColor="text1"/>
          <w:sz w:val="24"/>
          <w:szCs w:val="24"/>
          <w:lang w:val="en-US"/>
        </w:rPr>
        <w:t xml:space="preserve">, N. </w:t>
      </w:r>
      <w:proofErr w:type="spellStart"/>
      <w:r w:rsidRPr="00E11754">
        <w:rPr>
          <w:rStyle w:val="fau"/>
          <w:rFonts w:ascii="Times New Roman" w:hAnsi="Times New Roman" w:cs="Times New Roman"/>
          <w:color w:val="000000" w:themeColor="text1"/>
          <w:sz w:val="24"/>
          <w:szCs w:val="24"/>
          <w:lang w:val="en-US"/>
        </w:rPr>
        <w:t>Treder</w:t>
      </w:r>
      <w:proofErr w:type="spellEnd"/>
      <w:r w:rsidRPr="00E11754">
        <w:rPr>
          <w:rStyle w:val="fau"/>
          <w:rFonts w:ascii="Times New Roman" w:hAnsi="Times New Roman" w:cs="Times New Roman"/>
          <w:color w:val="000000" w:themeColor="text1"/>
          <w:sz w:val="24"/>
          <w:szCs w:val="24"/>
          <w:lang w:val="en-US"/>
        </w:rPr>
        <w:t xml:space="preserve">, I. </w:t>
      </w:r>
      <w:proofErr w:type="spellStart"/>
      <w:r w:rsidRPr="00E11754">
        <w:rPr>
          <w:rStyle w:val="fau"/>
          <w:rFonts w:ascii="Times New Roman" w:hAnsi="Times New Roman" w:cs="Times New Roman"/>
          <w:color w:val="000000" w:themeColor="text1"/>
          <w:sz w:val="24"/>
          <w:szCs w:val="24"/>
          <w:lang w:val="en-US"/>
        </w:rPr>
        <w:t>Olędzka</w:t>
      </w:r>
      <w:proofErr w:type="spellEnd"/>
      <w:r w:rsidRPr="00E11754">
        <w:rPr>
          <w:rStyle w:val="fau"/>
          <w:rFonts w:ascii="Times New Roman" w:hAnsi="Times New Roman" w:cs="Times New Roman"/>
          <w:color w:val="000000" w:themeColor="text1"/>
          <w:sz w:val="24"/>
          <w:szCs w:val="24"/>
          <w:lang w:val="en-US"/>
        </w:rPr>
        <w:t xml:space="preserve">, P. Kowalski, T. </w:t>
      </w:r>
      <w:proofErr w:type="spellStart"/>
      <w:r w:rsidRPr="00E11754">
        <w:rPr>
          <w:rStyle w:val="fau"/>
          <w:rFonts w:ascii="Times New Roman" w:hAnsi="Times New Roman" w:cs="Times New Roman"/>
          <w:color w:val="000000" w:themeColor="text1"/>
          <w:sz w:val="24"/>
          <w:szCs w:val="24"/>
          <w:lang w:val="en-US"/>
        </w:rPr>
        <w:t>Bączek</w:t>
      </w:r>
      <w:proofErr w:type="spellEnd"/>
      <w:r w:rsidRPr="00E11754">
        <w:rPr>
          <w:rStyle w:val="fau"/>
          <w:rFonts w:ascii="Times New Roman" w:hAnsi="Times New Roman" w:cs="Times New Roman"/>
          <w:color w:val="000000" w:themeColor="text1"/>
          <w:sz w:val="24"/>
          <w:szCs w:val="24"/>
          <w:lang w:val="en-US"/>
        </w:rPr>
        <w:t xml:space="preserve">, E. </w:t>
      </w:r>
      <w:proofErr w:type="spellStart"/>
      <w:r w:rsidRPr="00E11754">
        <w:rPr>
          <w:rStyle w:val="fau"/>
          <w:rFonts w:ascii="Times New Roman" w:hAnsi="Times New Roman" w:cs="Times New Roman"/>
          <w:color w:val="000000" w:themeColor="text1"/>
          <w:sz w:val="24"/>
          <w:szCs w:val="24"/>
          <w:lang w:val="en-US"/>
        </w:rPr>
        <w:t>Bień</w:t>
      </w:r>
      <w:proofErr w:type="spellEnd"/>
      <w:r w:rsidRPr="00E11754">
        <w:rPr>
          <w:rStyle w:val="fau"/>
          <w:rFonts w:ascii="Times New Roman" w:hAnsi="Times New Roman" w:cs="Times New Roman"/>
          <w:color w:val="000000" w:themeColor="text1"/>
          <w:sz w:val="24"/>
          <w:szCs w:val="24"/>
          <w:lang w:val="en-US"/>
        </w:rPr>
        <w:t xml:space="preserve">, M. A. Krawczyk, A. </w:t>
      </w:r>
      <w:proofErr w:type="spellStart"/>
      <w:r w:rsidRPr="00E11754">
        <w:rPr>
          <w:rStyle w:val="fau"/>
          <w:rFonts w:ascii="Times New Roman" w:hAnsi="Times New Roman" w:cs="Times New Roman"/>
          <w:color w:val="000000" w:themeColor="text1"/>
          <w:sz w:val="24"/>
          <w:szCs w:val="24"/>
          <w:lang w:val="en-US"/>
        </w:rPr>
        <w:t>Plenis</w:t>
      </w:r>
      <w:proofErr w:type="spellEnd"/>
      <w:r w:rsidRPr="00E11754">
        <w:rPr>
          <w:rStyle w:val="fau"/>
          <w:rFonts w:ascii="Times New Roman" w:hAnsi="Times New Roman" w:cs="Times New Roman"/>
          <w:color w:val="000000" w:themeColor="text1"/>
          <w:sz w:val="24"/>
          <w:szCs w:val="24"/>
          <w:lang w:val="en-US"/>
        </w:rPr>
        <w:t xml:space="preserve">, </w:t>
      </w:r>
      <w:r w:rsidRPr="00E11754">
        <w:rPr>
          <w:rFonts w:ascii="Times New Roman" w:hAnsi="Times New Roman" w:cs="Times New Roman"/>
          <w:color w:val="222222"/>
          <w:sz w:val="24"/>
          <w:szCs w:val="24"/>
          <w:lang w:val="en-GB"/>
        </w:rPr>
        <w:t xml:space="preserve">Profiling Docetaxel in Plasma and Urine Samples from a </w:t>
      </w:r>
      <w:proofErr w:type="spellStart"/>
      <w:r w:rsidRPr="00E11754">
        <w:rPr>
          <w:rFonts w:ascii="Times New Roman" w:hAnsi="Times New Roman" w:cs="Times New Roman"/>
          <w:color w:val="222222"/>
          <w:sz w:val="24"/>
          <w:szCs w:val="24"/>
          <w:lang w:val="en-GB"/>
        </w:rPr>
        <w:t>Pediatric</w:t>
      </w:r>
      <w:proofErr w:type="spellEnd"/>
      <w:r w:rsidRPr="00E11754">
        <w:rPr>
          <w:rFonts w:ascii="Times New Roman" w:hAnsi="Times New Roman" w:cs="Times New Roman"/>
          <w:color w:val="222222"/>
          <w:sz w:val="24"/>
          <w:szCs w:val="24"/>
          <w:lang w:val="en-GB"/>
        </w:rPr>
        <w:t xml:space="preserve"> Cancer Patient Using Ultrasound-Assisted Dispersive Liquid–Liquid Microextraction Combined with LC–MS/MS, </w:t>
      </w:r>
      <w:r w:rsidRPr="00E11754">
        <w:rPr>
          <w:rFonts w:ascii="Times New Roman" w:hAnsi="Times New Roman" w:cs="Times New Roman"/>
          <w:i/>
          <w:iCs/>
          <w:color w:val="222222"/>
          <w:sz w:val="24"/>
          <w:szCs w:val="24"/>
          <w:lang w:val="en-GB"/>
        </w:rPr>
        <w:t>Pharmaceutics</w:t>
      </w:r>
      <w:r w:rsidRPr="00E11754">
        <w:rPr>
          <w:rFonts w:ascii="Times New Roman" w:hAnsi="Times New Roman" w:cs="Times New Roman"/>
          <w:color w:val="222222"/>
          <w:sz w:val="24"/>
          <w:szCs w:val="24"/>
          <w:lang w:val="en-GB"/>
        </w:rPr>
        <w:t> </w:t>
      </w:r>
      <w:r w:rsidRPr="00E11754">
        <w:rPr>
          <w:rFonts w:ascii="Times New Roman" w:hAnsi="Times New Roman" w:cs="Times New Roman"/>
          <w:b/>
          <w:bCs/>
          <w:color w:val="222222"/>
          <w:sz w:val="24"/>
          <w:szCs w:val="24"/>
          <w:lang w:val="en-GB"/>
        </w:rPr>
        <w:t>2023</w:t>
      </w:r>
      <w:r w:rsidRPr="00E11754">
        <w:rPr>
          <w:rFonts w:ascii="Times New Roman" w:hAnsi="Times New Roman" w:cs="Times New Roman"/>
          <w:color w:val="222222"/>
          <w:sz w:val="24"/>
          <w:szCs w:val="24"/>
          <w:lang w:val="en-GB"/>
        </w:rPr>
        <w:t>, </w:t>
      </w:r>
      <w:r w:rsidRPr="00E11754">
        <w:rPr>
          <w:rFonts w:ascii="Times New Roman" w:hAnsi="Times New Roman" w:cs="Times New Roman"/>
          <w:i/>
          <w:iCs/>
          <w:color w:val="222222"/>
          <w:sz w:val="24"/>
          <w:szCs w:val="24"/>
          <w:lang w:val="en-GB"/>
        </w:rPr>
        <w:t>15</w:t>
      </w:r>
      <w:r w:rsidRPr="00E11754">
        <w:rPr>
          <w:rFonts w:ascii="Times New Roman" w:hAnsi="Times New Roman" w:cs="Times New Roman"/>
          <w:color w:val="222222"/>
          <w:sz w:val="24"/>
          <w:szCs w:val="24"/>
          <w:lang w:val="en-GB"/>
        </w:rPr>
        <w:t>, 1255</w:t>
      </w:r>
    </w:p>
    <w:p w14:paraId="0ED84B89" w14:textId="764DB47D" w:rsidR="68F04FAE" w:rsidRPr="00E11754" w:rsidRDefault="68F04FAE" w:rsidP="00BC798E">
      <w:pPr>
        <w:spacing w:before="120" w:after="120" w:line="360" w:lineRule="auto"/>
        <w:rPr>
          <w:rFonts w:ascii="Times New Roman" w:eastAsia="Times New Roman" w:hAnsi="Times New Roman" w:cs="Times New Roman"/>
          <w:b/>
          <w:i/>
          <w:sz w:val="24"/>
          <w:szCs w:val="24"/>
        </w:rPr>
      </w:pPr>
      <w:r w:rsidRPr="00E11754">
        <w:rPr>
          <w:rFonts w:ascii="Times New Roman" w:eastAsia="Times New Roman" w:hAnsi="Times New Roman" w:cs="Times New Roman"/>
          <w:b/>
          <w:bCs/>
          <w:i/>
          <w:iCs/>
          <w:sz w:val="24"/>
          <w:szCs w:val="24"/>
        </w:rPr>
        <w:t>Wprowadzenie</w:t>
      </w:r>
    </w:p>
    <w:p w14:paraId="381B8BBE" w14:textId="351FC24B" w:rsidR="0029277C" w:rsidRPr="00E11754" w:rsidRDefault="0029277C" w:rsidP="73583DCA">
      <w:pPr>
        <w:spacing w:line="360" w:lineRule="auto"/>
        <w:jc w:val="both"/>
        <w:rPr>
          <w:rFonts w:ascii="Times New Roman" w:hAnsi="Times New Roman" w:cs="Times New Roman"/>
          <w:sz w:val="24"/>
          <w:szCs w:val="24"/>
        </w:rPr>
      </w:pPr>
      <w:r w:rsidRPr="00E11754">
        <w:rPr>
          <w:rFonts w:ascii="Times New Roman" w:hAnsi="Times New Roman" w:cs="Times New Roman"/>
          <w:sz w:val="24"/>
          <w:szCs w:val="24"/>
          <w:shd w:val="clear" w:color="auto" w:fill="FFFFFF"/>
        </w:rPr>
        <w:tab/>
      </w:r>
      <w:r w:rsidR="4EF80E68" w:rsidRPr="00E11754">
        <w:rPr>
          <w:rFonts w:ascii="Times New Roman" w:eastAsia="Times New Roman" w:hAnsi="Times New Roman" w:cs="Times New Roman"/>
          <w:color w:val="000000" w:themeColor="text1"/>
          <w:sz w:val="24"/>
          <w:szCs w:val="24"/>
        </w:rPr>
        <w:t xml:space="preserve"> </w:t>
      </w:r>
      <w:r w:rsidRPr="00E11754">
        <w:rPr>
          <w:rFonts w:ascii="Times New Roman" w:hAnsi="Times New Roman" w:cs="Times New Roman"/>
          <w:sz w:val="24"/>
          <w:szCs w:val="24"/>
          <w:shd w:val="clear" w:color="auto" w:fill="FFFFFF"/>
        </w:rPr>
        <w:t xml:space="preserve"> </w:t>
      </w:r>
      <w:proofErr w:type="spellStart"/>
      <w:r w:rsidRPr="00E11754">
        <w:rPr>
          <w:rFonts w:ascii="Times New Roman" w:hAnsi="Times New Roman" w:cs="Times New Roman"/>
          <w:sz w:val="24"/>
          <w:szCs w:val="24"/>
          <w:shd w:val="clear" w:color="auto" w:fill="FFFFFF"/>
        </w:rPr>
        <w:t>Docetaksel</w:t>
      </w:r>
      <w:proofErr w:type="spellEnd"/>
      <w:r w:rsidRPr="00E11754">
        <w:rPr>
          <w:rFonts w:ascii="Times New Roman" w:hAnsi="Times New Roman" w:cs="Times New Roman"/>
          <w:sz w:val="24"/>
          <w:szCs w:val="24"/>
          <w:shd w:val="clear" w:color="auto" w:fill="FFFFFF"/>
        </w:rPr>
        <w:t xml:space="preserve"> to cytostatyk dopuszcz</w:t>
      </w:r>
      <w:r w:rsidR="424734AD" w:rsidRPr="00E11754">
        <w:rPr>
          <w:rFonts w:ascii="Times New Roman" w:hAnsi="Times New Roman" w:cs="Times New Roman"/>
          <w:sz w:val="24"/>
          <w:szCs w:val="24"/>
        </w:rPr>
        <w:t xml:space="preserve">ony do lecznictwa </w:t>
      </w:r>
      <w:r w:rsidRPr="00E11754">
        <w:rPr>
          <w:rFonts w:ascii="Times New Roman" w:hAnsi="Times New Roman" w:cs="Times New Roman"/>
          <w:sz w:val="24"/>
          <w:szCs w:val="24"/>
          <w:shd w:val="clear" w:color="auto" w:fill="FFFFFF"/>
        </w:rPr>
        <w:t>przez FDA w 1996 roku,</w:t>
      </w:r>
      <w:r w:rsidR="424734AD" w:rsidRPr="00E11754">
        <w:rPr>
          <w:rFonts w:ascii="Times New Roman" w:hAnsi="Times New Roman" w:cs="Times New Roman"/>
          <w:sz w:val="24"/>
          <w:szCs w:val="24"/>
          <w:shd w:val="clear" w:color="auto" w:fill="FFFFFF"/>
        </w:rPr>
        <w:t xml:space="preserve"> który </w:t>
      </w:r>
      <w:r w:rsidR="424734AD" w:rsidRPr="00E11754">
        <w:rPr>
          <w:rFonts w:ascii="Times New Roman" w:hAnsi="Times New Roman" w:cs="Times New Roman"/>
          <w:sz w:val="24"/>
          <w:szCs w:val="24"/>
        </w:rPr>
        <w:t>jest nadal szeroko</w:t>
      </w:r>
      <w:r w:rsidRPr="00E11754">
        <w:rPr>
          <w:rFonts w:ascii="Times New Roman" w:hAnsi="Times New Roman" w:cs="Times New Roman"/>
          <w:sz w:val="24"/>
          <w:szCs w:val="24"/>
          <w:shd w:val="clear" w:color="auto" w:fill="FFFFFF"/>
        </w:rPr>
        <w:t xml:space="preserve"> stosowany </w:t>
      </w:r>
      <w:r w:rsidR="424734AD" w:rsidRPr="00E11754">
        <w:rPr>
          <w:rFonts w:ascii="Times New Roman" w:hAnsi="Times New Roman" w:cs="Times New Roman"/>
          <w:sz w:val="24"/>
          <w:szCs w:val="24"/>
        </w:rPr>
        <w:t>w onkologii</w:t>
      </w:r>
      <w:r w:rsidR="002A3187">
        <w:rPr>
          <w:rFonts w:ascii="Times New Roman" w:hAnsi="Times New Roman" w:cs="Times New Roman"/>
          <w:sz w:val="24"/>
          <w:szCs w:val="24"/>
        </w:rPr>
        <w:t xml:space="preserve"> </w:t>
      </w:r>
      <w:r w:rsidR="00CD53D1">
        <w:rPr>
          <w:rFonts w:ascii="Times New Roman" w:hAnsi="Times New Roman" w:cs="Times New Roman"/>
          <w:sz w:val="24"/>
          <w:szCs w:val="24"/>
        </w:rPr>
        <w:fldChar w:fldCharType="begin" w:fldLock="1"/>
      </w:r>
      <w:r w:rsidR="003F195C">
        <w:rPr>
          <w:rFonts w:ascii="Times New Roman" w:hAnsi="Times New Roman" w:cs="Times New Roman"/>
          <w:sz w:val="24"/>
          <w:szCs w:val="24"/>
        </w:rPr>
        <w:instrText>ADDIN CSL_CITATION {"citationItems":[{"id":"ITEM-1","itemData":{"DOI":"10.1016/j.ejon.2008.10.003","ISSN":"14623889","PMID":"19201649","abstract":"Docetaxel is an effective treatment approved in five key cancers, but its effectiveness in clinical practice can be compromised by sub-optimal side-effect management. The aim of this review was to investigate the extent of the published work on specific docetaxel-related side effects and to provide, where possible, evidence-based recommendations for their prevention and management. PubMed and the American Society of Clinical Oncology (ASCO) databases were systematically searched for articles published in English over the past 5 years and 2 years, respectively, and pertaining to six side effects identified as being common to the majority of docetaxel regimens and indications and of particular relevance to the oncology nurse. The Cochrane library was also searched. A total of 103 citations were identified, 14 of which discussed strategies for the prevention or management of febrile neutropenia (n = 6), hypersensitivity reactions (3), fluid retention (1) and nail changes (4). No articles were identified that related to asthenia or neuropathy. Based on the literature review, evidence/guidelines-based advice for the use of G-CSF in febrile neutropenia is provided. The evidence base with respect to the other side effects does not permit the formulation of recommendations. It is the experience of the authors, however, that the severity of symptoms experienced by patients is generally mild and the side effects are for the most part easily managed with prophylactic and supportive care measures. It is, therefore, important to share and build on experiences, through research and discussion, to maximise the healthcare professional's ability to offer the best standard of care to patients. © 2008 Elsevier Ltd. All rights reserved.","author":[{"dropping-particle":"","family":"Baker","given":"Jackie","non-dropping-particle":"","parse-names":false,"suffix":""},{"dropping-particle":"","family":"Ajani","given":"Jaffer","non-dropping-particle":"","parse-names":false,"suffix":""},{"dropping-particle":"","family":"Scotté","given":"Florian","non-dropping-particle":"","parse-names":false,"suffix":""},{"dropping-particle":"","family":"Winther","given":"Dorte","non-dropping-particle":"","parse-names":false,"suffix":""},{"dropping-particle":"","family":"Martin","given":"Miguel","non-dropping-particle":"","parse-names":false,"suffix":""},{"dropping-particle":"","family":"Aapro","given":"Matti S.","non-dropping-particle":"","parse-names":false,"suffix":""},{"dropping-particle":"","family":"Minckwitz","given":"Gunter","non-dropping-particle":"von","parse-names":false,"suffix":""}],"container-title":"European Journal of Oncology Nursing","id":"ITEM-1","issue":"1","issued":{"date-parts":[["2009"]]},"page":"49-59","publisher":"Elsevier Ltd","title":"Docetaxel-related side effects and their management","type":"article-journal","volume":"13"},"uris":["http://www.mendeley.com/documents/?uuid=6a7a9882-1db6-4af0-9963-10b51527ac0d"]},{"id":"ITEM-2","itemData":{"DOI":"10.1002/pbc.25035","abstract":"Background: Hemophagocytic lymphohistiocytosis (HLH) is a rare multisystem disorder that frequently involves the central nervous system (CNS). We compared the clinical characteristics, treatment, and prognosis of patients with HLH according to the degree of CNS involvement. Methods: The clinical manifestations, initial laboratory data, treatment, and outcomes for 50 patients diagnosed with HLH and treated at Asan Medical Center between January 1995 and August 2011 were retrospectively reviewed and analyzed. CNS involvement was defined as the presence of neurological symptoms or an elevated white blood cell (WBC) count in the cerebrospinal fluid (CSF). Results: Among these 50 patients, 23 (46%) developed CNS disease. Among patients with CNS disease, 19 had neurological symptoms, including seizures, altered consciousness, facial palsy, dysarthria, and dysphagia. Four patients had elevated CSF WBC counts without neurological symptoms. Twelve patients had abnormal brain imaging results, including high signal intensity lesions on T2-weighted magnetic resonance imaging (MRI) findings, ventriculomegaly, hemorrhage, atrophy, and leptomeningeal enhancement. Patients with CNS disease had lower ferritin, aspartate aminotransferase (AST), and alanine aminotransferase (ALT) levels as well as reduced 5-year survival as compared to those without CNS disease. Conclusion: CNS involvement is common among patients with HLH. Overall, patients with CNS disease achieve poorer outcomes than patients without CNS involvement. To improve outcomes, physicians must carefully monitor the neurological manifestations in patients with HLH and administer the appropriate course of intensified chemotherapy to patients with CNS disease. © 2012 Korean Society of Hematology.","author":[{"dropping-particle":"","family":"Bong Sup Song, Juhee Seo, Dong Ho Kim, Jung Sub Lim, Ji Young Yoo","given":"Jun Ah Lee","non-dropping-particle":"","parse-names":false,"suffix":""}],"container-title":"Pediatric Blood &amp; Cancer","id":"ITEM-2","issued":{"date-parts":[["2014"]]},"page":"1376-1381","title":"Gemcitabine and Docetaxel for the Treatment of Children and Adolescents with Recurrent or Refractory Osteosarcoma: Korea Cancer Center Hospital Experience","type":"article-journal","volume":"61"},"uris":["http://www.mendeley.com/documents/?uuid=c007e4e5-1314-4a72-84c8-116bbf24f7f8"]},{"id":"ITEM-3","itemData":{"DOI":"10.1186/1471-2407-14-622","ISSN":"14712407","PMID":"25164234","abstract":"Background: Patients with Ewing sarcoma family of tumors (ESFT) who are resistant even to salvage chemotherapy, have dismal prognoses and few therapeutic options. Because the docetaxel/irinotecan (DI) combination has not been previously evaluated in ESFT, we prospectively evaluated its use in patients with recurrent or refractory ESFT. Methods: Patients aged &lt;30 years with ESFT, who failed ≥ third-line therapy, were eligible. They received docetaxel 100 mg/m2 intravenously on day 1, and irinotecan 80 mg/m2 on days 1 and 8, of a 21-day cycle up to 15 cycles or until disease progressed. The primary objective was objective response rate (ORR); secondary objectives were progression-free survival (PFS) and safety. Results: We enrolled nine patients (median age: 13 years); four were male. Two patients had recurrent disease and seven had progressive disease. This group had undergone a median of four prior chemotherapy regimens (range: 3-6), and received a total of 51 DI cycles (median: three cycles/per person; range: 1-15 cycles). The nine patients showed one complete response (CR), two partial responses (PRs), one stable disease, and five progressive diseases, for an ORR (CR + PR) of 3/9 (33.3%). Two patients with PR achieved CR with subsequent surgery. Overall median PFS was 2.2 months (range: 0.5-16.9 months). All nine patients had grade 4 neutropenia (100%); grade 3 diarrhea or grade 2/3 neuropathy each occurred in two patients (22%). All toxicities were manageable without serious morbidities or treatment-related mortality. Conclusions: The DI combination may be effective and tolerable for patients with heavily pre-treated ESFT. Trial registration: NCT01380275. Registered June 21, 2011.","author":[{"dropping-particle":"","family":"Yoon","given":"Jong H.","non-dropping-particle":"","parse-names":false,"suffix":""},{"dropping-particle":"","family":"Kwon","given":"Mi M.","non-dropping-particle":"","parse-names":false,"suffix":""},{"dropping-particle":"","family":"Park","given":"Hyeon J.","non-dropping-particle":"","parse-names":false,"suffix":""},{"dropping-particle":"","family":"Park","given":"Seog Y.","non-dropping-particle":"","parse-names":false,"suffix":""},{"dropping-particle":"","family":"Lim","given":"Kun Y.","non-dropping-particle":"","parse-names":false,"suffix":""},{"dropping-particle":"","family":"Joo","given":"Jungnam","non-dropping-particle":"","parse-names":false,"suffix":""},{"dropping-particle":"","family":"Park","given":"Byung Kiu","non-dropping-particle":"","parse-names":false,"suffix":""}],"container-title":"BMC Cancer","id":"ITEM-3","issue":"1","issued":{"date-parts":[["2014"]]},"page":"1-9","title":"A study of docetaxel and irinotecan in children and young adults with recurrent or refractory Ewing sarcoma family of tumors","type":"article-journal","volume":"14"},"uris":["http://www.mendeley.com/documents/?uuid=add48131-803b-4458-92a2-2a391ce86e7f"]},{"id":"ITEM-4","itemData":{"DOI":"10.1097/MPH.0000000000001674","ISSN":"15363678","PMID":"31725539","abstract":"Cardiac angiosarcoma (AS) is an extremely rare, malignant vascular tumor with &lt;10 cases reported in the pediatric literature. Prognosis is dismal with overall survival often &lt;1 year from initial diagnosis. In this report, we present the case of a 10-year-old boy with metastatic cardiac AS who is currently alive and is the longest pediatric survivor of metastatic cardiac AS reported in the literature. This is the only published pediatric case to successfully use a combination of surgical resection, conventional chemotherapy, radiation and targeted therapies including bevacizumab and pazopanib for metastatic cardiac AS.","author":[{"dropping-particle":"","family":"Koo","given":"Jane","non-dropping-particle":"","parse-names":false,"suffix":""},{"dropping-particle":"","family":"Knight-Perry","given":"Jessica","non-dropping-particle":"","parse-names":false,"suffix":""},{"dropping-particle":"","family":"Galambos","given":"Csaba","non-dropping-particle":"","parse-names":false,"suffix":""},{"dropping-particle":"","family":"Browne","given":"Lorna P.","non-dropping-particle":"","parse-names":false,"suffix":""},{"dropping-particle":"","family":"Cost","given":"Carrye R.","non-dropping-particle":"","parse-names":false,"suffix":""}],"container-title":"Journal of Pediatric Hematology/Oncology","id":"ITEM-4","issue":"2","issued":{"date-parts":[["2021"]]},"page":"e203-e206","title":"Pediatric metastatic cardiac angiosarcoma successfully treated with multimodal therapy: Case report and review of literature","type":"article-journal","volume":"43"},"uris":["http://www.mendeley.com/documents/?uuid=de0c16f5-6dac-4700-9ef9-97949dfa3c51"]},{"id":"ITEM-5","itemData":{"DOI":"10.1111/cas.12647","ISSN":"13497006","PMID":"25728850","abstract":"Docetaxel (Taxotere®) has been one of the most important chemotherapeutic drugs for cancer treatment since 1996. Although a large number of clinical studies have been conducted in various cancer fields, there is a discrepancy in the standard dose between Japan and Western countries. This article reviews the pharmacokinetic, pharmacodynamic and toxicological profiles of docetaxel, and explains why there exists an ethnic difference in dose, and further discusses which direction we should go forward to solve this problem. The original recommended dose was 100 mg/m2 every 3 weeks in US and European populations, while a Japanese phase I study suggested the recommended dose as 60 mg/m2 every 3 weeks. A prospective population pharmacokinetic analysis of docetaxel conducted in both the USA/Europe and Japan, indicated an absence of ethnic difference in the pharmacokinetics. Both analyses demonstrated that docetaxel clearance is related to α1-acid glycoprotein level, hepatic function, age and body surface area. The relationship was observed between increasing docetaxel dose and increased tumor response rates across the dose range of 60 to 100 mg/m2. The area under the serum concentration time curve (AUC) of docetaxel at the first cycle was significantly related to time to progression. Hematological toxicities were well correlated with the AUC of docetaxel, and severe hematological toxicities were more frequently observed in Japanese patients treated with 60 mg/m2, compared to the US/European patients treated with 75-100 mg/m2 dose. The Japanese population seems more susceptible to the toxicity of docetaxel. A docetaxel dose of 75 mg/m2 is now standard not only in global trials but also in recent Japanese trials. Although the optimal dose of docetaxel is still unclear, we need to continue to seek the appropriate dose of docetaxel depending on patient status and the goals of chemotherapy.","author":[{"dropping-particle":"","family":"Kenmotsu","given":"Hirotsugu","non-dropping-particle":"","parse-names":false,"suffix":""},{"dropping-particle":"","family":"Tanigawara","given":"Yusuke","non-dropping-particle":"","parse-names":false,"suffix":""}],"container-title":"Cancer Science","id":"ITEM-5","issue":"5","issued":{"date-parts":[["2015"]]},"page":"497-504","title":"Pharmacokinetics, dynamics and toxicity of docetaxel: Why the Japanese dose differs from the Western dose","type":"article-journal","volume":"106"},"uris":["http://www.mendeley.com/documents/?uuid=5a34cacf-2aa5-492d-91b5-30c448e289f2"]}],"mendeley":{"formattedCitation":"[104]–[108]","plainTextFormattedCitation":"[104]–[108]","previouslyFormattedCitation":"[104]–[108]"},"properties":{"noteIndex":0},"schema":"https://github.com/citation-style-language/schema/raw/master/csl-citation.json"}</w:instrText>
      </w:r>
      <w:r w:rsidR="00CD53D1">
        <w:rPr>
          <w:rFonts w:ascii="Times New Roman" w:hAnsi="Times New Roman" w:cs="Times New Roman"/>
          <w:sz w:val="24"/>
          <w:szCs w:val="24"/>
        </w:rPr>
        <w:fldChar w:fldCharType="separate"/>
      </w:r>
      <w:r w:rsidR="003F195C" w:rsidRPr="003F195C">
        <w:rPr>
          <w:rFonts w:ascii="Times New Roman" w:hAnsi="Times New Roman" w:cs="Times New Roman"/>
          <w:noProof/>
          <w:sz w:val="24"/>
          <w:szCs w:val="24"/>
        </w:rPr>
        <w:t>[104]–[108]</w:t>
      </w:r>
      <w:r w:rsidR="00CD53D1">
        <w:rPr>
          <w:rFonts w:ascii="Times New Roman" w:hAnsi="Times New Roman" w:cs="Times New Roman"/>
          <w:sz w:val="24"/>
          <w:szCs w:val="24"/>
        </w:rPr>
        <w:fldChar w:fldCharType="end"/>
      </w:r>
      <w:r w:rsidRPr="00E11754">
        <w:rPr>
          <w:rFonts w:ascii="Times New Roman" w:hAnsi="Times New Roman" w:cs="Times New Roman"/>
          <w:sz w:val="24"/>
          <w:szCs w:val="24"/>
          <w:shd w:val="clear" w:color="auto" w:fill="FFFFFF"/>
        </w:rPr>
        <w:t xml:space="preserve">. </w:t>
      </w:r>
      <w:r w:rsidR="409D4717" w:rsidRPr="00E11754">
        <w:rPr>
          <w:rFonts w:ascii="Times New Roman" w:hAnsi="Times New Roman" w:cs="Times New Roman"/>
          <w:sz w:val="24"/>
          <w:szCs w:val="24"/>
        </w:rPr>
        <w:t>Jednakże, w</w:t>
      </w:r>
      <w:r w:rsidRPr="00E11754">
        <w:rPr>
          <w:rFonts w:ascii="Times New Roman" w:hAnsi="Times New Roman" w:cs="Times New Roman"/>
          <w:sz w:val="24"/>
          <w:szCs w:val="24"/>
          <w:shd w:val="clear" w:color="auto" w:fill="FFFFFF"/>
        </w:rPr>
        <w:t xml:space="preserve">iele </w:t>
      </w:r>
      <w:r w:rsidR="424734AD" w:rsidRPr="00E11754">
        <w:rPr>
          <w:rFonts w:ascii="Times New Roman" w:hAnsi="Times New Roman" w:cs="Times New Roman"/>
          <w:sz w:val="24"/>
          <w:szCs w:val="24"/>
        </w:rPr>
        <w:t>badań</w:t>
      </w:r>
      <w:r w:rsidRPr="00E11754">
        <w:rPr>
          <w:rFonts w:ascii="Times New Roman" w:hAnsi="Times New Roman" w:cs="Times New Roman"/>
          <w:sz w:val="24"/>
          <w:szCs w:val="24"/>
          <w:shd w:val="clear" w:color="auto" w:fill="FFFFFF"/>
        </w:rPr>
        <w:t xml:space="preserve"> wskazuje na znaczne różnice farmakokinetyczne w przypadku podania pacjentom tego leku</w:t>
      </w:r>
      <w:r w:rsidR="00CD53D1">
        <w:rPr>
          <w:rFonts w:ascii="Times New Roman" w:hAnsi="Times New Roman" w:cs="Times New Roman"/>
          <w:sz w:val="24"/>
          <w:szCs w:val="24"/>
          <w:shd w:val="clear" w:color="auto" w:fill="FFFFFF"/>
        </w:rPr>
        <w:t xml:space="preserve"> </w:t>
      </w:r>
      <w:r w:rsidR="00D757A7">
        <w:rPr>
          <w:rFonts w:ascii="Times New Roman" w:hAnsi="Times New Roman" w:cs="Times New Roman"/>
          <w:sz w:val="24"/>
          <w:szCs w:val="24"/>
          <w:shd w:val="clear" w:color="auto" w:fill="FFFFFF"/>
        </w:rPr>
        <w:fldChar w:fldCharType="begin" w:fldLock="1"/>
      </w:r>
      <w:r w:rsidR="003F195C">
        <w:rPr>
          <w:rFonts w:ascii="Times New Roman" w:hAnsi="Times New Roman" w:cs="Times New Roman"/>
          <w:sz w:val="24"/>
          <w:szCs w:val="24"/>
          <w:shd w:val="clear" w:color="auto" w:fill="FFFFFF"/>
        </w:rPr>
        <w:instrText>ADDIN CSL_CITATION {"citationItems":[{"id":"ITEM-1","itemData":{"DOI":"10.21037/atm.2020.01.76","ISSN":"23055839","abstract":"BACKGROUND: Area under time-concentration curve (AUC) of docetaxel is related with  its toxicity and efficacy. The aim of this study is to investigate the target range of docetaxel AUC in Chinese head and neck cancer (HNC) patients. METHODS: Eligible HNC patients were enrolled and received at least 2 cycles of docetaxel-based chemotherapy. A simplified pharmacokinetic (PK) strategy (2 monitored samples) was developed to simulate docetaxel AUC using the nonlinear mixed-effect modelling program. Preliminary target range of AUC was pre-set as 2.5-3.7 µg·hr/mL according to pooled analysis from 8 previous studies. Fisher exact test was used to analyze the relationship between AUC with neutropenia and efficacy, and to verify the target range. RESULTS: Thirty-nine eligible patients were enrolled. Grade 3-4 and grade 4 neutropenia rate in 1(st) cycle was 64% and 36%, respectively. AUC simulation by simplified PK strategy was acceptable compared to full sampling method from the analysis of archived 300 patients' data, with -5.67% of mean prediction error (MPE). Median AUC of all patients was 2.58 µg·hr/mL (range from 1.28 to 9.39). A significant correlation (P=0.007) was detected between AUC and body surface area (BSA)-dosage, but BSA contributed only 18.3% of AUC inter-individual variability. Docetaxel AUC was significantly related with the severity (grade 3-4) of neutropenia (correlation of coefficient was 0.452, P=0.004). Fourteen patients (36%) were within the target AUC range. Patients with AUC above the target experienced more severe neutropenia (grade 3-4 rate 100% vs. 56%, P=0.036; grade 4 rate 86% vs. 25%, P=0.005). No significant difference of response rate was found between patients within the target or not. CONCLUSIONS: A simplified samples PK strategy was developed for docetaxel AUC simulation. The target range of docetaxel AUC in Chinese HNC patients was suggested at 2.5-3.7 µg·hr/mL for reduced toxicity without compromising efficacy of docetaxel treatment.","author":[{"dropping-particle":"","family":"Ma","given":"Yuxiang","non-dropping-particle":"","parse-names":false,"suffix":""},{"dropping-particle":"","family":"Lin","given":"Qingguang","non-dropping-particle":"","parse-names":false,"suffix":""},{"dropping-particle":"","family":"Yang","given":"Yunpeng","non-dropping-particle":"","parse-names":false,"suffix":""},{"dropping-particle":"","family":"Liang","given":"Weiting","non-dropping-particle":"","parse-names":false,"suffix":""},{"dropping-particle":"","family":"Salamone","given":"S. J.","non-dropping-particle":"","parse-names":false,"suffix":""},{"dropping-particle":"","family":"Li","given":"Yunying","non-dropping-particle":"","parse-names":false,"suffix":""},{"dropping-particle":"","family":"Lin","given":"Yuehao","non-dropping-particle":"","parse-names":false,"suffix":""},{"dropping-particle":"","family":"Zhao","given":"Hongyun","non-dropping-particle":"","parse-names":false,"suffix":""},{"dropping-particle":"","family":"Zhao","given":"Yuanyuan","non-dropping-particle":"","parse-names":false,"suffix":""},{"dropping-particle":"","family":"Fang","given":"Wenfeng","non-dropping-particle":"","parse-names":false,"suffix":""},{"dropping-particle":"","family":"Huang","given":"Yan","non-dropping-particle":"","parse-names":false,"suffix":""},{"dropping-particle":"","family":"Zhang","given":"Li","non-dropping-particle":"","parse-names":false,"suffix":""}],"container-title":"Annals of Translational Medicine","id":"ITEM-1","issue":"5","issued":{"date-parts":[["2020"]]},"page":"236-236","title":"Clinical pharmacokinetics and drug exposure-toxicity correlation  study of docetaxel based chemotherapy in Chinese head and  neck cancer patients","type":"article-journal","volume":"8"},"uris":["http://www.mendeley.com/documents/?uuid=48fa4913-85c8-4d6f-aacc-364208355b7e"]},{"id":"ITEM-2","itemData":{"DOI":"10.1158/1078-0432.CCR-10-1636","ISSN":"10780432","PMID":"21224369","abstract":"Purpose: Docetaxel pharmacokinetic (PK) parameters, notably clearance and exposure (AUC), are characterized by large interindividual variability. The purpose of this study was to evaluate the effect of PKguided [area under the plasma concentration versus time curve (AUC) targeted], individualized docetaxel dosing on interindividual variability in exposure. Experimental Design: A limited sampling strategy in combination with a validated population PK model, Bayesian analysis, and a predefined target AUC was used. Fifteen patients were treated for at least 2 courses with body surface area-based docetaxel and 15 with at least 1 course of PK-guided docetaxel dosing. Results: Interindividual variability (SD of ln AUC) was decreased by 35% (N = 15) after 1 PK-guided course; when all courses were evaluated, variability was decreased by 39% (P = 0.055). PK-guided dosing also decreased the interindividual variability of percentage decrease in white blood cell and absolute neutrophil counts by approximately 50%. Conclusions: Further research is required to determine whether the decrease in PK variability can contribute to a reduction in interindividual variability in efficacy and toxicity. ©2011 AACR.","author":[{"dropping-particle":"","family":"Engels","given":"Frederike K.","non-dropping-particle":"","parse-names":false,"suffix":""},{"dropping-particle":"","family":"Loos","given":"Walter J.","non-dropping-particle":"","parse-names":false,"suffix":""},{"dropping-particle":"","family":"Bol","given":"Jessica M.","non-dropping-particle":"Van Der","parse-names":false,"suffix":""},{"dropping-particle":"","family":"Bruijn","given":"Peter","non-dropping-particle":"De","parse-names":false,"suffix":""},{"dropping-particle":"","family":"Mathijssen","given":"Ron H.J.","non-dropping-particle":"","parse-names":false,"suffix":""},{"dropping-particle":"","family":"Verweij","given":"Jaap","non-dropping-particle":"","parse-names":false,"suffix":""},{"dropping-particle":"","family":"Mathot","given":"Ron A.A.","non-dropping-particle":"","parse-names":false,"suffix":""}],"container-title":"Clinical Cancer Research","id":"ITEM-2","issue":"2","issued":{"date-parts":[["2011"]]},"page":"353-362","title":"Therapeutic drug monitoring for the individualization of docetaxel dosing: A randomized pharmacokinetic study","type":"article-journal","volume":"17"},"uris":["http://www.mendeley.com/documents/?uuid=28bf19a7-2608-47a9-8463-f67eb8fba747"]},{"id":"ITEM-3","itemData":{"DOI":"10.1016/j.cca.2010.11.010","ISSN":"00098981","PMID":"21078312","abstract":"Background: The most valuable treatment option for breast, prostate and lung carcinomas is at present represented by a low dose of docetaxel, administered on a weekly basis. A better understanding of docetaxel pharmacokinetic and pharmacodynamic profiles could lead to an improvement in this dose regimen efficacy. Methods: In this study a high-throughput method is described for the rapid quantification of docetaxel for large clinical pharmacology investigations. This analytical approach is based on an automatic on-line purification and enrichment technique followed by a measurement in tandem mass spectrometry through Multiple Reaction Monitoring. Results: The assay was validated over a 0.15-1500ng/mL range. Intra-day precision ranged from 1.9% to 6.4%, while the inter-day was between 7.6% and 11.2%. The mean deviation from the nominal value ranged from -0.5% to 5.6% for the intra-day, and from -0.4% to 3.1% for the inter-day assay. Clinical applicability was demonstrated by measuring plasma pharmacokinetics in patients receiving weekly 25-35mg/m2 of docetaxel. Conclusion: The proposed LC-MS/MS assay was found to have a better performance than previously reported methods in terms of sensitivity and sample preparation. It does not require any laborious pre-analytical manipulation and can be easily employed in large clinical pharmacology studies. © 2010 Elsevier B.V.","author":[{"dropping-particle":"","family":"Corona","given":"Giuseppe","non-dropping-particle":"","parse-names":false,"suffix":""},{"dropping-particle":"","family":"Elia","given":"Caterina","non-dropping-particle":"","parse-names":false,"suffix":""},{"dropping-particle":"","family":"Casetta","given":"Bruno","non-dropping-particle":"","parse-names":false,"suffix":""},{"dropping-particle":"","family":"Frustaci","given":"Sergio","non-dropping-particle":"","parse-names":false,"suffix":""},{"dropping-particle":"","family":"Toffoli","given":"Giuseppe","non-dropping-particle":"","parse-names":false,"suffix":""}],"container-title":"Clinica Chimica Acta","id":"ITEM-3","issue":"3-4","issued":{"date-parts":[["2011"]]},"page":"358-364","publisher":"Elsevier B.V.","title":"High-throughput plasma docetaxel quantification by liquid chromatography-tandem mass spectrometry","type":"article-journal","volume":"412"},"uris":["http://www.mendeley.com/documents/?uuid=9c99de48-51f9-4787-9255-018750b7511b"]},{"id":"ITEM-4","itemData":{"DOI":"10.1016/j.jchromb.2013.01.017","ISSN":"15700232","PMID":"23422405","abstract":"Docetaxel and temsirolimus are some of the most used drugs in a wide range of solid tumors. In preclinical studies, mTOR inhibitors such as temsirolimus have demonstrated synergistic cytotoxic effects with taxanes providing the rationale for combination studies. These anticancer agents exhibit a narrow therapeutic concentration range and due to their high inter- and intra-individual pharmacokinetic variability, therapeutic dose monitoring by highly sensitive methods as LC-MS/MS are important for clinical research. Therefore, the aim of this study was to develop and validate a sensitive, fast and convenient method for the simultaneous identification and quantification of docetaxel, temsirolimus and its main metabolite, sirolimus, using paclitaxel, another anticancer drug, as the internal standard. These analytes were quantified by an integrated online solid phase extraction-high performance liquid chromatography-tandem mass spectrometry (SPE-HPLC-MS/MS) system. Separation was performed on a Zorbax eclipse XDB-C8 (150. mm × 4.6. mm, 5. μm) column. The mass spectrometer tandem quadruple detector was equipped with jet stream electrospray ionization, monitored in multiple reactions monitoring (MRM) and operated in positive mode. A combination of protein precipitation with methanol/zinc sulphate (70:30) (v/v) and online SPE using a Zorbax eclipse plus C8 (12.5. mm × 4.6. mm, 5. μm) cartridge was used to extract the compounds. This method allows the use of the same reagents, sample treatment and analytical technique independently of whether the samples are whole blood or plasma. The method has been successfully validated and applied to real samples. It is a suitable method for dose adjustment and for evaluating potential drug interactions during combined treatments. © 2013 Elsevier B.V.","author":[{"dropping-particle":"","family":"Navarrete","given":"Alicia","non-dropping-particle":"","parse-names":false,"suffix":""},{"dropping-particle":"","family":"Martínez-Alcázar","given":"M. Paz","non-dropping-particle":"","parse-names":false,"suffix":""},{"dropping-particle":"","family":"Durán","given":"Ignacio","non-dropping-particle":"","parse-names":false,"suffix":""},{"dropping-particle":"","family":"Calvo","given":"Emiliano","non-dropping-particle":"","parse-names":false,"suffix":""},{"dropping-particle":"","family":"Valenzuela","given":"Belén","non-dropping-particle":"","parse-names":false,"suffix":""},{"dropping-particle":"","family":"Barbas","given":"Coral","non-dropping-particle":"","parse-names":false,"suffix":""},{"dropping-particle":"","family":"García","given":"Antonia","non-dropping-particle":"","parse-names":false,"suffix":""}],"container-title":"Journal of Chromatography B: Analytical Technologies in the Biomedical and Life Sciences","id":"ITEM-4","issued":{"date-parts":[["2013"]]},"page":"35-42","publisher":"Elsevier B.V.","title":"Simultaneous online SPE-HPLC-MS/MS analysis of docetaxel, Temsirolimus and sirolimus in whole blood and human plasma","type":"article-journal","volume":"921-922"},"uris":["http://www.mendeley.com/documents/?uuid=aa8282f1-f9b3-409a-8c1c-edc95813bdb6"]},{"id":"ITEM-5","itemData":{"DOI":"10.1016/j.jchromb.2012.02.003","ISSN":"15700232","PMID":"22429876","abstract":"Docetaxel is a taxane family antineoplastic agent widely employed in cancer chemotherapy. We developed a liquid chromatography/tandem mass spectrometry method for the determination of docetaxel in human plasma. Plasma samples were deproteinized by acetonitrile containing internal standard paclitaxel. Chromatographic separation was performed on a TSKgel ODS-100V 3. μm (50. mm. ×. 2.0. mm i.d.) column using a mobile phase composed of acetonitrile-methanol-water-formic acid (50:5:45:0.1, v/v/v/v). Detection was performed on a triple-quadrupole tandem mass spectrometer with multiple reaction monitoring (MRM) mode via electrospray ionization (ESI) source. This method covered a linearity range of 5-5000. ng/mL with the lower limit of quantification of 5. ng/mL. The intra-day precision and inter-day precision (R.S.D.) of analysis were less than 6.7%, and the accuracy (R.E.) was within ±9.0% at the concentrations of 5, 20, 200, and 2000. ng/mL. The total run time was 5.0. min. This method was successfully applied for clinical pharmacokinetic investigation. © 2012 Elsevier B.V.","author":[{"dropping-particle":"","family":"Yamaguchi","given":"Hiroaki","non-dropping-particle":"","parse-names":false,"suffix":""},{"dropping-particle":"","family":"Fujikawa","given":"Asuka","non-dropping-particle":"","parse-names":false,"suffix":""},{"dropping-particle":"","family":"Ito","given":"Hajime","non-dropping-particle":"","parse-names":false,"suffix":""},{"dropping-particle":"","family":"Tanaka","given":"Nobuaki","non-dropping-particle":"","parse-names":false,"suffix":""},{"dropping-particle":"","family":"Furugen","given":"Ayako","non-dropping-particle":"","parse-names":false,"suffix":""},{"dropping-particle":"","family":"Miyamori","given":"Kazuaki","non-dropping-particle":"","parse-names":false,"suffix":""},{"dropping-particle":"","family":"Takahashi","given":"Natsuko","non-dropping-particle":"","parse-names":false,"suffix":""},{"dropping-particle":"","family":"Ogura","given":"Jiro","non-dropping-particle":"","parse-names":false,"suffix":""},{"dropping-particle":"","family":"Kobayashi","given":"Masaki","non-dropping-particle":"","parse-names":false,"suffix":""},{"dropping-particle":"","family":"Yamada","given":"Takehiro","non-dropping-particle":"","parse-names":false,"suffix":""},{"dropping-particle":"","family":"Mano","given":"Nariyasu","non-dropping-particle":"","parse-names":false,"suffix":""},{"dropping-particle":"","family":"Iseki","given":"Ken","non-dropping-particle":"","parse-names":false,"suffix":""}],"container-title":"Journal of Chromatography B: Analytical Technologies in the Biomedical and Life Sciences","id":"ITEM-5","issued":{"date-parts":[["2012"]]},"page":"157-161","publisher":"Elsevier B.V.","title":"A rapid and sensitive LC/ESI-MS/MS method for quantitative analysis of docetaxel in human plasma and its application to a pharmacokinetic study","type":"article-journal","volume":"893-894"},"uris":["http://www.mendeley.com/documents/?uuid=99b8e261-9a97-417e-881e-0f16c327ee5d"]},{"id":"ITEM-6","itemData":{"DOI":"10.1177/0003319707308212","ISSN":"00033197","PMID":"18388090","abstract":"A 49-year-old man was admitted for primary cardiac angiosarcoma with a cardiac tamponade. Transthoracic echocardiography and contrast-enhanced computed tomography scan demonstrated a large mass in the right atrium and thickening of the right ventricular wall. 18F-labeled deoxyglucose (FDG) positron emission tomography (PET) scan showed increased FDG uptake in the mediastinum and over the heart. The patient responded to combination therapy with docetaxel and radiotherapy and tolerated the treatment well, except for radiation esophagitis, which required a soft diet and resolved 1 month after treatment. This combination therapy resulted in a minimal response with slight regression in the tumor size, but FDG-PET initially showed an increase in FDG uptake by the tumor that was no longer seen after combination therapy. There is no evidence of progression or metastasis even at 12 months after diagnosis. © 2008 Sage Publications.","author":[{"dropping-particle":"","family":"Nakamura-Horigome","given":"Miki","non-dropping-particle":"","parse-names":false,"suffix":""},{"dropping-particle":"","family":"Koyama","given":"Jun","non-dropping-particle":"","parse-names":false,"suffix":""},{"dropping-particle":"","family":"Eizawa","given":"Takayuki","non-dropping-particle":"","parse-names":false,"suffix":""},{"dropping-particle":"","family":"Kasai","given":"Hiroki","non-dropping-particle":"","parse-names":false,"suffix":""},{"dropping-particle":"","family":"Kumazaki","given":"Setsuo","non-dropping-particle":"","parse-names":false,"suffix":""},{"dropping-particle":"","family":"Tsutsui","given":"Hiroshi","non-dropping-particle":"","parse-names":false,"suffix":""},{"dropping-particle":"","family":"Koiwai","given":"Keiichiro","non-dropping-particle":"","parse-names":false,"suffix":""},{"dropping-particle":"","family":"Oguchi","given":"Kazuhiro","non-dropping-particle":"","parse-names":false,"suffix":""},{"dropping-particle":"","family":"Kinoshita","given":"Osamu","non-dropping-particle":"","parse-names":false,"suffix":""},{"dropping-particle":"","family":"Ikeda","given":"Uichi","non-dropping-particle":"","parse-names":false,"suffix":""}],"container-title":"Angiology","id":"ITEM-6","issue":"3","issued":{"date-parts":[["2008"]]},"page":"368-371","title":"Successful treatment of primary cardiac angiosarcoma with docetaxel and radiotherapy","type":"article-journal","volume":"59"},"uris":["http://www.mendeley.com/documents/?uuid=946874e4-0082-4368-8fcf-9abb63e0e01e"]},{"id":"ITEM-7","itemData":{"DOI":"10.1002/bmc.457","ISSN":"02693879","PMID":"15586372","abstract":"An assay for the quantitative determination of docetaxel in human plasma is described. Docetaxel was extracted from the matrix using liquid-liquid extraction with ter-butylmethylether, followed by high-performance liquid chromatographic analysis using an alkaline eluent. Paclitaxel was used as internal standard. Positive ionization electrospray tandem mass spectrometry was performed for selective and sensitive detection. The method was validated according to the FDA guidelines on bioanalytical method validation. The validated range for docetaxel was from 0.25-1000 ng/mL using 200 μL plasma aliquots. The method requires only a limited volume (200 μL) of human plasma and the method can be applied in studies requiring a low lower limit of quantitation of 0.25 ng/mL. The assay was applied successfully in several clinical and pharmacological studies with docetaxel. Copyright © 2004 John Wiley &amp; Sons, Ltd.","author":[{"dropping-particle":"","family":"Kuppens","given":"I. E.L.M.","non-dropping-particle":"","parse-names":false,"suffix":""},{"dropping-particle":"","family":"Maanen","given":"M. J.","non-dropping-particle":"van","parse-names":false,"suffix":""},{"dropping-particle":"","family":"Rosing","given":"H.","non-dropping-particle":"","parse-names":false,"suffix":""},{"dropping-particle":"","family":"Schellens","given":"J. H.M.","non-dropping-particle":"","parse-names":false,"suffix":""},{"dropping-particle":"","family":"Beijnen","given":"J. H.","non-dropping-particle":"","parse-names":false,"suffix":""}],"container-title":"Biomedical Chromatography","id":"ITEM-7","issue":"5","issued":{"date-parts":[["2005"]]},"page":"355-361","title":"Quantiative analysis of docetaxel in human plasma using liquid chromatography coupled with tandem mass spectrometry","type":"article-journal","volume":"19"},"uris":["http://www.mendeley.com/documents/?uuid=fcde1475-e0f6-44b3-973f-f72649ce3b32"]}],"mendeley":{"formattedCitation":"[109]–[115]","plainTextFormattedCitation":"[109]–[115]","previouslyFormattedCitation":"[109]–[115]"},"properties":{"noteIndex":0},"schema":"https://github.com/citation-style-language/schema/raw/master/csl-citation.json"}</w:instrText>
      </w:r>
      <w:r w:rsidR="00D757A7">
        <w:rPr>
          <w:rFonts w:ascii="Times New Roman" w:hAnsi="Times New Roman" w:cs="Times New Roman"/>
          <w:sz w:val="24"/>
          <w:szCs w:val="24"/>
          <w:shd w:val="clear" w:color="auto" w:fill="FFFFFF"/>
        </w:rPr>
        <w:fldChar w:fldCharType="separate"/>
      </w:r>
      <w:r w:rsidR="003F195C" w:rsidRPr="003F195C">
        <w:rPr>
          <w:rFonts w:ascii="Times New Roman" w:hAnsi="Times New Roman" w:cs="Times New Roman"/>
          <w:noProof/>
          <w:sz w:val="24"/>
          <w:szCs w:val="24"/>
          <w:shd w:val="clear" w:color="auto" w:fill="FFFFFF"/>
        </w:rPr>
        <w:t>[109]–[115]</w:t>
      </w:r>
      <w:r w:rsidR="00D757A7">
        <w:rPr>
          <w:rFonts w:ascii="Times New Roman" w:hAnsi="Times New Roman" w:cs="Times New Roman"/>
          <w:sz w:val="24"/>
          <w:szCs w:val="24"/>
          <w:shd w:val="clear" w:color="auto" w:fill="FFFFFF"/>
        </w:rPr>
        <w:fldChar w:fldCharType="end"/>
      </w:r>
      <w:r w:rsidR="424734AD" w:rsidRPr="00E11754">
        <w:rPr>
          <w:rFonts w:ascii="Times New Roman" w:hAnsi="Times New Roman" w:cs="Times New Roman"/>
          <w:sz w:val="24"/>
          <w:szCs w:val="24"/>
        </w:rPr>
        <w:t xml:space="preserve">, czego </w:t>
      </w:r>
      <w:r w:rsidRPr="00E11754">
        <w:rPr>
          <w:rFonts w:ascii="Times New Roman" w:hAnsi="Times New Roman" w:cs="Times New Roman"/>
          <w:sz w:val="24"/>
          <w:szCs w:val="24"/>
          <w:shd w:val="clear" w:color="auto" w:fill="FFFFFF"/>
        </w:rPr>
        <w:t xml:space="preserve">konsekwencją może być brak skuteczności leczenia. </w:t>
      </w:r>
      <w:r w:rsidR="424734AD" w:rsidRPr="00E11754">
        <w:rPr>
          <w:rFonts w:ascii="Times New Roman" w:hAnsi="Times New Roman" w:cs="Times New Roman"/>
          <w:sz w:val="24"/>
          <w:szCs w:val="24"/>
        </w:rPr>
        <w:t>Jest to szczególnie niebezpieczne w</w:t>
      </w:r>
      <w:r w:rsidRPr="00E11754">
        <w:rPr>
          <w:rFonts w:ascii="Times New Roman" w:hAnsi="Times New Roman" w:cs="Times New Roman"/>
          <w:sz w:val="24"/>
          <w:szCs w:val="24"/>
          <w:shd w:val="clear" w:color="auto" w:fill="FFFFFF"/>
        </w:rPr>
        <w:t xml:space="preserve"> sytuacji rzadkich przypadków nowotworów jakim jest np. </w:t>
      </w:r>
      <w:proofErr w:type="spellStart"/>
      <w:r w:rsidRPr="00E11754">
        <w:rPr>
          <w:rFonts w:ascii="Times New Roman" w:hAnsi="Times New Roman" w:cs="Times New Roman"/>
          <w:sz w:val="24"/>
          <w:szCs w:val="24"/>
          <w:shd w:val="clear" w:color="auto" w:fill="FFFFFF"/>
        </w:rPr>
        <w:t>n</w:t>
      </w:r>
      <w:r w:rsidR="424734AD" w:rsidRPr="00E11754">
        <w:rPr>
          <w:rFonts w:ascii="Times New Roman" w:hAnsi="Times New Roman" w:cs="Times New Roman"/>
          <w:sz w:val="24"/>
          <w:szCs w:val="24"/>
        </w:rPr>
        <w:t>aczyniakomięsak</w:t>
      </w:r>
      <w:proofErr w:type="spellEnd"/>
      <w:r w:rsidR="424734AD" w:rsidRPr="00E11754">
        <w:rPr>
          <w:rFonts w:ascii="Times New Roman" w:hAnsi="Times New Roman" w:cs="Times New Roman"/>
          <w:sz w:val="24"/>
          <w:szCs w:val="24"/>
        </w:rPr>
        <w:t xml:space="preserve"> serca (</w:t>
      </w:r>
      <w:r w:rsidRPr="00E11754">
        <w:rPr>
          <w:rFonts w:ascii="Times New Roman" w:hAnsi="Times New Roman" w:cs="Times New Roman"/>
          <w:sz w:val="24"/>
          <w:szCs w:val="24"/>
          <w:shd w:val="clear" w:color="auto" w:fill="FFFFFF"/>
        </w:rPr>
        <w:t>AS)</w:t>
      </w:r>
      <w:r w:rsidR="424734AD" w:rsidRPr="00E11754">
        <w:rPr>
          <w:rFonts w:ascii="Times New Roman" w:hAnsi="Times New Roman" w:cs="Times New Roman"/>
          <w:sz w:val="24"/>
          <w:szCs w:val="24"/>
        </w:rPr>
        <w:t>, którego rozwój przebiega bardzo szybko prowadząc do znacznego obniżenia rokowań u pacjentów</w:t>
      </w:r>
      <w:r w:rsidR="00D37F96">
        <w:rPr>
          <w:rFonts w:ascii="Times New Roman" w:hAnsi="Times New Roman" w:cs="Times New Roman"/>
          <w:sz w:val="24"/>
          <w:szCs w:val="24"/>
        </w:rPr>
        <w:t xml:space="preserve"> </w:t>
      </w:r>
      <w:r w:rsidR="00C5503B">
        <w:rPr>
          <w:rFonts w:ascii="Times New Roman" w:hAnsi="Times New Roman" w:cs="Times New Roman"/>
          <w:sz w:val="24"/>
          <w:szCs w:val="24"/>
        </w:rPr>
        <w:fldChar w:fldCharType="begin" w:fldLock="1"/>
      </w:r>
      <w:r w:rsidR="00C5503B">
        <w:rPr>
          <w:rFonts w:ascii="Times New Roman" w:hAnsi="Times New Roman" w:cs="Times New Roman"/>
          <w:sz w:val="24"/>
          <w:szCs w:val="24"/>
        </w:rPr>
        <w:instrText>ADDIN CSL_CITATION {"citationItems":[{"id":"ITEM-1","itemData":{"DOI":"10.5114/aoms.2014.40741","ISSN":"17341922","abstract":"Cardiac tumors are assumed to be a rare entity. Metastases to the heart are more frequent than primary lesions. Sarcomas make up the majority of cardiac malignant neoplasms. Among them angiosarcoma is the most common and associated with the worst prognosis. Malignant fibrous histiocytoma comprises the minority of cardiac sarcomas and has uncertain etiology as well as pathogenesis. Transthoracic echocardiography remains the widely available screening examination for the initial diagnosis of a cardiac tumor. The clinical presentation is non-specific and the diagnosis is established usually at an advanced stage of the disease. Sarcomas spread preferentially through blood due to their immature vessels without endothelial lining. Surgery remains the method of choice for treatment. Radicalness of the excision is still the most valuable prognostic factor. Adjuvant therapy is unlikely to be effective. The management of cardiac sarcomas must be individualized due to their rarity and significant differences in the course of disease.","author":[{"dropping-particle":"","family":"Ostrowski","given":"Stanisław","non-dropping-particle":"","parse-names":false,"suffix":""},{"dropping-particle":"","family":"Marcinkiewicz","given":"Anna","non-dropping-particle":"","parse-names":false,"suffix":""},{"dropping-particle":"","family":"Kośmider","given":"Anna","non-dropping-particle":"","parse-names":false,"suffix":""},{"dropping-particle":"","family":"Jaszewski","given":"Ryszard","non-dropping-particle":"","parse-names":false,"suffix":""}],"container-title":"Archives of Medical Science","id":"ITEM-1","issue":"1","issued":{"date-parts":[["2014"]]},"page":"135-148","title":"Sarcomas of the heart as a difficult interdisciplinary problem","type":"article-journal","volume":"10"},"uris":["http://www.mendeley.com/documents/?uuid=b9887bcc-1652-4626-aad3-d6ad27592743"]}],"mendeley":{"formattedCitation":"[26]","plainTextFormattedCitation":"[26]","previouslyFormattedCitation":"[26]"},"properties":{"noteIndex":0},"schema":"https://github.com/citation-style-language/schema/raw/master/csl-citation.json"}</w:instrText>
      </w:r>
      <w:r w:rsidR="00C5503B">
        <w:rPr>
          <w:rFonts w:ascii="Times New Roman" w:hAnsi="Times New Roman" w:cs="Times New Roman"/>
          <w:sz w:val="24"/>
          <w:szCs w:val="24"/>
        </w:rPr>
        <w:fldChar w:fldCharType="separate"/>
      </w:r>
      <w:r w:rsidR="00C5503B" w:rsidRPr="00C5503B">
        <w:rPr>
          <w:rFonts w:ascii="Times New Roman" w:hAnsi="Times New Roman" w:cs="Times New Roman"/>
          <w:noProof/>
          <w:sz w:val="24"/>
          <w:szCs w:val="24"/>
        </w:rPr>
        <w:t>[26]</w:t>
      </w:r>
      <w:r w:rsidR="00C5503B">
        <w:rPr>
          <w:rFonts w:ascii="Times New Roman" w:hAnsi="Times New Roman" w:cs="Times New Roman"/>
          <w:sz w:val="24"/>
          <w:szCs w:val="24"/>
        </w:rPr>
        <w:fldChar w:fldCharType="end"/>
      </w:r>
      <w:r w:rsidR="004818CD">
        <w:rPr>
          <w:rFonts w:ascii="Times New Roman" w:hAnsi="Times New Roman" w:cs="Times New Roman"/>
          <w:sz w:val="24"/>
          <w:szCs w:val="24"/>
        </w:rPr>
        <w:fldChar w:fldCharType="begin" w:fldLock="1"/>
      </w:r>
      <w:r w:rsidR="00C5503B">
        <w:rPr>
          <w:rFonts w:ascii="Times New Roman" w:hAnsi="Times New Roman" w:cs="Times New Roman"/>
          <w:sz w:val="24"/>
          <w:szCs w:val="24"/>
        </w:rPr>
        <w:instrText>ADDIN CSL_CITATION {"citationItems":[{"id":"ITEM-1","itemData":{"DOI":"10.5114/aoms.2014.40741","ISSN":"17341922","abstract":"Cardiac tumors are assumed to be a rare entity. Metastases to the heart are more frequent than primary lesions. Sarcomas make up the majority of cardiac malignant neoplasms. Among them angiosarcoma is the most common and associated with the worst prognosis. Malignant fibrous histiocytoma comprises the minority of cardiac sarcomas and has uncertain etiology as well as pathogenesis. Transthoracic echocardiography remains the widely available screening examination for the initial diagnosis of a cardiac tumor. The clinical presentation is non-specific and the diagnosis is established usually at an advanced stage of the disease. Sarcomas spread preferentially through blood due to their immature vessels without endothelial lining. Surgery remains the method of choice for treatment. Radicalness of the excision is still the most valuable prognostic factor. Adjuvant therapy is unlikely to be effective. The management of cardiac sarcomas must be individualized due to their rarity and significant differences in the course of disease.","author":[{"dropping-particle":"","family":"Ostrowski","given":"Stanisław","non-dropping-particle":"","parse-names":false,"suffix":""},{"dropping-particle":"","family":"Marcinkiewicz","given":"Anna","non-dropping-particle":"","parse-names":false,"suffix":""},{"dropping-particle":"","family":"Kośmider","given":"Anna","non-dropping-particle":"","parse-names":false,"suffix":""},{"dropping-particle":"","family":"Jaszewski","given":"Ryszard","non-dropping-particle":"","parse-names":false,"suffix":""}],"container-title":"Archives of Medical Science","id":"ITEM-1","issue":"1","issued":{"date-parts":[["2014"]]},"page":"135-148","title":"Sarcomas of the heart as a difficult interdisciplinary problem","type":"article-journal","volume":"10"},"uris":["http://www.mendeley.com/documents/?uuid=b9887bcc-1652-4626-aad3-d6ad27592743"]},{"id":"ITEM-2","itemData":{"DOI":"10.1177/0003319707308212","ISSN":"00033197","PMID":"18388090","abstract":"A 49-year-old man was admitted for primary cardiac angiosarcoma with a cardiac tamponade. Transthoracic echocardiography and contrast-enhanced computed tomography scan demonstrated a large mass in the right atrium and thickening of the right ventricular wall. 18F-labeled deoxyglucose (FDG) positron emission tomography (PET) scan showed increased FDG uptake in the mediastinum and over the heart. The patient responded to combination therapy with docetaxel and radiotherapy and tolerated the treatment well, except for radiation esophagitis, which required a soft diet and resolved 1 month after treatment. This combination therapy resulted in a minimal response with slight regression in the tumor size, but FDG-PET initially showed an increase in FDG uptake by the tumor that was no longer seen after combination therapy. There is no evidence of progression or metastasis even at 12 months after diagnosis. © 2008 Sage Publications.","author":[{"dropping-particle":"","family":"Nakamura-Horigome","given":"Miki","non-dropping-particle":"","parse-names":false,"suffix":""},{"dropping-particle":"","family":"Koyama","given":"Jun","non-dropping-particle":"","parse-names":false,"suffix":""},{"dropping-particle":"","family":"Eizawa","given":"Takayuki","non-dropping-particle":"","parse-names":false,"suffix":""},{"dropping-particle":"","family":"Kasai","given":"Hiroki","non-dropping-particle":"","parse-names":false,"suffix":""},{"dropping-particle":"","family":"Kumazaki","given":"Setsuo","non-dropping-particle":"","parse-names":false,"suffix":""},{"dropping-particle":"","family":"Tsutsui","given":"Hiroshi","non-dropping-particle":"","parse-names":false,"suffix":""},{"dropping-particle":"","family":"Koiwai","given":"Keiichiro","non-dropping-particle":"","parse-names":false,"suffix":""},{"dropping-particle":"","family":"Oguchi","given":"Kazuhiro","non-dropping-particle":"","parse-names":false,"suffix":""},{"dropping-particle":"","family":"Kinoshita","given":"Osamu","non-dropping-particle":"","parse-names":false,"suffix":""},{"dropping-particle":"","family":"Ikeda","given":"Uichi","non-dropping-particle":"","parse-names":false,"suffix":""}],"container-title":"Angiology","id":"ITEM-2","issue":"3","issued":{"date-parts":[["2008"]]},"page":"368-371","title":"Successful treatment of primary cardiac angiosarcoma with docetaxel and radiotherapy","type":"article-journal","volume":"59"},"uris":["http://www.mendeley.com/documents/?uuid=a929c76e-9fe1-475a-86c1-979b189e4c0e"]}],"mendeley":{"formattedCitation":"[26], [114]","manualFormatting":", [114]","plainTextFormattedCitation":"[26], [114]","previouslyFormattedCitation":"[26], [114]"},"properties":{"noteIndex":0},"schema":"https://github.com/citation-style-language/schema/raw/master/csl-citation.json"}</w:instrText>
      </w:r>
      <w:r w:rsidR="004818CD">
        <w:rPr>
          <w:rFonts w:ascii="Times New Roman" w:hAnsi="Times New Roman" w:cs="Times New Roman"/>
          <w:sz w:val="24"/>
          <w:szCs w:val="24"/>
        </w:rPr>
        <w:fldChar w:fldCharType="separate"/>
      </w:r>
      <w:r w:rsidR="00C30A44" w:rsidRPr="00C30A44">
        <w:rPr>
          <w:rFonts w:ascii="Times New Roman" w:hAnsi="Times New Roman" w:cs="Times New Roman"/>
          <w:noProof/>
          <w:sz w:val="24"/>
          <w:szCs w:val="24"/>
        </w:rPr>
        <w:t>,</w:t>
      </w:r>
      <w:r w:rsidR="00D37F96">
        <w:rPr>
          <w:rFonts w:ascii="Times New Roman" w:hAnsi="Times New Roman" w:cs="Times New Roman"/>
          <w:noProof/>
          <w:sz w:val="24"/>
          <w:szCs w:val="24"/>
        </w:rPr>
        <w:t xml:space="preserve"> </w:t>
      </w:r>
      <w:r w:rsidR="00C30A44" w:rsidRPr="00C30A44">
        <w:rPr>
          <w:rFonts w:ascii="Times New Roman" w:hAnsi="Times New Roman" w:cs="Times New Roman"/>
          <w:noProof/>
          <w:sz w:val="24"/>
          <w:szCs w:val="24"/>
        </w:rPr>
        <w:t>[114]</w:t>
      </w:r>
      <w:r w:rsidR="004818CD">
        <w:rPr>
          <w:rFonts w:ascii="Times New Roman" w:hAnsi="Times New Roman" w:cs="Times New Roman"/>
          <w:sz w:val="24"/>
          <w:szCs w:val="24"/>
        </w:rPr>
        <w:fldChar w:fldCharType="end"/>
      </w:r>
      <w:r w:rsidR="424734AD" w:rsidRPr="00E11754">
        <w:rPr>
          <w:rFonts w:ascii="Times New Roman" w:hAnsi="Times New Roman" w:cs="Times New Roman"/>
          <w:sz w:val="24"/>
          <w:szCs w:val="24"/>
        </w:rPr>
        <w:t>. To dotyczy także</w:t>
      </w:r>
      <w:r w:rsidRPr="00E11754">
        <w:rPr>
          <w:rFonts w:ascii="Times New Roman" w:hAnsi="Times New Roman" w:cs="Times New Roman"/>
          <w:sz w:val="24"/>
          <w:szCs w:val="24"/>
        </w:rPr>
        <w:t xml:space="preserve"> </w:t>
      </w:r>
      <w:r w:rsidRPr="00E11754">
        <w:rPr>
          <w:rFonts w:ascii="Times New Roman" w:hAnsi="Times New Roman" w:cs="Times New Roman"/>
          <w:sz w:val="24"/>
          <w:szCs w:val="24"/>
          <w:shd w:val="clear" w:color="auto" w:fill="FFFFFF"/>
        </w:rPr>
        <w:t xml:space="preserve">pacjentów pediatrycznych, dla których jest często późno diagnozowany z uwagi na bardzo rzadkie jego występowanie. </w:t>
      </w:r>
      <w:r w:rsidR="424734AD" w:rsidRPr="00E11754">
        <w:rPr>
          <w:rFonts w:ascii="Times New Roman" w:eastAsia="Times New Roman" w:hAnsi="Times New Roman" w:cs="Times New Roman"/>
          <w:sz w:val="24"/>
          <w:szCs w:val="24"/>
        </w:rPr>
        <w:t xml:space="preserve">Na przestrzeni ostatnich 13 lat opracowano szereg metod pozwalających określić stężenie </w:t>
      </w:r>
      <w:proofErr w:type="spellStart"/>
      <w:r w:rsidR="424734AD" w:rsidRPr="00E11754">
        <w:rPr>
          <w:rFonts w:ascii="Times New Roman" w:eastAsia="Times New Roman" w:hAnsi="Times New Roman" w:cs="Times New Roman"/>
          <w:sz w:val="24"/>
          <w:szCs w:val="24"/>
        </w:rPr>
        <w:t>docetakselu</w:t>
      </w:r>
      <w:proofErr w:type="spellEnd"/>
      <w:r w:rsidR="424734AD" w:rsidRPr="00E11754">
        <w:rPr>
          <w:rFonts w:ascii="Times New Roman" w:eastAsia="Times New Roman" w:hAnsi="Times New Roman" w:cs="Times New Roman"/>
          <w:sz w:val="24"/>
          <w:szCs w:val="24"/>
        </w:rPr>
        <w:t xml:space="preserve"> w różnych matrycach biologicznych tj. krew wraz jej frakcjami, ślina, mocz oraz kał. Większość z nich bazowało na technice HPLC </w:t>
      </w:r>
      <w:r w:rsidR="00743659">
        <w:rPr>
          <w:rFonts w:ascii="Times New Roman" w:eastAsia="Times New Roman" w:hAnsi="Times New Roman" w:cs="Times New Roman"/>
          <w:sz w:val="24"/>
          <w:szCs w:val="24"/>
        </w:rPr>
        <w:fldChar w:fldCharType="begin" w:fldLock="1"/>
      </w:r>
      <w:r w:rsidR="003F195C">
        <w:rPr>
          <w:rFonts w:ascii="Times New Roman" w:eastAsia="Times New Roman" w:hAnsi="Times New Roman" w:cs="Times New Roman"/>
          <w:sz w:val="24"/>
          <w:szCs w:val="24"/>
        </w:rPr>
        <w:instrText>ADDIN CSL_CITATION {"citationItems":[{"id":"ITEM-1","itemData":{"DOI":"10.4103/1735-5362.278710","ISSN":"17359414","abstract":"Background and purpose: A simple, rapid, and sensitive reversed-phase high performance liquid chromatography (RP-HPLC) method based on liquid-liquid extraction was developed and validated for determination of docetaxel (DTX) in plasma and homogenate tissues of tumor-bearing mice. Experimental approach: Samples were spiked with celecoxib as the internal standard and separation was achieved on a μ-Bondapak C18 HPLC column. The mobile phase consisted of a mixture of acetonitrile/water (40/60 v/v) at flow rate of 1.2 mL/min and the effluent was monitored at 230 nm. Results: Calibration curves were linear over the concentration range of 0.1-10 μg/mL of DTX in plasma and 0.25-50 μg/mL in tissue homogenates with acceptable precision and accuracy. The mean recoveries of the drug from plasma extraction was 94.6 ± 1.44% while those of tissue homogenates ranged from 73.5 ± 3.2 to 85.3 ± 2.8% depending on the type of tissues examined. DTX was stable in biological samples with no evidence of degradation during 3 freeze-thaw cycles and two months of storage at-70 ± 15 °C. The developed HPLC method was applied to quantify DTX in the mouse plasma and tissues after intravenous administration of 7.5 mg equivalent DTX/kg dose of DTX-loaded folic acid-polyethylene glycol-heparin-tocopherol (FA-PEG-HEP-CA-TOC) micelle formulation to female Balb/c mice. Conclusion: A simple, sensitive, rapid, accurate, and prudent RP-HPLC method was developed, validated, and applied for DTX determination in plasma and tissues.","author":[{"dropping-particle":"","family":"Kazemi","given":"Moloud","non-dropping-particle":"","parse-names":false,"suffix":""},{"dropping-particle":"","family":"Emami","given":"Jaber","non-dropping-particle":"","parse-names":false,"suffix":""},{"dropping-particle":"","family":"Hasanzadeh","given":"Farshid","non-dropping-particle":"","parse-names":false,"suffix":""},{"dropping-particle":"","family":"Minaiyan","given":"Mohsen","non-dropping-particle":"","parse-names":false,"suffix":""},{"dropping-particle":"","family":"Mirian","given":"Mina","non-dropping-particle":"","parse-names":false,"suffix":""},{"dropping-particle":"","family":"Lavasanifar","given":"Afsaneh","non-dropping-particle":"","parse-names":false,"suffix":""}],"container-title":"Research in Pharmaceutical Sciences","id":"ITEM-1","issue":"1","issued":{"date-parts":[["2020"]]},"page":"1-13","title":"Development of a RP-HPLC method for analysis of docetaxel in tumor-bearing mice plasma and tissues following injection of docetaxel-loaded pH responsive targeting polymeric micelles","type":"article-journal","volume":"15"},"uris":["http://www.mendeley.com/documents/?uuid=20ff94a4-086d-4aed-b74f-7891d56eac99"]},{"id":"ITEM-2","itemData":{"DOI":"10.18433/JPPS30912","ISSN":"14821826","PMID":"32762829","abstract":"Purpose: A simple, rapid, sensitive, and reliable HPLC method with UV detection was developed and validated for simultaneous quantitation of docetaxel and celecoxib and paclitaxel for dissolution characterization and pharmacokinetic studies. Methods: The HPLC assay was performed isocratically on a reversed-phase C18 μ-Bondapack column using a mobile phase of acetonitrile:water (45:55, v/v) at a flow rate of 1.2 mL/min, and the analytes were detected at 230 nm. Paclitaxel was used as an internal standard for analysis of plasma samples following simple liquid-liquid extraction with n-hexane:isoamyl alcohol (97:3). The method was validated for specificity, linearity, sensitivity, precision, accuracy, robustness, and in vitro-in vivo application. Results: The retention times for docetaxel, paclitaxel, and celecoxib were 10.94, 12.4, and 16.81 min, respectively. The standard curves covering 0.1-1 μg/mL and 0.05-4 μg/mL were linear using dissolution medium and rat plasma, respectively. The limit of quantitation of the method was 50 ng/mL using 100 μL of rat plasma sample and injection of 50 μL of the residue. Within-and between-day precision and accuracy did not exceed 16.86% and 12.10%, respectively. This validated method was successfully used to quantify docetaxel and celecoxib simultaneously in the release study of docetaxel-celecoxib-loaded porous microparticles and pharmacokinetics studies. The methods were found to be simple, specific, precise, accurate, and reproducible. In this study, paclitaxel was used as the internal standard while dexamethasone, flutamide, and budesonide proved suitable alternative as an internal standard. Conclusion: Since docetaxel and celecoxib could be co-administered for the treatment of a wide range of cancers such as non-small cell lung carcinoma, the developed method is particularly advantageous for routine therapeutic drug monitoring and pharmacokinetic studies of these drugs.","author":[{"dropping-particle":"","family":"Ziaei","given":"Elham","non-dropping-particle":"","parse-names":false,"suffix":""},{"dropping-particle":"","family":"Emami","given":"Jaber","non-dropping-particle":"","parse-names":false,"suffix":""},{"dropping-particle":"","family":"Kazemi","given":"Moloud","non-dropping-particle":"","parse-names":false,"suffix":""},{"dropping-particle":"","family":"Rezazadeh","given":"Mahboubeh","non-dropping-particle":"","parse-names":false,"suffix":""}],"container-title":"Journal of Pharmacy and Pharmaceutical Sciences","id":"ITEM-2","issue":"1","issued":{"date-parts":[["2020"]]},"page":"289-303","title":"Simultaneous determination of docetaxel and celecoxib in porous microparticles and rat plasma by liquid-liquid extraction and hplc with uv detection: In vitro and in vivo validation and application","type":"article-journal","volume":"23"},"uris":["http://www.mendeley.com/documents/?uuid=a33cd2af-185c-4e1a-b893-e3bc46b7dc23"]},{"id":"ITEM-3","itemData":{"DOI":"10.1016/j.ajps.2016.08.002","ISSN":"2221285X","abstract":"The purpose of the present research was to develop a suitable, simple, precise, accurate, robust, and reproducible RP-HPLC method for a reliable simultaneous quantification of docetaxel (DTX) and curcumin (CCM) in rat plasma samples using paclitaxel (PTX) as an internal standard. The samples were assayed by the Agilent 1260 Infinity HPLC instrument using a Capcell Pak C8 column (4.6 mm × 150 mm, 5 µm) under isocratic conditions. The mobile phase consisted of acetonitrile and triple distilled water (40/60, v/v) with a flow rate of 1.0 ml/min. The eluent was monitored at 230 nm for simultaneous measurement of curcumin and docetaxel. The method was validated by determining system suitability, selectivity, sensitivity, linearity, inter-day and intra-day precision, accuracy, robustness, and stability in accordance with the guidelines of the United States Food and Drug Administration (FDA). The developed chromatographic method proved to be simple, precise, accurate, robust and reproducible. Moreover, the samples showed stability at room temperature over a period of 48 h. Thus, this method would be employed for routine simultaneous quantification of docetaxel and curcumin in rat plasma samples.","author":[{"dropping-particle":"","family":"Kim","given":"Dong Wuk","non-dropping-particle":"","parse-names":false,"suffix":""},{"dropping-particle":"","family":"Yousaf","given":"Abid Mehmood","non-dropping-particle":"","parse-names":false,"suffix":""},{"dropping-particle":"","family":"Li","given":"Dong Xun","non-dropping-particle":"","parse-names":false,"suffix":""},{"dropping-particle":"","family":"Kim","given":"Jong Oh","non-dropping-particle":"","parse-names":false,"suffix":""},{"dropping-particle":"","family":"Yong","given":"Chul Soon","non-dropping-particle":"","parse-names":false,"suffix":""},{"dropping-particle":"","family":"Cho","given":"Kwan Hyung","non-dropping-particle":"","parse-names":false,"suffix":""},{"dropping-particle":"","family":"Choi","given":"Han Gon","non-dropping-particle":"","parse-names":false,"suffix":""}],"container-title":"Asian Journal of Pharmaceutical Sciences","id":"ITEM-3","issue":"1","issued":{"date-parts":[["2017"]]},"page":"105-113","publisher":"Elsevier B.V.","title":"Development of RP-HPLC method for simultaneous determination of docetaxel and curcumin in rat plasma: Validation and stability","type":"article-journal","volume":"12"},"uris":["http://www.mendeley.com/documents/?uuid=4ec9e16f-9c31-4ec8-ac1d-9631daf49902"]},{"id":"ITEM-4","itemData":{"DOI":"10.5530/ijper.51.4s.105","ISSN":"00195464","abstract":"Objective: A rapid and selective high-performance liquid chromatographic (HPLC) method has been developed and validated for Docetaxel anhydrous (DTX) using Ketoconanzole (KCZ) as an internal standard in biological fluids. Methods: The analyte was extracted from human plasma by liquid-liquid extraction method using acetonitrile. The analysis was carried out on Licrosphere IV, C8 column (LC–GC Chromatography Solutions Pvt. Ltd, Mumbai, and India) (4.6×250 mm) with isocratic elution using a mobile phase composition of 0.2% triethylamine (pH 6.4 with orthophosphoric acid) (45%) and Acetonitrile (55%). The flow rate was 1.5ml/min with absorbance wavelength of 230 nm. Results: The developed method was found to be linear over the range of 100-2500 ng/mL with correlation coefficients of about 0.999. The limit of quantification for docetaxel was found to be 100 ng/mL. The limit of detection was found to be 50 ng/ mL. The intra- and inter-day precision was determined to be &lt;5% and the accuracy was 99–105%. The overall recovery for docetaxel was about 89.0% -91.0%. The total analysis time was only 10.0 min. The method was successfully applied for determination of DTX in rat plasma, to establish the pharmacokinetic profile of a marketed formulation. Conclusion: A simple, sensitive, rapid, accurate and prudent RP-HPLC method was developed, validated and applied for the Docetaxel anhydrous.","author":[{"dropping-particle":"","family":"Kharkar","given":"Prachi Balaram","non-dropping-particle":"","parse-names":false,"suffix":""},{"dropping-particle":"","family":"Talkar","given":"Swapnil Sunil","non-dropping-particle":"","parse-names":false,"suffix":""},{"dropping-particle":"","family":"Patravale","given":"Vandana Bharat","non-dropping-particle":"","parse-names":false,"suffix":""}],"container-title":"Indian Journal of Pharmaceutical Education and Research","id":"ITEM-4","issue":"4","issued":{"date-parts":[["2017"]]},"page":"S729-S734","title":"A rapid and sensitive bio analytical rp-hplc method for detection of docetaxel: Development and validation","type":"article-journal","volume":"51"},"uris":["http://www.mendeley.com/documents/?uuid=bede9701-fefc-4200-b689-19352029b24f"]},{"id":"ITEM-5","itemData":{"DOI":"10.1016/j.jchromb.2010.07.011","ISSN":"15700232","PMID":"20719581","abstract":"A simple and sensitive HPLC method was established and validated for the determination of docetaxel (DTX) in rabbit plasma. Biosamples were spiked with paclitaxel (PCX) as an internal standard (I.S.) and pre-treated by solid-phase extraction (SPE). The SPE procedure followed a simple protein digestion was based on nylon6 electrospun nanofibers mats as sorbents. Under optimized conditions, target analytes in 500μL of plasma sample can be completely extracted by only 2.5mg nylon6 nanofibers mat and eluted by 100μL solvent. The HPLC separation was obtained on C18 column and UV detector was used to quantify the target analytes. The extraction recovery was more than 85%; the standard curve was linear over the validated concentrations range of 10-5000ng/mL and the limit of detection was 2ng/mL. The inter-day coefficient of variation (CV%) of the calibration standards was below 5.0% and the mean accuracy was in the range of 92.8-113.4%. Moreover, analysing quality control plasma samples in 3 days, the results showed that the method was precise and accurate, for the intra- and inter-day CV% within 10% and the accuracy from 96.0% to 114.0%. The developed and validated method was successfully applied to relative bioavailability study for the preclinical evaluation of a new injectable DTX-sulfobutyl ether beta-cyclodextrin (DTX-SBE-β-CD) inclusion complex freeze-dried powder (test preparation), compared with the reference preparation (DTX injection, Taxotere®) in healthy rabbits. On the basis of the mean AUC(0-t) and AUC(0-infinity), the relative bioavailability of the test preparation was found to be 113.1%. © 2010 Elsevier B.V.","author":[{"dropping-particle":"","family":"Xu","given":"Qian","non-dropping-particle":"","parse-names":false,"suffix":""},{"dropping-particle":"","family":"Zhang","given":"Niping","non-dropping-particle":"","parse-names":false,"suffix":""},{"dropping-particle":"","family":"Yin","given":"Xueyan","non-dropping-particle":"","parse-names":false,"suffix":""},{"dropping-particle":"","family":"Wang","given":"Min","non-dropping-particle":"","parse-names":false,"suffix":""},{"dropping-particle":"","family":"Shen","given":"Yanyan","non-dropping-particle":"","parse-names":false,"suffix":""},{"dropping-particle":"","family":"Xu","given":"Shi","non-dropping-particle":"","parse-names":false,"suffix":""},{"dropping-particle":"","family":"Zhang","given":"Ling","non-dropping-particle":"","parse-names":false,"suffix":""},{"dropping-particle":"","family":"Gu","given":"Zhongze","non-dropping-particle":"","parse-names":false,"suffix":""}],"container-title":"Journal of Chromatography B: Analytical Technologies in the Biomedical and Life Sciences","id":"ITEM-5","issue":"26","issued":{"date-parts":[["2010"]]},"page":"2403-2408","publisher":"Elsevier B.V.","title":"Development and validation of a nylon6 nanofibers mat-based SPE coupled with HPLC method for the determination of docetaxel in rabbit plasma and its application to the relative bioavailability study","type":"article-journal","volume":"878"},"uris":["http://www.mendeley.com/documents/?uuid=f2227fa9-accf-441b-a998-5e10827f4584"]},{"id":"ITEM-6","itemData":{"DOI":"10.1016/j.cca.2010.11.010","ISSN":"00098981","PMID":"21078312","abstract":"Background: The most valuable treatment option for breast, prostate and lung carcinomas is at present represented by a low dose of docetaxel, administered on a weekly basis. A better understanding of docetaxel pharmacokinetic and pharmacodynamic profiles could lead to an improvement in this dose regimen efficacy. Methods: In this study a high-throughput method is described for the rapid quantification of docetaxel for large clinical pharmacology investigations. This analytical approach is based on an automatic on-line purification and enrichment technique followed by a measurement in tandem mass spectrometry through Multiple Reaction Monitoring. Results: The assay was validated over a 0.15-1500ng/mL range. Intra-day precision ranged from 1.9% to 6.4%, while the inter-day was between 7.6% and 11.2%. The mean deviation from the nominal value ranged from -0.5% to 5.6% for the intra-day, and from -0.4% to 3.1% for the inter-day assay. Clinical applicability was demonstrated by measuring plasma pharmacokinetics in patients receiving weekly 25-35mg/m2 of docetaxel. Conclusion: The proposed LC-MS/MS assay was found to have a better performance than previously reported methods in terms of sensitivity and sample preparation. It does not require any laborious pre-analytical manipulation and can be easily employed in large clinical pharmacology studies. © 2010 Elsevier B.V.","author":[{"dropping-particle":"","family":"Corona","given":"Giuseppe","non-dropping-particle":"","parse-names":false,"suffix":""},{"dropping-particle":"","family":"Elia","given":"Caterina","non-dropping-particle":"","parse-names":false,"suffix":""},{"dropping-particle":"","family":"Casetta","given":"Bruno","non-dropping-particle":"","parse-names":false,"suffix":""},{"dropping-particle":"","family":"Frustaci","given":"Sergio","non-dropping-particle":"","parse-names":false,"suffix":""},{"dropping-particle":"","family":"Toffoli","given":"Giuseppe","non-dropping-particle":"","parse-names":false,"suffix":""}],"container-title":"Clinica Chimica Acta","id":"ITEM-6","issue":"3-4","issued":{"date-parts":[["2011"]]},"page":"358-364","publisher":"Elsevier B.V.","title":"High-throughput plasma docetaxel quantification by liquid chromatography-tandem mass spectrometry","type":"article-journal","volume":"412"},"uris":["http://www.mendeley.com/documents/?uuid=b3df260f-f095-4485-9cea-7fc9a6d2fc54"]},{"id":"ITEM-7","itemData":{"DOI":"10.1016/j.jchromb.2013.01.017","ISSN":"15700232","PMID":"23422405","abstract":"Docetaxel and temsirolimus are some of the most used drugs in a wide range of solid tumors. In preclinical studies, mTOR inhibitors such as temsirolimus have demonstrated synergistic cytotoxic effects with taxanes providing the rationale for combination studies. These anticancer agents exhibit a narrow therapeutic concentration range and due to their high inter- and intra-individual pharmacokinetic variability, therapeutic dose monitoring by highly sensitive methods as LC-MS/MS are important for clinical research. Therefore, the aim of this study was to develop and validate a sensitive, fast and convenient method for the simultaneous identification and quantification of docetaxel, temsirolimus and its main metabolite, sirolimus, using paclitaxel, another anticancer drug, as the internal standard. These analytes were quantified by an integrated online solid phase extraction-high performance liquid chromatography-tandem mass spectrometry (SPE-HPLC-MS/MS) system. Separation was performed on a Zorbax eclipse XDB-C8 (150. mm × 4.6. mm, 5. μm) column. The mass spectrometer tandem quadruple detector was equipped with jet stream electrospray ionization, monitored in multiple reactions monitoring (MRM) and operated in positive mode. A combination of protein precipitation with methanol/zinc sulphate (70:30) (v/v) and online SPE using a Zorbax eclipse plus C8 (12.5. mm × 4.6. mm, 5. μm) cartridge was used to extract the compounds. This method allows the use of the same reagents, sample treatment and analytical technique independently of whether the samples are whole blood or plasma. The method has been successfully validated and applied to real samples. It is a suitable method for dose adjustment and for evaluating potential drug interactions during combined treatments. © 2013 Elsevier B.V.","author":[{"dropping-particle":"","family":"Navarrete","given":"Alicia","non-dropping-particle":"","parse-names":false,"suffix":""},{"dropping-particle":"","family":"Martínez-Alcázar","given":"M. Paz","non-dropping-particle":"","parse-names":false,"suffix":""},{"dropping-particle":"","family":"Durán","given":"Ignacio","non-dropping-particle":"","parse-names":false,"suffix":""},{"dropping-particle":"","family":"Calvo","given":"Emiliano","non-dropping-particle":"","parse-names":false,"suffix":""},{"dropping-particle":"","family":"Valenzuela","given":"Belén","non-dropping-particle":"","parse-names":false,"suffix":""},{"dropping-particle":"","family":"Barbas","given":"Coral","non-dropping-particle":"","parse-names":false,"suffix":""},{"dropping-particle":"","family":"García","given":"Antonia","non-dropping-particle":"","parse-names":false,"suffix":""}],"container-title":"Journal of Chromatography B: Analytical Technologies in the Biomedical and Life Sciences","id":"ITEM-7","issued":{"date-parts":[["2013"]]},"page":"35-42","publisher":"Elsevier B.V.","title":"Simultaneous online SPE-HPLC-MS/MS analysis of docetaxel, Temsirolimus and sirolimus in whole blood and human plasma","type":"article-journal","volume":"921-922"},"uris":["http://www.mendeley.com/documents/?uuid=30149a1f-b22a-40a8-8e7c-6e4268184a08"]},{"id":"ITEM-8","itemData":{"DOI":"10.1002/bmc.3021","ISSN":"02693879","PMID":"23996474","abstract":"A combined assay for the determination of paclitaxel, docetaxel and ritonavir in human feces and urine is described. The drugs were extracted from 200 μL urine or 50 mg feces followed by high-performance liquid chromatography analysis coupled with positive ionization electrospray tandem mass spectrometry. The validation program included calibration model, accuracy and precision, carry-over, dilution test, specificity and selectivity, matrix effect, recovery and stability. Acceptance criteria were according to US Food and Drug Administration guidelines on bioanalytical method validation. The validated range was 0.5-500 ng/mL for paclitaxel and docetaxel, 2-2000 ng/mL for ritonavir in urine, 2-2000 ng/mg for paclitaxel and docetaxel, and 8-8000 ng/mg for ritonavir in feces. Inter-assay accuracy and precision were tested for all analytes at four concentration levels and were within 8.5% and &lt;10.2%, respectively, in both matrices. Recovery at three concentration levels was between 77 and 94% in feces samples and between 69 and 85% in urine samples. Method development, including feces homogenization and spiking blank urine samples, are discussed. We demonstrated that each of the applied drugs could be quantified successfully in urine and feces using the described assay. The method was successfully applied for quantification of the analytes in feces and urine samples of patients. © 2013 John Wiley &amp; Sons, Ltd.","author":[{"dropping-particle":"","family":"Hendrikx","given":"Jeroen J.M.A.","non-dropping-particle":"","parse-names":false,"suffix":""},{"dropping-particle":"","family":"Rosing","given":"Hilde","non-dropping-particle":"","parse-names":false,"suffix":""},{"dropping-particle":"","family":"Schinkel","given":"Alfred H.","non-dropping-particle":"","parse-names":false,"suffix":""},{"dropping-particle":"","family":"Schellens","given":"Jan H.M.","non-dropping-particle":"","parse-names":false,"suffix":""},{"dropping-particle":"","family":"Beijnen","given":"Jos H.","non-dropping-particle":"","parse-names":false,"suffix":""}],"container-title":"Biomedical Chromatography","id":"ITEM-8","issue":"2","issued":{"date-parts":[["2013"]]},"page":"302-310","title":"Combined quantification of paclitaxel, docetaxel and ritonavir in human feces and urine using LC-MS/MS","type":"article-journal","volume":"28"},"uris":["http://www.mendeley.com/documents/?uuid=825a64c7-dee9-4b48-b2ed-286c3aab4412"]}],"mendeley":{"formattedCitation":"[111], [112], [116]–[121]","plainTextFormattedCitation":"[111], [112], [116]–[121]","previouslyFormattedCitation":"[111], [112], [116]–[121]"},"properties":{"noteIndex":0},"schema":"https://github.com/citation-style-language/schema/raw/master/csl-citation.json"}</w:instrText>
      </w:r>
      <w:r w:rsidR="00743659">
        <w:rPr>
          <w:rFonts w:ascii="Times New Roman" w:eastAsia="Times New Roman" w:hAnsi="Times New Roman" w:cs="Times New Roman"/>
          <w:sz w:val="24"/>
          <w:szCs w:val="24"/>
        </w:rPr>
        <w:fldChar w:fldCharType="separate"/>
      </w:r>
      <w:r w:rsidR="003F195C" w:rsidRPr="003F195C">
        <w:rPr>
          <w:rFonts w:ascii="Times New Roman" w:eastAsia="Times New Roman" w:hAnsi="Times New Roman" w:cs="Times New Roman"/>
          <w:noProof/>
          <w:sz w:val="24"/>
          <w:szCs w:val="24"/>
        </w:rPr>
        <w:t>[111], [112], [116]–[121]</w:t>
      </w:r>
      <w:r w:rsidR="00743659">
        <w:rPr>
          <w:rFonts w:ascii="Times New Roman" w:eastAsia="Times New Roman" w:hAnsi="Times New Roman" w:cs="Times New Roman"/>
          <w:sz w:val="24"/>
          <w:szCs w:val="24"/>
        </w:rPr>
        <w:fldChar w:fldCharType="end"/>
      </w:r>
      <w:r w:rsidR="424734AD" w:rsidRPr="00E11754">
        <w:rPr>
          <w:rFonts w:ascii="Times New Roman" w:eastAsia="Times New Roman" w:hAnsi="Times New Roman" w:cs="Times New Roman"/>
          <w:sz w:val="24"/>
          <w:szCs w:val="24"/>
        </w:rPr>
        <w:t xml:space="preserve">, ale opisano także procedury z wykorzystaniem </w:t>
      </w:r>
      <w:proofErr w:type="spellStart"/>
      <w:r w:rsidR="424734AD" w:rsidRPr="00E11754">
        <w:rPr>
          <w:rFonts w:ascii="Times New Roman" w:eastAsia="Times New Roman" w:hAnsi="Times New Roman" w:cs="Times New Roman"/>
          <w:sz w:val="24"/>
          <w:szCs w:val="24"/>
        </w:rPr>
        <w:t>ultrasprawnej</w:t>
      </w:r>
      <w:proofErr w:type="spellEnd"/>
      <w:r w:rsidR="424734AD" w:rsidRPr="00E11754">
        <w:rPr>
          <w:rFonts w:ascii="Times New Roman" w:eastAsia="Times New Roman" w:hAnsi="Times New Roman" w:cs="Times New Roman"/>
          <w:sz w:val="24"/>
          <w:szCs w:val="24"/>
        </w:rPr>
        <w:t xml:space="preserve"> chromatografii cieczowej (ang. </w:t>
      </w:r>
      <w:r w:rsidR="424734AD" w:rsidRPr="52C15979">
        <w:rPr>
          <w:rFonts w:ascii="Times New Roman" w:eastAsia="Times New Roman" w:hAnsi="Times New Roman" w:cs="Times New Roman"/>
          <w:i/>
          <w:iCs/>
          <w:sz w:val="24"/>
          <w:szCs w:val="24"/>
        </w:rPr>
        <w:t xml:space="preserve">Ultra-Performance Liquid </w:t>
      </w:r>
      <w:proofErr w:type="spellStart"/>
      <w:r w:rsidR="424734AD" w:rsidRPr="52C15979">
        <w:rPr>
          <w:rFonts w:ascii="Times New Roman" w:eastAsia="Times New Roman" w:hAnsi="Times New Roman" w:cs="Times New Roman"/>
          <w:i/>
          <w:iCs/>
          <w:sz w:val="24"/>
          <w:szCs w:val="24"/>
        </w:rPr>
        <w:t>Chromatography</w:t>
      </w:r>
      <w:proofErr w:type="spellEnd"/>
      <w:r w:rsidR="424734AD" w:rsidRPr="00E11754">
        <w:rPr>
          <w:rFonts w:ascii="Times New Roman" w:eastAsia="Times New Roman" w:hAnsi="Times New Roman" w:cs="Times New Roman"/>
          <w:sz w:val="24"/>
          <w:szCs w:val="24"/>
        </w:rPr>
        <w:t xml:space="preserve">, UPLC) </w:t>
      </w:r>
      <w:r w:rsidR="00743659">
        <w:rPr>
          <w:rFonts w:ascii="Times New Roman" w:eastAsia="Times New Roman" w:hAnsi="Times New Roman" w:cs="Times New Roman"/>
          <w:sz w:val="24"/>
          <w:szCs w:val="24"/>
        </w:rPr>
        <w:fldChar w:fldCharType="begin" w:fldLock="1"/>
      </w:r>
      <w:r w:rsidR="003F195C">
        <w:rPr>
          <w:rFonts w:ascii="Times New Roman" w:eastAsia="Times New Roman" w:hAnsi="Times New Roman" w:cs="Times New Roman"/>
          <w:sz w:val="24"/>
          <w:szCs w:val="24"/>
        </w:rPr>
        <w:instrText>ADDIN CSL_CITATION {"citationItems":[{"id":"ITEM-1","itemData":{"DOI":"10.1080/10408347.2018.1456315","ISSN":"15476510","PMID":"29701480","abstract":"Docetaxel (DTX) is an antineoplastic agent of the second generation of the taxoid family. It is a semi-synthetic drug prepared from a precursor extracted of the plant Taxus baccata. The commercial formulation of DTX, Taxotere®, employs the surfactant polysorbate 80, due to the low water solubility of the drug, causing several side effects. Therefore, there is a need to develop delivery systems to reduce the side effects of DTX. In addition, this drug has been qualitative and quantitatively analyzed in pharmaceutical formulations and biological samples. Thus, several techniques and analytical methods have been reported with the aim of optimizing the analytical signal, increasing sensitivity, selectivity and reducing the effects of interference. Herein, we highlight immunoassay, capillary electrophoresis and chromatographic methods. This review presents a summary of physicochemical and pharmacokinetics properties, mechanisms of action, drug delivery systems and analytical methods used in quantification of DTX in diverse matrices such as blood, plasma, oral fluid, urine, carcinoma cells, pharmaceutical formulations and delivery systems.","author":[{"dropping-particle":"","family":"Silva","given":"Gilmar Hanck","non-dropping-particle":"da","parse-names":false,"suffix":""},{"dropping-particle":"","family":"Fernandes","given":"Mariza Aires","non-dropping-particle":"","parse-names":false,"suffix":""},{"dropping-particle":"","family":"Trevizan","given":"Lucas Noboru Fatori","non-dropping-particle":"","parse-names":false,"suffix":""},{"dropping-particle":"","family":"Lima","given":"Felipe Tita","non-dropping-particle":"de","parse-names":false,"suffix":""},{"dropping-particle":"","family":"Eloy","given":"Josimar O.","non-dropping-particle":"","parse-names":false,"suffix":""},{"dropping-particle":"","family":"Chorilli","given":"Marlus","non-dropping-particle":"","parse-names":false,"suffix":""}],"container-title":"Critical Reviews in Analytical Chemistry","id":"ITEM-1","issue":"6","issued":{"date-parts":[["2018"]]},"page":"517-527","publisher":"Taylor &amp; Francis","title":"A Critical Review of Properties and Analytical Methods for the Determination of Docetaxel in Biological and Pharmaceutical Matrices","type":"article-journal","volume":"48"},"uris":["http://www.mendeley.com/documents/?uuid=176d7917-e508-45f6-846f-1cf70557a9b3"]}],"mendeley":{"formattedCitation":"[122]","plainTextFormattedCitation":"[122]","previouslyFormattedCitation":"[122]"},"properties":{"noteIndex":0},"schema":"https://github.com/citation-style-language/schema/raw/master/csl-citation.json"}</w:instrText>
      </w:r>
      <w:r w:rsidR="00743659">
        <w:rPr>
          <w:rFonts w:ascii="Times New Roman" w:eastAsia="Times New Roman" w:hAnsi="Times New Roman" w:cs="Times New Roman"/>
          <w:sz w:val="24"/>
          <w:szCs w:val="24"/>
        </w:rPr>
        <w:fldChar w:fldCharType="separate"/>
      </w:r>
      <w:r w:rsidR="003F195C" w:rsidRPr="003F195C">
        <w:rPr>
          <w:rFonts w:ascii="Times New Roman" w:eastAsia="Times New Roman" w:hAnsi="Times New Roman" w:cs="Times New Roman"/>
          <w:noProof/>
          <w:sz w:val="24"/>
          <w:szCs w:val="24"/>
        </w:rPr>
        <w:t>[122]</w:t>
      </w:r>
      <w:r w:rsidR="00743659">
        <w:rPr>
          <w:rFonts w:ascii="Times New Roman" w:eastAsia="Times New Roman" w:hAnsi="Times New Roman" w:cs="Times New Roman"/>
          <w:sz w:val="24"/>
          <w:szCs w:val="24"/>
        </w:rPr>
        <w:fldChar w:fldCharType="end"/>
      </w:r>
      <w:r w:rsidR="424734AD" w:rsidRPr="00E11754">
        <w:rPr>
          <w:rFonts w:ascii="Times New Roman" w:eastAsia="Times New Roman" w:hAnsi="Times New Roman" w:cs="Times New Roman"/>
          <w:sz w:val="24"/>
          <w:szCs w:val="24"/>
        </w:rPr>
        <w:t xml:space="preserve">. Detekcja tego </w:t>
      </w:r>
      <w:proofErr w:type="spellStart"/>
      <w:r w:rsidR="424734AD" w:rsidRPr="00E11754">
        <w:rPr>
          <w:rFonts w:ascii="Times New Roman" w:eastAsia="Times New Roman" w:hAnsi="Times New Roman" w:cs="Times New Roman"/>
          <w:sz w:val="24"/>
          <w:szCs w:val="24"/>
        </w:rPr>
        <w:t>cytostatyku</w:t>
      </w:r>
      <w:proofErr w:type="spellEnd"/>
      <w:r w:rsidR="424734AD" w:rsidRPr="00E11754">
        <w:rPr>
          <w:rFonts w:ascii="Times New Roman" w:eastAsia="Times New Roman" w:hAnsi="Times New Roman" w:cs="Times New Roman"/>
          <w:sz w:val="24"/>
          <w:szCs w:val="24"/>
        </w:rPr>
        <w:t xml:space="preserve"> odbywała się za pomocą UV </w:t>
      </w:r>
      <w:r w:rsidR="008E22AD">
        <w:rPr>
          <w:rFonts w:ascii="Times New Roman" w:eastAsia="Times New Roman" w:hAnsi="Times New Roman" w:cs="Times New Roman"/>
          <w:sz w:val="24"/>
          <w:szCs w:val="24"/>
        </w:rPr>
        <w:fldChar w:fldCharType="begin" w:fldLock="1"/>
      </w:r>
      <w:r w:rsidR="003F195C">
        <w:rPr>
          <w:rFonts w:ascii="Times New Roman" w:eastAsia="Times New Roman" w:hAnsi="Times New Roman" w:cs="Times New Roman"/>
          <w:sz w:val="24"/>
          <w:szCs w:val="24"/>
        </w:rPr>
        <w:instrText>ADDIN CSL_CITATION {"citationItems":[{"id":"ITEM-1","itemData":{"DOI":"10.4103/1735-5362.278710","ISSN":"17359414","abstract":"Background and purpose: A simple, rapid, and sensitive reversed-phase high performance liquid chromatography (RP-HPLC) method based on liquid-liquid extraction was developed and validated for determination of docetaxel (DTX) in plasma and homogenate tissues of tumor-bearing mice. Experimental approach: Samples were spiked with celecoxib as the internal standard and separation was achieved on a μ-Bondapak C18 HPLC column. The mobile phase consisted of a mixture of acetonitrile/water (40/60 v/v) at flow rate of 1.2 mL/min and the effluent was monitored at 230 nm. Results: Calibration curves were linear over the concentration range of 0.1-10 μg/mL of DTX in plasma and 0.25-50 μg/mL in tissue homogenates with acceptable precision and accuracy. The mean recoveries of the drug from plasma extraction was 94.6 ± 1.44% while those of tissue homogenates ranged from 73.5 ± 3.2 to 85.3 ± 2.8% depending on the type of tissues examined. DTX was stable in biological samples with no evidence of degradation during 3 freeze-thaw cycles and two months of storage at-70 ± 15 °C. The developed HPLC method was applied to quantify DTX in the mouse plasma and tissues after intravenous administration of 7.5 mg equivalent DTX/kg dose of DTX-loaded folic acid-polyethylene glycol-heparin-tocopherol (FA-PEG-HEP-CA-TOC) micelle formulation to female Balb/c mice. Conclusion: A simple, sensitive, rapid, accurate, and prudent RP-HPLC method was developed, validated, and applied for DTX determination in plasma and tissues.","author":[{"dropping-particle":"","family":"Kazemi","given":"Moloud","non-dropping-particle":"","parse-names":false,"suffix":""},{"dropping-particle":"","family":"Emami","given":"Jaber","non-dropping-particle":"","parse-names":false,"suffix":""},{"dropping-particle":"","family":"Hasanzadeh","given":"Farshid","non-dropping-particle":"","parse-names":false,"suffix":""},{"dropping-particle":"","family":"Minaiyan","given":"Mohsen","non-dropping-particle":"","parse-names":false,"suffix":""},{"dropping-particle":"","family":"Mirian","given":"Mina","non-dropping-particle":"","parse-names":false,"suffix":""},{"dropping-particle":"","family":"Lavasanifar","given":"Afsaneh","non-dropping-particle":"","parse-names":false,"suffix":""}],"container-title":"Research in Pharmaceutical Sciences","id":"ITEM-1","issue":"1","issued":{"date-parts":[["2020"]]},"page":"1-13","title":"Development of a RP-HPLC method for analysis of docetaxel in tumor-bearing mice plasma and tissues following injection of docetaxel-loaded pH responsive targeting polymeric micelles","type":"article-journal","volume":"15"},"uris":["http://www.mendeley.com/documents/?uuid=20ff94a4-086d-4aed-b74f-7891d56eac99"]},{"id":"ITEM-2","itemData":{"DOI":"10.18433/JPPS30912","ISSN":"14821826","PMID":"32762829","abstract":"Purpose: A simple, rapid, sensitive, and reliable HPLC method with UV detection was developed and validated for simultaneous quantitation of docetaxel and celecoxib and paclitaxel for dissolution characterization and pharmacokinetic studies. Methods: The HPLC assay was performed isocratically on a reversed-phase C18 μ-Bondapack column using a mobile phase of acetonitrile:water (45:55, v/v) at a flow rate of 1.2 mL/min, and the analytes were detected at 230 nm. Paclitaxel was used as an internal standard for analysis of plasma samples following simple liquid-liquid extraction with n-hexane:isoamyl alcohol (97:3). The method was validated for specificity, linearity, sensitivity, precision, accuracy, robustness, and in vitro-in vivo application. Results: The retention times for docetaxel, paclitaxel, and celecoxib were 10.94, 12.4, and 16.81 min, respectively. The standard curves covering 0.1-1 μg/mL and 0.05-4 μg/mL were linear using dissolution medium and rat plasma, respectively. The limit of quantitation of the method was 50 ng/mL using 100 μL of rat plasma sample and injection of 50 μL of the residue. Within-and between-day precision and accuracy did not exceed 16.86% and 12.10%, respectively. This validated method was successfully used to quantify docetaxel and celecoxib simultaneously in the release study of docetaxel-celecoxib-loaded porous microparticles and pharmacokinetics studies. The methods were found to be simple, specific, precise, accurate, and reproducible. In this study, paclitaxel was used as the internal standard while dexamethasone, flutamide, and budesonide proved suitable alternative as an internal standard. Conclusion: Since docetaxel and celecoxib could be co-administered for the treatment of a wide range of cancers such as non-small cell lung carcinoma, the developed method is particularly advantageous for routine therapeutic drug monitoring and pharmacokinetic studies of these drugs.","author":[{"dropping-particle":"","family":"Ziaei","given":"Elham","non-dropping-particle":"","parse-names":false,"suffix":""},{"dropping-particle":"","family":"Emami","given":"Jaber","non-dropping-particle":"","parse-names":false,"suffix":""},{"dropping-particle":"","family":"Kazemi","given":"Moloud","non-dropping-particle":"","parse-names":false,"suffix":""},{"dropping-particle":"","family":"Rezazadeh","given":"Mahboubeh","non-dropping-particle":"","parse-names":false,"suffix":""}],"container-title":"Journal of Pharmacy and Pharmaceutical Sciences","id":"ITEM-2","issue":"1","issued":{"date-parts":[["2020"]]},"page":"289-303","title":"Simultaneous determination of docetaxel and celecoxib in porous microparticles and rat plasma by liquid-liquid extraction and hplc with uv detection: In vitro and in vivo validation and application","type":"article-journal","volume":"23"},"uris":["http://www.mendeley.com/documents/?uuid=a33cd2af-185c-4e1a-b893-e3bc46b7dc23"]},{"id":"ITEM-3","itemData":{"DOI":"10.1016/j.ajps.2016.08.002","ISSN":"2221285X","abstract":"The purpose of the present research was to develop a suitable, simple, precise, accurate, robust, and reproducible RP-HPLC method for a reliable simultaneous quantification of docetaxel (DTX) and curcumin (CCM) in rat plasma samples using paclitaxel (PTX) as an internal standard. The samples were assayed by the Agilent 1260 Infinity HPLC instrument using a Capcell Pak C8 column (4.6 mm × 150 mm, 5 µm) under isocratic conditions. The mobile phase consisted of acetonitrile and triple distilled water (40/60, v/v) with a flow rate of 1.0 ml/min. The eluent was monitored at 230 nm for simultaneous measurement of curcumin and docetaxel. The method was validated by determining system suitability, selectivity, sensitivity, linearity, inter-day and intra-day precision, accuracy, robustness, and stability in accordance with the guidelines of the United States Food and Drug Administration (FDA). The developed chromatographic method proved to be simple, precise, accurate, robust and reproducible. Moreover, the samples showed stability at room temperature over a period of 48 h. Thus, this method would be employed for routine simultaneous quantification of docetaxel and curcumin in rat plasma samples.","author":[{"dropping-particle":"","family":"Kim","given":"Dong Wuk","non-dropping-particle":"","parse-names":false,"suffix":""},{"dropping-particle":"","family":"Yousaf","given":"Abid Mehmood","non-dropping-particle":"","parse-names":false,"suffix":""},{"dropping-particle":"","family":"Li","given":"Dong Xun","non-dropping-particle":"","parse-names":false,"suffix":""},{"dropping-particle":"","family":"Kim","given":"Jong Oh","non-dropping-particle":"","parse-names":false,"suffix":""},{"dropping-particle":"","family":"Yong","given":"Chul Soon","non-dropping-particle":"","parse-names":false,"suffix":""},{"dropping-particle":"","family":"Cho","given":"Kwan Hyung","non-dropping-particle":"","parse-names":false,"suffix":""},{"dropping-particle":"","family":"Choi","given":"Han Gon","non-dropping-particle":"","parse-names":false,"suffix":""}],"container-title":"Asian Journal of Pharmaceutical Sciences","id":"ITEM-3","issue":"1","issued":{"date-parts":[["2017"]]},"page":"105-113","publisher":"Elsevier B.V.","title":"Development of RP-HPLC method for simultaneous determination of docetaxel and curcumin in rat plasma: Validation and stability","type":"article-journal","volume":"12"},"uris":["http://www.mendeley.com/documents/?uuid=4ec9e16f-9c31-4ec8-ac1d-9631daf49902"]},{"id":"ITEM-4","itemData":{"DOI":"10.1016/j.jchromb.2010.07.011","ISSN":"15700232","PMID":"20719581","abstract":"A simple and sensitive HPLC method was established and validated for the determination of docetaxel (DTX) in rabbit plasma. Biosamples were spiked with paclitaxel (PCX) as an internal standard (I.S.) and pre-treated by solid-phase extraction (SPE). The SPE procedure followed a simple protein digestion was based on nylon6 electrospun nanofibers mats as sorbents. Under optimized conditions, target analytes in 500μL of plasma sample can be completely extracted by only 2.5mg nylon6 nanofibers mat and eluted by 100μL solvent. The HPLC separation was obtained on C18 column and UV detector was used to quantify the target analytes. The extraction recovery was more than 85%; the standard curve was linear over the validated concentrations range of 10-5000ng/mL and the limit of detection was 2ng/mL. The inter-day coefficient of variation (CV%) of the calibration standards was below 5.0% and the mean accuracy was in the range of 92.8-113.4%. Moreover, analysing quality control plasma samples in 3 days, the results showed that the method was precise and accurate, for the intra- and inter-day CV% within 10% and the accuracy from 96.0% to 114.0%. The developed and validated method was successfully applied to relative bioavailability study for the preclinical evaluation of a new injectable DTX-sulfobutyl ether beta-cyclodextrin (DTX-SBE-β-CD) inclusion complex freeze-dried powder (test preparation), compared with the reference preparation (DTX injection, Taxotere®) in healthy rabbits. On the basis of the mean AUC(0-t) and AUC(0-infinity), the relative bioavailability of the test preparation was found to be 113.1%. © 2010 Elsevier B.V.","author":[{"dropping-particle":"","family":"Xu","given":"Qian","non-dropping-particle":"","parse-names":false,"suffix":""},{"dropping-particle":"","family":"Zhang","given":"Niping","non-dropping-particle":"","parse-names":false,"suffix":""},{"dropping-particle":"","family":"Yin","given":"Xueyan","non-dropping-particle":"","parse-names":false,"suffix":""},{"dropping-particle":"","family":"Wang","given":"Min","non-dropping-particle":"","parse-names":false,"suffix":""},{"dropping-particle":"","family":"Shen","given":"Yanyan","non-dropping-particle":"","parse-names":false,"suffix":""},{"dropping-particle":"","family":"Xu","given":"Shi","non-dropping-particle":"","parse-names":false,"suffix":""},{"dropping-particle":"","family":"Zhang","given":"Ling","non-dropping-particle":"","parse-names":false,"suffix":""},{"dropping-particle":"","family":"Gu","given":"Zhongze","non-dropping-particle":"","parse-names":false,"suffix":""}],"container-title":"Journal of Chromatography B: Analytical Technologies in the Biomedical and Life Sciences","id":"ITEM-4","issue":"26","issued":{"date-parts":[["2010"]]},"page":"2403-2408","publisher":"Elsevier B.V.","title":"Development and validation of a nylon6 nanofibers mat-based SPE coupled with HPLC method for the determination of docetaxel in rabbit plasma and its application to the relative bioavailability study","type":"article-journal","volume":"878"},"uris":["http://www.mendeley.com/documents/?uuid=f2227fa9-accf-441b-a998-5e10827f4584"]},{"id":"ITEM-5","itemData":{"DOI":"10.5530/ijper.51.4s.105","ISSN":"00195464","abstract":"Objective: A rapid and selective high-performance liquid chromatographic (HPLC) method has been developed and validated for Docetaxel anhydrous (DTX) using Ketoconanzole (KCZ) as an internal standard in biological fluids. Methods: The analyte was extracted from human plasma by liquid-liquid extraction method using acetonitrile. The analysis was carried out on Licrosphere IV, C8 column (LC–GC Chromatography Solutions Pvt. Ltd, Mumbai, and India) (4.6×250 mm) with isocratic elution using a mobile phase composition of 0.2% triethylamine (pH 6.4 with orthophosphoric acid) (45%) and Acetonitrile (55%). The flow rate was 1.5ml/min with absorbance wavelength of 230 nm. Results: The developed method was found to be linear over the range of 100-2500 ng/mL with correlation coefficients of about 0.999. The limit of quantification for docetaxel was found to be 100 ng/mL. The limit of detection was found to be 50 ng/ mL. The intra- and inter-day precision was determined to be &lt;5% and the accuracy was 99–105%. The overall recovery for docetaxel was about 89.0% -91.0%. The total analysis time was only 10.0 min. The method was successfully applied for determination of DTX in rat plasma, to establish the pharmacokinetic profile of a marketed formulation. Conclusion: A simple, sensitive, rapid, accurate and prudent RP-HPLC method was developed, validated and applied for the Docetaxel anhydrous.","author":[{"dropping-particle":"","family":"Kharkar","given":"Prachi Balaram","non-dropping-particle":"","parse-names":false,"suffix":""},{"dropping-particle":"","family":"Talkar","given":"Swapnil Sunil","non-dropping-particle":"","parse-names":false,"suffix":""},{"dropping-particle":"","family":"Patravale","given":"Vandana Bharat","non-dropping-particle":"","parse-names":false,"suffix":""}],"container-title":"Indian Journal of Pharmaceutical Education and Research","id":"ITEM-5","issue":"4","issued":{"date-parts":[["2017"]]},"page":"S729-S734","title":"A rapid and sensitive bio analytical rp-hplc method for detection of docetaxel: Development and validation","type":"article-journal","volume":"51"},"uris":["http://www.mendeley.com/documents/?uuid=bede9701-fefc-4200-b689-19352029b24f"]}],"mendeley":{"formattedCitation":"[116]–[120]","plainTextFormattedCitation":"[116]–[120]","previouslyFormattedCitation":"[116]–[120]"},"properties":{"noteIndex":0},"schema":"https://github.com/citation-style-language/schema/raw/master/csl-citation.json"}</w:instrText>
      </w:r>
      <w:r w:rsidR="008E22AD">
        <w:rPr>
          <w:rFonts w:ascii="Times New Roman" w:eastAsia="Times New Roman" w:hAnsi="Times New Roman" w:cs="Times New Roman"/>
          <w:sz w:val="24"/>
          <w:szCs w:val="24"/>
        </w:rPr>
        <w:fldChar w:fldCharType="separate"/>
      </w:r>
      <w:r w:rsidR="003F195C" w:rsidRPr="003F195C">
        <w:rPr>
          <w:rFonts w:ascii="Times New Roman" w:eastAsia="Times New Roman" w:hAnsi="Times New Roman" w:cs="Times New Roman"/>
          <w:noProof/>
          <w:sz w:val="24"/>
          <w:szCs w:val="24"/>
        </w:rPr>
        <w:t>[116]–[120]</w:t>
      </w:r>
      <w:r w:rsidR="008E22AD">
        <w:rPr>
          <w:rFonts w:ascii="Times New Roman" w:eastAsia="Times New Roman" w:hAnsi="Times New Roman" w:cs="Times New Roman"/>
          <w:sz w:val="24"/>
          <w:szCs w:val="24"/>
        </w:rPr>
        <w:fldChar w:fldCharType="end"/>
      </w:r>
      <w:r w:rsidR="424734AD" w:rsidRPr="00E11754">
        <w:rPr>
          <w:rFonts w:ascii="Times New Roman" w:eastAsia="Times New Roman" w:hAnsi="Times New Roman" w:cs="Times New Roman"/>
          <w:sz w:val="24"/>
          <w:szCs w:val="24"/>
        </w:rPr>
        <w:t xml:space="preserve">, ale także MS oraz MS/MS </w:t>
      </w:r>
      <w:r w:rsidR="008E22AD">
        <w:rPr>
          <w:rFonts w:ascii="Times New Roman" w:eastAsia="Times New Roman" w:hAnsi="Times New Roman" w:cs="Times New Roman"/>
          <w:sz w:val="24"/>
          <w:szCs w:val="24"/>
        </w:rPr>
        <w:fldChar w:fldCharType="begin" w:fldLock="1"/>
      </w:r>
      <w:r w:rsidR="003F195C">
        <w:rPr>
          <w:rFonts w:ascii="Times New Roman" w:eastAsia="Times New Roman" w:hAnsi="Times New Roman" w:cs="Times New Roman"/>
          <w:sz w:val="24"/>
          <w:szCs w:val="24"/>
        </w:rPr>
        <w:instrText>ADDIN CSL_CITATION {"citationItems":[{"id":"ITEM-1","itemData":{"DOI":"10.1016/j.cca.2010.11.010","ISSN":"00098981","PMID":"21078312","abstract":"Background: The most valuable treatment option for breast, prostate and lung carcinomas is at present represented by a low dose of docetaxel, administered on a weekly basis. A better understanding of docetaxel pharmacokinetic and pharmacodynamic profiles could lead to an improvement in this dose regimen efficacy. Methods: In this study a high-throughput method is described for the rapid quantification of docetaxel for large clinical pharmacology investigations. This analytical approach is based on an automatic on-line purification and enrichment technique followed by a measurement in tandem mass spectrometry through Multiple Reaction Monitoring. Results: The assay was validated over a 0.15-1500ng/mL range. Intra-day precision ranged from 1.9% to 6.4%, while the inter-day was between 7.6% and 11.2%. The mean deviation from the nominal value ranged from -0.5% to 5.6% for the intra-day, and from -0.4% to 3.1% for the inter-day assay. Clinical applicability was demonstrated by measuring plasma pharmacokinetics in patients receiving weekly 25-35mg/m2 of docetaxel. Conclusion: The proposed LC-MS/MS assay was found to have a better performance than previously reported methods in terms of sensitivity and sample preparation. It does not require any laborious pre-analytical manipulation and can be easily employed in large clinical pharmacology studies. © 2010 Elsevier B.V.","author":[{"dropping-particle":"","family":"Corona","given":"Giuseppe","non-dropping-particle":"","parse-names":false,"suffix":""},{"dropping-particle":"","family":"Elia","given":"Caterina","non-dropping-particle":"","parse-names":false,"suffix":""},{"dropping-particle":"","family":"Casetta","given":"Bruno","non-dropping-particle":"","parse-names":false,"suffix":""},{"dropping-particle":"","family":"Frustaci","given":"Sergio","non-dropping-particle":"","parse-names":false,"suffix":""},{"dropping-particle":"","family":"Toffoli","given":"Giuseppe","non-dropping-particle":"","parse-names":false,"suffix":""}],"container-title":"Clinica Chimica Acta","id":"ITEM-1","issue":"3-4","issued":{"date-parts":[["2011"]]},"page":"358-364","publisher":"Elsevier B.V.","title":"High-throughput plasma docetaxel quantification by liquid chromatography-tandem mass spectrometry","type":"article-journal","volume":"412"},"uris":["http://www.mendeley.com/documents/?uuid=b3df260f-f095-4485-9cea-7fc9a6d2fc54"]},{"id":"ITEM-2","itemData":{"DOI":"10.1016/j.jchromb.2013.01.017","ISSN":"15700232","PMID":"23422405","abstract":"Docetaxel and temsirolimus are some of the most used drugs in a wide range of solid tumors. In preclinical studies, mTOR inhibitors such as temsirolimus have demonstrated synergistic cytotoxic effects with taxanes providing the rationale for combination studies. These anticancer agents exhibit a narrow therapeutic concentration range and due to their high inter- and intra-individual pharmacokinetic variability, therapeutic dose monitoring by highly sensitive methods as LC-MS/MS are important for clinical research. Therefore, the aim of this study was to develop and validate a sensitive, fast and convenient method for the simultaneous identification and quantification of docetaxel, temsirolimus and its main metabolite, sirolimus, using paclitaxel, another anticancer drug, as the internal standard. These analytes were quantified by an integrated online solid phase extraction-high performance liquid chromatography-tandem mass spectrometry (SPE-HPLC-MS/MS) system. Separation was performed on a Zorbax eclipse XDB-C8 (150. mm × 4.6. mm, 5. μm) column. The mass spectrometer tandem quadruple detector was equipped with jet stream electrospray ionization, monitored in multiple reactions monitoring (MRM) and operated in positive mode. A combination of protein precipitation with methanol/zinc sulphate (70:30) (v/v) and online SPE using a Zorbax eclipse plus C8 (12.5. mm × 4.6. mm, 5. μm) cartridge was used to extract the compounds. This method allows the use of the same reagents, sample treatment and analytical technique independently of whether the samples are whole blood or plasma. The method has been successfully validated and applied to real samples. It is a suitable method for dose adjustment and for evaluating potential drug interactions during combined treatments. © 2013 Elsevier B.V.","author":[{"dropping-particle":"","family":"Navarrete","given":"Alicia","non-dropping-particle":"","parse-names":false,"suffix":""},{"dropping-particle":"","family":"Martínez-Alcázar","given":"M. Paz","non-dropping-particle":"","parse-names":false,"suffix":""},{"dropping-particle":"","family":"Durán","given":"Ignacio","non-dropping-particle":"","parse-names":false,"suffix":""},{"dropping-particle":"","family":"Calvo","given":"Emiliano","non-dropping-particle":"","parse-names":false,"suffix":""},{"dropping-particle":"","family":"Valenzuela","given":"Belén","non-dropping-particle":"","parse-names":false,"suffix":""},{"dropping-particle":"","family":"Barbas","given":"Coral","non-dropping-particle":"","parse-names":false,"suffix":""},{"dropping-particle":"","family":"García","given":"Antonia","non-dropping-particle":"","parse-names":false,"suffix":""}],"container-title":"Journal of Chromatography B: Analytical Technologies in the Biomedical and Life Sciences","id":"ITEM-2","issued":{"date-parts":[["2013"]]},"page":"35-42","publisher":"Elsevier B.V.","title":"Simultaneous online SPE-HPLC-MS/MS analysis of docetaxel, Temsirolimus and sirolimus in whole blood and human plasma","type":"article-journal","volume":"921-922"},"uris":["http://www.mendeley.com/documents/?uuid=30149a1f-b22a-40a8-8e7c-6e4268184a08"]},{"id":"ITEM-3","itemData":{"DOI":"10.1002/bmc.3021","ISSN":"02693879","PMID":"23996474","abstract":"A combined assay for the determination of paclitaxel, docetaxel and ritonavir in human feces and urine is described. The drugs were extracted from 200 μL urine or 50 mg feces followed by high-performance liquid chromatography analysis coupled with positive ionization electrospray tandem mass spectrometry. The validation program included calibration model, accuracy and precision, carry-over, dilution test, specificity and selectivity, matrix effect, recovery and stability. Acceptance criteria were according to US Food and Drug Administration guidelines on bioanalytical method validation. The validated range was 0.5-500 ng/mL for paclitaxel and docetaxel, 2-2000 ng/mL for ritonavir in urine, 2-2000 ng/mg for paclitaxel and docetaxel, and 8-8000 ng/mg for ritonavir in feces. Inter-assay accuracy and precision were tested for all analytes at four concentration levels and were within 8.5% and &lt;10.2%, respectively, in both matrices. Recovery at three concentration levels was between 77 and 94% in feces samples and between 69 and 85% in urine samples. Method development, including feces homogenization and spiking blank urine samples, are discussed. We demonstrated that each of the applied drugs could be quantified successfully in urine and feces using the described assay. The method was successfully applied for quantification of the analytes in feces and urine samples of patients. © 2013 John Wiley &amp; Sons, Ltd.","author":[{"dropping-particle":"","family":"Hendrikx","given":"Jeroen J.M.A.","non-dropping-particle":"","parse-names":false,"suffix":""},{"dropping-particle":"","family":"Rosing","given":"Hilde","non-dropping-particle":"","parse-names":false,"suffix":""},{"dropping-particle":"","family":"Schinkel","given":"Alfred H.","non-dropping-particle":"","parse-names":false,"suffix":""},{"dropping-particle":"","family":"Schellens","given":"Jan H.M.","non-dropping-particle":"","parse-names":false,"suffix":""},{"dropping-particle":"","family":"Beijnen","given":"Jos H.","non-dropping-particle":"","parse-names":false,"suffix":""}],"container-title":"Biomedical Chromatography","id":"ITEM-3","issue":"2","issued":{"date-parts":[["2013"]]},"page":"302-310","title":"Combined quantification of paclitaxel, docetaxel and ritonavir in human feces and urine using LC-MS/MS","type":"article-journal","volume":"28"},"uris":["http://www.mendeley.com/documents/?uuid=825a64c7-dee9-4b48-b2ed-286c3aab4412"]},{"id":"ITEM-4","itemData":{"DOI":"10.1016/j.jchromb.2012.02.003","ISSN":"15700232","PMID":"22429876","abstract":"Docetaxel is a taxane family antineoplastic agent widely employed in cancer chemotherapy. We developed a liquid chromatography/tandem mass spectrometry method for the determination of docetaxel in human plasma. Plasma samples were deproteinized by acetonitrile containing internal standard paclitaxel. Chromatographic separation was performed on a TSKgel ODS-100V 3. μm (50. mm. ×. 2.0. mm i.d.) column using a mobile phase composed of acetonitrile-methanol-water-formic acid (50:5:45:0.1, v/v/v/v). Detection was performed on a triple-quadrupole tandem mass spectrometer with multiple reaction monitoring (MRM) mode via electrospray ionization (ESI) source. This method covered a linearity range of 5-5000. ng/mL with the lower limit of quantification of 5. ng/mL. The intra-day precision and inter-day precision (R.S.D.) of analysis were less than 6.7%, and the accuracy (R.E.) was within ±9.0% at the concentrations of 5, 20, 200, and 2000. ng/mL. The total run time was 5.0. min. This method was successfully applied for clinical pharmacokinetic investigation. © 2012 Elsevier B.V.","author":[{"dropping-particle":"","family":"Yamaguchi","given":"Hiroaki","non-dropping-particle":"","parse-names":false,"suffix":""},{"dropping-particle":"","family":"Fujikawa","given":"Asuka","non-dropping-particle":"","parse-names":false,"suffix":""},{"dropping-particle":"","family":"Ito","given":"Hajime","non-dropping-particle":"","parse-names":false,"suffix":""},{"dropping-particle":"","family":"Tanaka","given":"Nobuaki","non-dropping-particle":"","parse-names":false,"suffix":""},{"dropping-particle":"","family":"Furugen","given":"Ayako","non-dropping-particle":"","parse-names":false,"suffix":""},{"dropping-particle":"","family":"Miyamori","given":"Kazuaki","non-dropping-particle":"","parse-names":false,"suffix":""},{"dropping-particle":"","family":"Takahashi","given":"Natsuko","non-dropping-particle":"","parse-names":false,"suffix":""},{"dropping-particle":"","family":"Ogura","given":"Jiro","non-dropping-particle":"","parse-names":false,"suffix":""},{"dropping-particle":"","family":"Kobayashi","given":"Masaki","non-dropping-particle":"","parse-names":false,"suffix":""},{"dropping-particle":"","family":"Yamada","given":"Takehiro","non-dropping-particle":"","parse-names":false,"suffix":""},{"dropping-particle":"","family":"Mano","given":"Nariyasu","non-dropping-particle":"","parse-names":false,"suffix":""},{"dropping-particle":"","family":"Iseki","given":"Ken","non-dropping-particle":"","parse-names":false,"suffix":""}],"container-title":"Journal of Chromatography B: Analytical Technologies in the Biomedical and Life Sciences","id":"ITEM-4","issued":{"date-parts":[["2012"]]},"page":"157-161","publisher":"Elsevier B.V.","title":"A rapid and sensitive LC/ESI-MS/MS method for quantitative analysis of docetaxel in human plasma and its application to a pharmacokinetic study","type":"article-journal","volume":"893-894"},"uris":["http://www.mendeley.com/documents/?uuid=672c2d0c-a93e-4502-a7c6-67166c3d9160"]}],"mendeley":{"formattedCitation":"[111]–[113], [121]","plainTextFormattedCitation":"[111]–[113], [121]","previouslyFormattedCitation":"[111]–[113], [121]"},"properties":{"noteIndex":0},"schema":"https://github.com/citation-style-language/schema/raw/master/csl-citation.json"}</w:instrText>
      </w:r>
      <w:r w:rsidR="008E22AD">
        <w:rPr>
          <w:rFonts w:ascii="Times New Roman" w:eastAsia="Times New Roman" w:hAnsi="Times New Roman" w:cs="Times New Roman"/>
          <w:sz w:val="24"/>
          <w:szCs w:val="24"/>
        </w:rPr>
        <w:fldChar w:fldCharType="separate"/>
      </w:r>
      <w:r w:rsidR="003F195C" w:rsidRPr="003F195C">
        <w:rPr>
          <w:rFonts w:ascii="Times New Roman" w:eastAsia="Times New Roman" w:hAnsi="Times New Roman" w:cs="Times New Roman"/>
          <w:noProof/>
          <w:sz w:val="24"/>
          <w:szCs w:val="24"/>
        </w:rPr>
        <w:t>[111]–[113], [121]</w:t>
      </w:r>
      <w:r w:rsidR="008E22AD">
        <w:rPr>
          <w:rFonts w:ascii="Times New Roman" w:eastAsia="Times New Roman" w:hAnsi="Times New Roman" w:cs="Times New Roman"/>
          <w:sz w:val="24"/>
          <w:szCs w:val="24"/>
        </w:rPr>
        <w:fldChar w:fldCharType="end"/>
      </w:r>
      <w:r w:rsidR="424734AD" w:rsidRPr="00E11754">
        <w:rPr>
          <w:rFonts w:ascii="Times New Roman" w:eastAsia="Times New Roman" w:hAnsi="Times New Roman" w:cs="Times New Roman"/>
          <w:sz w:val="24"/>
          <w:szCs w:val="24"/>
        </w:rPr>
        <w:t xml:space="preserve">. Według literatury, najczęściej separację chromatograficzną wykonywano stosując kolumny C18 </w:t>
      </w:r>
      <w:r w:rsidR="00556339">
        <w:rPr>
          <w:rFonts w:ascii="Times New Roman" w:eastAsia="Times New Roman" w:hAnsi="Times New Roman" w:cs="Times New Roman"/>
          <w:sz w:val="24"/>
          <w:szCs w:val="24"/>
        </w:rPr>
        <w:fldChar w:fldCharType="begin" w:fldLock="1"/>
      </w:r>
      <w:r w:rsidR="002858F6">
        <w:rPr>
          <w:rFonts w:ascii="Times New Roman" w:eastAsia="Times New Roman" w:hAnsi="Times New Roman" w:cs="Times New Roman"/>
          <w:sz w:val="24"/>
          <w:szCs w:val="24"/>
        </w:rPr>
        <w:instrText>ADDIN CSL_CITATION {"citationItems":[{"id":"ITEM-1","itemData":{"DOI":"10.4103/1735-5362.278710","ISSN":"17359414","abstract":"Background and purpose: A simple, rapid, and sensitive reversed-phase high performance liquid chromatography (RP-HPLC) method based on liquid-liquid extraction was developed and validated for determination of docetaxel (DTX) in plasma and homogenate tissues of tumor-bearing mice. Experimental approach: Samples were spiked with celecoxib as the internal standard and separation was achieved on a μ-Bondapak C18 HPLC column. The mobile phase consisted of a mixture of acetonitrile/water (40/60 v/v) at flow rate of 1.2 mL/min and the effluent was monitored at 230 nm. Results: Calibration curves were linear over the concentration range of 0.1-10 μg/mL of DTX in plasma and 0.25-50 μg/mL in tissue homogenates with acceptable precision and accuracy. The mean recoveries of the drug from plasma extraction was 94.6 ± 1.44% while those of tissue homogenates ranged from 73.5 ± 3.2 to 85.3 ± 2.8% depending on the type of tissues examined. DTX was stable in biological samples with no evidence of degradation during 3 freeze-thaw cycles and two months of storage at-70 ± 15 °C. The developed HPLC method was applied to quantify DTX in the mouse plasma and tissues after intravenous administration of 7.5 mg equivalent DTX/kg dose of DTX-loaded folic acid-polyethylene glycol-heparin-tocopherol (FA-PEG-HEP-CA-TOC) micelle formulation to female Balb/c mice. Conclusion: A simple, sensitive, rapid, accurate, and prudent RP-HPLC method was developed, validated, and applied for DTX determination in plasma and tissues.","author":[{"dropping-particle":"","family":"Kazemi","given":"Moloud","non-dropping-particle":"","parse-names":false,"suffix":""},{"dropping-particle":"","family":"Emami","given":"Jaber","non-dropping-particle":"","parse-names":false,"suffix":""},{"dropping-particle":"","family":"Hasanzadeh","given":"Farshid","non-dropping-particle":"","parse-names":false,"suffix":""},{"dropping-particle":"","family":"Minaiyan","given":"Mohsen","non-dropping-particle":"","parse-names":false,"suffix":""},{"dropping-particle":"","family":"Mirian","given":"Mina","non-dropping-particle":"","parse-names":false,"suffix":""},{"dropping-particle":"","family":"Lavasanifar","given":"Afsaneh","non-dropping-particle":"","parse-names":false,"suffix":""}],"container-title":"Research in Pharmaceutical Sciences","id":"ITEM-1","issue":"1","issued":{"date-parts":[["2020"]]},"page":"1-13","title":"Development of a RP-HPLC method for analysis of docetaxel in tumor-bearing mice plasma and tissues following injection of docetaxel-loaded pH responsive targeting polymeric micelles","type":"article-journal","volume":"15"},"uris":["http://www.mendeley.com/documents/?uuid=20ff94a4-086d-4aed-b74f-7891d56eac99"]},{"id":"ITEM-2","itemData":{"DOI":"10.18433/JPPS30912","ISSN":"14821826","PMID":"32762829","abstract":"Purpose: A simple, rapid, sensitive, and reliable HPLC method with UV detection was developed and validated for simultaneous quantitation of docetaxel and celecoxib and paclitaxel for dissolution characterization and pharmacokinetic studies. Methods: The HPLC assay was performed isocratically on a reversed-phase C18 μ-Bondapack column using a mobile phase of acetonitrile:water (45:55, v/v) at a flow rate of 1.2 mL/min, and the analytes were detected at 230 nm. Paclitaxel was used as an internal standard for analysis of plasma samples following simple liquid-liquid extraction with n-hexane:isoamyl alcohol (97:3). The method was validated for specificity, linearity, sensitivity, precision, accuracy, robustness, and in vitro-in vivo application. Results: The retention times for docetaxel, paclitaxel, and celecoxib were 10.94, 12.4, and 16.81 min, respectively. The standard curves covering 0.1-1 μg/mL and 0.05-4 μg/mL were linear using dissolution medium and rat plasma, respectively. The limit of quantitation of the method was 50 ng/mL using 100 μL of rat plasma sample and injection of 50 μL of the residue. Within-and between-day precision and accuracy did not exceed 16.86% and 12.10%, respectively. This validated method was successfully used to quantify docetaxel and celecoxib simultaneously in the release study of docetaxel-celecoxib-loaded porous microparticles and pharmacokinetics studies. The methods were found to be simple, specific, precise, accurate, and reproducible. In this study, paclitaxel was used as the internal standard while dexamethasone, flutamide, and budesonide proved suitable alternative as an internal standard. Conclusion: Since docetaxel and celecoxib could be co-administered for the treatment of a wide range of cancers such as non-small cell lung carcinoma, the developed method is particularly advantageous for routine therapeutic drug monitoring and pharmacokinetic studies of these drugs.","author":[{"dropping-particle":"","family":"Ziaei","given":"Elham","non-dropping-particle":"","parse-names":false,"suffix":""},{"dropping-particle":"","family":"Emami","given":"Jaber","non-dropping-particle":"","parse-names":false,"suffix":""},{"dropping-particle":"","family":"Kazemi","given":"Moloud","non-dropping-particle":"","parse-names":false,"suffix":""},{"dropping-particle":"","family":"Rezazadeh","given":"Mahboubeh","non-dropping-particle":"","parse-names":false,"suffix":""}],"container-title":"Journal of Pharmacy and Pharmaceutical Sciences","id":"ITEM-2","issue":"1","issued":{"date-parts":[["2020"]]},"page":"289-303","title":"Simultaneous determination of docetaxel and celecoxib in porous microparticles and rat plasma by liquid-liquid extraction and hplc with uv detection: In vitro and in vivo validation and application","type":"article-journal","volume":"23"},"uris":["http://www.mendeley.com/documents/?uuid=a33cd2af-185c-4e1a-b893-e3bc46b7dc23"]},{"id":"ITEM-3","itemData":{"DOI":"10.1016/j.jchromb.2010.07.011","ISSN":"15700232","PMID":"20719581","abstract":"A simple and sensitive HPLC method was established and validated for the determination of docetaxel (DTX) in rabbit plasma. Biosamples were spiked with paclitaxel (PCX) as an internal standard (I.S.) and pre-treated by solid-phase extraction (SPE). The SPE procedure followed a simple protein digestion was based on nylon6 electrospun nanofibers mats as sorbents. Under optimized conditions, target analytes in 500μL of plasma sample can be completely extracted by only 2.5mg nylon6 nanofibers mat and eluted by 100μL solvent. The HPLC separation was obtained on C18 column and UV detector was used to quantify the target analytes. The extraction recovery was more than 85%; the standard curve was linear over the validated concentrations range of 10-5000ng/mL and the limit of detection was 2ng/mL. The inter-day coefficient of variation (CV%) of the calibration standards was below 5.0% and the mean accuracy was in the range of 92.8-113.4%. Moreover, analysing quality control plasma samples in 3 days, the results showed that the method was precise and accurate, for the intra- and inter-day CV% within 10% and the accuracy from 96.0% to 114.0%. The developed and validated method was successfully applied to relative bioavailability study for the preclinical evaluation of a new injectable DTX-sulfobutyl ether beta-cyclodextrin (DTX-SBE-β-CD) inclusion complex freeze-dried powder (test preparation), compared with the reference preparation (DTX injection, Taxotere®) in healthy rabbits. On the basis of the mean AUC(0-t) and AUC(0-infinity), the relative bioavailability of the test preparation was found to be 113.1%. © 2010 Elsevier B.V.","author":[{"dropping-particle":"","family":"Xu","given":"Qian","non-dropping-particle":"","parse-names":false,"suffix":""},{"dropping-particle":"","family":"Zhang","given":"Niping","non-dropping-particle":"","parse-names":false,"suffix":""},{"dropping-particle":"","family":"Yin","given":"Xueyan","non-dropping-particle":"","parse-names":false,"suffix":""},{"dropping-particle":"","family":"Wang","given":"Min","non-dropping-particle":"","parse-names":false,"suffix":""},{"dropping-particle":"","family":"Shen","given":"Yanyan","non-dropping-particle":"","parse-names":false,"suffix":""},{"dropping-particle":"","family":"Xu","given":"Shi","non-dropping-particle":"","parse-names":false,"suffix":""},{"dropping-particle":"","family":"Zhang","given":"Ling","non-dropping-particle":"","parse-names":false,"suffix":""},{"dropping-particle":"","family":"Gu","given":"Zhongze","non-dropping-particle":"","parse-names":false,"suffix":""}],"container-title":"Journal of Chromatography B: Analytical Technologies in the Biomedical and Life Sciences","id":"ITEM-3","issue":"26","issued":{"date-parts":[["2010"]]},"page":"2403-2408","publisher":"Elsevier B.V.","title":"Development and validation of a nylon6 nanofibers mat-based SPE coupled with HPLC method for the determination of docetaxel in rabbit plasma and its application to the relative bioavailability study","type":"article-journal","volume":"878"},"uris":["http://www.mendeley.com/documents/?uuid=f2227fa9-accf-441b-a998-5e10827f4584"]},{"id":"ITEM-4","itemData":{"DOI":"10.1016/j.cca.2010.11.010","ISSN":"00098981","PMID":"21078312","abstract":"Background: The most valuable treatment option for breast, prostate and lung carcinomas is at present represented by a low dose of docetaxel, administered on a weekly basis. A better understanding of docetaxel pharmacokinetic and pharmacodynamic profiles could lead to an improvement in this dose regimen efficacy. Methods: In this study a high-throughput method is described for the rapid quantification of docetaxel for large clinical pharmacology investigations. This analytical approach is based on an automatic on-line purification and enrichment technique followed by a measurement in tandem mass spectrometry through Multiple Reaction Monitoring. Results: The assay was validated over a 0.15-1500ng/mL range. Intra-day precision ranged from 1.9% to 6.4%, while the inter-day was between 7.6% and 11.2%. The mean deviation from the nominal value ranged from -0.5% to 5.6% for the intra-day, and from -0.4% to 3.1% for the inter-day assay. Clinical applicability was demonstrated by measuring plasma pharmacokinetics in patients receiving weekly 25-35mg/m2 of docetaxel. Conclusion: The proposed LC-MS/MS assay was found to have a better performance than previously reported methods in terms of sensitivity and sample preparation. It does not require any laborious pre-analytical manipulation and can be easily employed in large clinical pharmacology studies. © 2010 Elsevier B.V.","author":[{"dropping-particle":"","family":"Corona","given":"Giuseppe","non-dropping-particle":"","parse-names":false,"suffix":""},{"dropping-particle":"","family":"Elia","given":"Caterina","non-dropping-particle":"","parse-names":false,"suffix":""},{"dropping-particle":"","family":"Casetta","given":"Bruno","non-dropping-particle":"","parse-names":false,"suffix":""},{"dropping-particle":"","family":"Frustaci","given":"Sergio","non-dropping-particle":"","parse-names":false,"suffix":""},{"dropping-particle":"","family":"Toffoli","given":"Giuseppe","non-dropping-particle":"","parse-names":false,"suffix":""}],"container-title":"Clinica Chimica Acta","id":"ITEM-4","issue":"3-4","issued":{"date-parts":[["2011"]]},"page":"358-364","publisher":"Elsevier B.V.","title":"High-throughput plasma docetaxel quantification by liquid chromatography-tandem mass spectrometry","type":"article-journal","volume":"412"},"uris":["http://www.mendeley.com/documents/?uuid=b3df260f-f095-4485-9cea-7fc9a6d2fc54"]},{"id":"ITEM-5","itemData":{"DOI":"10.1002/bmc.3021","ISSN":"02693879","PMID":"23996474","abstract":"A combined assay for the determination of paclitaxel, docetaxel and ritonavir in human feces and urine is described. The drugs were extracted from 200 μL urine or 50 mg feces followed by high-performance liquid chromatography analysis coupled with positive ionization electrospray tandem mass spectrometry. The validation program included calibration model, accuracy and precision, carry-over, dilution test, specificity and selectivity, matrix effect, recovery and stability. Acceptance criteria were according to US Food and Drug Administration guidelines on bioanalytical method validation. The validated range was 0.5-500 ng/mL for paclitaxel and docetaxel, 2-2000 ng/mL for ritonavir in urine, 2-2000 ng/mg for paclitaxel and docetaxel, and 8-8000 ng/mg for ritonavir in feces. Inter-assay accuracy and precision were tested for all analytes at four concentration levels and were within 8.5% and &lt;10.2%, respectively, in both matrices. Recovery at three concentration levels was between 77 and 94% in feces samples and between 69 and 85% in urine samples. Method development, including feces homogenization and spiking blank urine samples, are discussed. We demonstrated that each of the applied drugs could be quantified successfully in urine and feces using the described assay. The method was successfully applied for quantification of the analytes in feces and urine samples of patients. © 2013 John Wiley &amp; Sons, Ltd.","author":[{"dropping-particle":"","family":"Hendrikx","given":"Jeroen J.M.A.","non-dropping-particle":"","parse-names":false,"suffix":""},{"dropping-particle":"","family":"Rosing","given":"Hilde","non-dropping-particle":"","parse-names":false,"suffix":""},{"dropping-particle":"","family":"Schinkel","given":"Alfred H.","non-dropping-particle":"","parse-names":false,"suffix":""},{"dropping-particle":"","family":"Schellens","given":"Jan H.M.","non-dropping-particle":"","parse-names":false,"suffix":""},{"dropping-particle":"","family":"Beijnen","given":"Jos H.","non-dropping-particle":"","parse-names":false,"suffix":""}],"container-title":"Biomedical Chromatography","id":"ITEM-5","issue":"2","issued":{"date-parts":[["2013"]]},"page":"302-310","title":"Combined quantification of paclitaxel, docetaxel and ritonavir in human feces and urine using LC-MS/MS","type":"article-journal","volume":"28"},"uris":["http://www.mendeley.com/documents/?uuid=825a64c7-dee9-4b48-b2ed-286c3aab4412"]},{"id":"ITEM-6","itemData":{"DOI":"10.1016/j.jchromb.2012.02.003","ISSN":"15700232","PMID":"22429876","abstract":"Docetaxel is a taxane family antineoplastic agent widely employed in cancer chemotherapy. We developed a liquid chromatography/tandem mass spectrometry method for the determination of docetaxel in human plasma. Plasma samples were deproteinized by acetonitrile containing internal standard paclitaxel. Chromatographic separation was performed on a TSKgel ODS-100V 3. μm (50. mm. ×. 2.0. mm i.d.) column using a mobile phase composed of acetonitrile-methanol-water-formic acid (50:5:45:0.1, v/v/v/v). Detection was performed on a triple-quadrupole tandem mass spectrometer with multiple reaction monitoring (MRM) mode via electrospray ionization (ESI) source. This method covered a linearity range of 5-5000. ng/mL with the lower limit of quantification of 5. ng/mL. The intra-day precision and inter-day precision (R.S.D.) of analysis were less than 6.7%, and the accuracy (R.E.) was within ±9.0% at the concentrations of 5, 20, 200, and 2000. ng/mL. The total run time was 5.0. min. This method was successfully applied for clinical pharmacokinetic investigation. © 2012 Elsevier B.V.","author":[{"dropping-particle":"","family":"Yamaguchi","given":"Hiroaki","non-dropping-particle":"","parse-names":false,"suffix":""},{"dropping-particle":"","family":"Fujikawa","given":"Asuka","non-dropping-particle":"","parse-names":false,"suffix":""},{"dropping-particle":"","family":"Ito","given":"Hajime","non-dropping-particle":"","parse-names":false,"suffix":""},{"dropping-particle":"","family":"Tanaka","given":"Nobuaki","non-dropping-particle":"","parse-names":false,"suffix":""},{"dropping-particle":"","family":"Furugen","given":"Ayako","non-dropping-particle":"","parse-names":false,"suffix":""},{"dropping-particle":"","family":"Miyamori","given":"Kazuaki","non-dropping-particle":"","parse-names":false,"suffix":""},{"dropping-particle":"","family":"Takahashi","given":"Natsuko","non-dropping-particle":"","parse-names":false,"suffix":""},{"dropping-particle":"","family":"Ogura","given":"Jiro","non-dropping-particle":"","parse-names":false,"suffix":""},{"dropping-particle":"","family":"Kobayashi","given":"Masaki","non-dropping-particle":"","parse-names":false,"suffix":""},{"dropping-particle":"","family":"Yamada","given":"Takehiro","non-dropping-particle":"","parse-names":false,"suffix":""},{"dropping-particle":"","family":"Mano","given":"Nariyasu","non-dropping-particle":"","parse-names":false,"suffix":""},{"dropping-particle":"","family":"Iseki","given":"Ken","non-dropping-particle":"","parse-names":false,"suffix":""}],"container-title":"Journal of Chromatography B: Analytical Technologies in the Biomedical and Life Sciences","id":"ITEM-6","issued":{"date-parts":[["2012"]]},"page":"157-161","publisher":"Elsevier B.V.","title":"A rapid and sensitive LC/ESI-MS/MS method for quantitative analysis of docetaxel in human plasma and its application to a pharmacokinetic study","type":"article-journal","volume":"893-894"},"uris":["http://www.mendeley.com/documents/?uuid=672c2d0c-a93e-4502-a7c6-67166c3d9160"]}],"mendeley":{"formattedCitation":"[111], [113], [116], [117], [120], [121]","plainTextFormattedCitation":"[111], [113], [116], [117], [120], [121]","previouslyFormattedCitation":"[111], [113], [116], [117], [120], [121]"},"properties":{"noteIndex":0},"schema":"https://github.com/citation-style-language/schema/raw/master/csl-citation.json"}</w:instrText>
      </w:r>
      <w:r w:rsidR="00556339">
        <w:rPr>
          <w:rFonts w:ascii="Times New Roman" w:eastAsia="Times New Roman" w:hAnsi="Times New Roman" w:cs="Times New Roman"/>
          <w:sz w:val="24"/>
          <w:szCs w:val="24"/>
        </w:rPr>
        <w:fldChar w:fldCharType="separate"/>
      </w:r>
      <w:r w:rsidR="002858F6" w:rsidRPr="002858F6">
        <w:rPr>
          <w:rFonts w:ascii="Times New Roman" w:eastAsia="Times New Roman" w:hAnsi="Times New Roman" w:cs="Times New Roman"/>
          <w:noProof/>
          <w:sz w:val="24"/>
          <w:szCs w:val="24"/>
        </w:rPr>
        <w:t>[111], [113], [116], [117], [120], [121]</w:t>
      </w:r>
      <w:r w:rsidR="00556339">
        <w:rPr>
          <w:rFonts w:ascii="Times New Roman" w:eastAsia="Times New Roman" w:hAnsi="Times New Roman" w:cs="Times New Roman"/>
          <w:sz w:val="24"/>
          <w:szCs w:val="24"/>
        </w:rPr>
        <w:fldChar w:fldCharType="end"/>
      </w:r>
      <w:r w:rsidR="424734AD" w:rsidRPr="00E11754">
        <w:rPr>
          <w:rFonts w:ascii="Times New Roman" w:eastAsia="Times New Roman" w:hAnsi="Times New Roman" w:cs="Times New Roman"/>
          <w:sz w:val="24"/>
          <w:szCs w:val="24"/>
        </w:rPr>
        <w:t xml:space="preserve"> jak również C8 </w:t>
      </w:r>
      <w:r w:rsidR="008E22AD">
        <w:rPr>
          <w:rFonts w:ascii="Times New Roman" w:eastAsia="Times New Roman" w:hAnsi="Times New Roman" w:cs="Times New Roman"/>
          <w:sz w:val="24"/>
          <w:szCs w:val="24"/>
        </w:rPr>
        <w:fldChar w:fldCharType="begin" w:fldLock="1"/>
      </w:r>
      <w:r w:rsidR="003F195C">
        <w:rPr>
          <w:rFonts w:ascii="Times New Roman" w:eastAsia="Times New Roman" w:hAnsi="Times New Roman" w:cs="Times New Roman"/>
          <w:sz w:val="24"/>
          <w:szCs w:val="24"/>
        </w:rPr>
        <w:instrText>ADDIN CSL_CITATION {"citationItems":[{"id":"ITEM-1","itemData":{"DOI":"10.1016/j.ajps.2016.08.002","ISSN":"2221285X","abstract":"The purpose of the present research was to develop a suitable, simple, precise, accurate, robust, and reproducible RP-HPLC method for a reliable simultaneous quantification of docetaxel (DTX) and curcumin (CCM) in rat plasma samples using paclitaxel (PTX) as an internal standard. The samples were assayed by the Agilent 1260 Infinity HPLC instrument using a Capcell Pak C8 column (4.6 mm × 150 mm, 5 µm) under isocratic conditions. The mobile phase consisted of acetonitrile and triple distilled water (40/60, v/v) with a flow rate of 1.0 ml/min. The eluent was monitored at 230 nm for simultaneous measurement of curcumin and docetaxel. The method was validated by determining system suitability, selectivity, sensitivity, linearity, inter-day and intra-day precision, accuracy, robustness, and stability in accordance with the guidelines of the United States Food and Drug Administration (FDA). The developed chromatographic method proved to be simple, precise, accurate, robust and reproducible. Moreover, the samples showed stability at room temperature over a period of 48 h. Thus, this method would be employed for routine simultaneous quantification of docetaxel and curcumin in rat plasma samples.","author":[{"dropping-particle":"","family":"Kim","given":"Dong Wuk","non-dropping-particle":"","parse-names":false,"suffix":""},{"dropping-particle":"","family":"Yousaf","given":"Abid Mehmood","non-dropping-particle":"","parse-names":false,"suffix":""},{"dropping-particle":"","family":"Li","given":"Dong Xun","non-dropping-particle":"","parse-names":false,"suffix":""},{"dropping-particle":"","family":"Kim","given":"Jong Oh","non-dropping-particle":"","parse-names":false,"suffix":""},{"dropping-particle":"","family":"Yong","given":"Chul Soon","non-dropping-particle":"","parse-names":false,"suffix":""},{"dropping-particle":"","family":"Cho","given":"Kwan Hyung","non-dropping-particle":"","parse-names":false,"suffix":""},{"dropping-particle":"","family":"Choi","given":"Han Gon","non-dropping-particle":"","parse-names":false,"suffix":""}],"container-title":"Asian Journal of Pharmaceutical Sciences","id":"ITEM-1","issue":"1","issued":{"date-parts":[["2017"]]},"page":"105-113","publisher":"Elsevier B.V.","title":"Development of RP-HPLC method for simultaneous determination of docetaxel and curcumin in rat plasma: Validation and stability","type":"article-journal","volume":"12"},"uris":["http://www.mendeley.com/documents/?uuid=4ec9e16f-9c31-4ec8-ac1d-9631daf49902"]},{"id":"ITEM-2","itemData":{"DOI":"10.5530/ijper.51.4s.105","ISSN":"00195464","abstract":"Objective: A rapid and selective high-performance liquid chromatographic (HPLC) method has been developed and validated for Docetaxel anhydrous (DTX) using Ketoconanzole (KCZ) as an internal standard in biological fluids. Methods: The analyte was extracted from human plasma by liquid-liquid extraction method using acetonitrile. The analysis was carried out on Licrosphere IV, C8 column (LC–GC Chromatography Solutions Pvt. Ltd, Mumbai, and India) (4.6×250 mm) with isocratic elution using a mobile phase composition of 0.2% triethylamine (pH 6.4 with orthophosphoric acid) (45%) and Acetonitrile (55%). The flow rate was 1.5ml/min with absorbance wavelength of 230 nm. Results: The developed method was found to be linear over the range of 100-2500 ng/mL with correlation coefficients of about 0.999. The limit of quantification for docetaxel was found to be 100 ng/mL. The limit of detection was found to be 50 ng/ mL. The intra- and inter-day precision was determined to be &lt;5% and the accuracy was 99–105%. The overall recovery for docetaxel was about 89.0% -91.0%. The total analysis time was only 10.0 min. The method was successfully applied for determination of DTX in rat plasma, to establish the pharmacokinetic profile of a marketed formulation. Conclusion: A simple, sensitive, rapid, accurate and prudent RP-HPLC method was developed, validated and applied for the Docetaxel anhydrous.","author":[{"dropping-particle":"","family":"Kharkar","given":"Prachi Balaram","non-dropping-particle":"","parse-names":false,"suffix":""},{"dropping-particle":"","family":"Talkar","given":"Swapnil Sunil","non-dropping-particle":"","parse-names":false,"suffix":""},{"dropping-particle":"","family":"Patravale","given":"Vandana Bharat","non-dropping-particle":"","parse-names":false,"suffix":""}],"container-title":"Indian Journal of Pharmaceutical Education and Research","id":"ITEM-2","issue":"4","issued":{"date-parts":[["2017"]]},"page":"S729-S734","title":"A rapid and sensitive bio analytical rp-hplc method for detection of docetaxel: Development and validation","type":"article-journal","volume":"51"},"uris":["http://www.mendeley.com/documents/?uuid=bede9701-fefc-4200-b689-19352029b24f"]},{"id":"ITEM-3","itemData":{"DOI":"10.1002/bmc.3021","ISSN":"02693879","PMID":"23996474","abstract":"A combined assay for the determination of paclitaxel, docetaxel and ritonavir in human feces and urine is described. The drugs were extracted from 200 μL urine or 50 mg feces followed by high-performance liquid chromatography analysis coupled with positive ionization electrospray tandem mass spectrometry. The validation program included calibration model, accuracy and precision, carry-over, dilution test, specificity and selectivity, matrix effect, recovery and stability. Acceptance criteria were according to US Food and Drug Administration guidelines on bioanalytical method validation. The validated range was 0.5-500 ng/mL for paclitaxel and docetaxel, 2-2000 ng/mL for ritonavir in urine, 2-2000 ng/mg for paclitaxel and docetaxel, and 8-8000 ng/mg for ritonavir in feces. Inter-assay accuracy and precision were tested for all analytes at four concentration levels and were within 8.5% and &lt;10.2%, respectively, in both matrices. Recovery at three concentration levels was between 77 and 94% in feces samples and between 69 and 85% in urine samples. Method development, including feces homogenization and spiking blank urine samples, are discussed. We demonstrated that each of the applied drugs could be quantified successfully in urine and feces using the described assay. The method was successfully applied for quantification of the analytes in feces and urine samples of patients. © 2013 John Wiley &amp; Sons, Ltd.","author":[{"dropping-particle":"","family":"Hendrikx","given":"Jeroen J.M.A.","non-dropping-particle":"","parse-names":false,"suffix":""},{"dropping-particle":"","family":"Rosing","given":"Hilde","non-dropping-particle":"","parse-names":false,"suffix":""},{"dropping-particle":"","family":"Schinkel","given":"Alfred H.","non-dropping-particle":"","parse-names":false,"suffix":""},{"dropping-particle":"","family":"Schellens","given":"Jan H.M.","non-dropping-particle":"","parse-names":false,"suffix":""},{"dropping-particle":"","family":"Beijnen","given":"Jos H.","non-dropping-particle":"","parse-names":false,"suffix":""}],"container-title":"Biomedical Chromatography","id":"ITEM-3","issue":"2","issued":{"date-parts":[["2013"]]},"page":"302-310","title":"Combined quantification of paclitaxel, docetaxel and ritonavir in human feces and urine using LC-MS/MS","type":"article-journal","volume":"28"},"uris":["http://www.mendeley.com/documents/?uuid=825a64c7-dee9-4b48-b2ed-286c3aab4412"]}],"mendeley":{"formattedCitation":"[118], [119], [121]","plainTextFormattedCitation":"[118], [119], [121]","previouslyFormattedCitation":"[118], [119], [121]"},"properties":{"noteIndex":0},"schema":"https://github.com/citation-style-language/schema/raw/master/csl-citation.json"}</w:instrText>
      </w:r>
      <w:r w:rsidR="008E22AD">
        <w:rPr>
          <w:rFonts w:ascii="Times New Roman" w:eastAsia="Times New Roman" w:hAnsi="Times New Roman" w:cs="Times New Roman"/>
          <w:sz w:val="24"/>
          <w:szCs w:val="24"/>
        </w:rPr>
        <w:fldChar w:fldCharType="separate"/>
      </w:r>
      <w:r w:rsidR="003F195C" w:rsidRPr="003F195C">
        <w:rPr>
          <w:rFonts w:ascii="Times New Roman" w:eastAsia="Times New Roman" w:hAnsi="Times New Roman" w:cs="Times New Roman"/>
          <w:noProof/>
          <w:sz w:val="24"/>
          <w:szCs w:val="24"/>
        </w:rPr>
        <w:t>[118], [119], [121]</w:t>
      </w:r>
      <w:r w:rsidR="008E22AD">
        <w:rPr>
          <w:rFonts w:ascii="Times New Roman" w:eastAsia="Times New Roman" w:hAnsi="Times New Roman" w:cs="Times New Roman"/>
          <w:sz w:val="24"/>
          <w:szCs w:val="24"/>
        </w:rPr>
        <w:fldChar w:fldCharType="end"/>
      </w:r>
      <w:r w:rsidR="424734AD" w:rsidRPr="00E11754">
        <w:rPr>
          <w:rFonts w:ascii="Times New Roman" w:eastAsia="Times New Roman" w:hAnsi="Times New Roman" w:cs="Times New Roman"/>
          <w:sz w:val="24"/>
          <w:szCs w:val="24"/>
        </w:rPr>
        <w:t xml:space="preserve">. Spośród technik ekstrakcji, najczęściej używano klasyczne protokoły oparte na </w:t>
      </w:r>
      <w:proofErr w:type="spellStart"/>
      <w:r w:rsidR="424734AD" w:rsidRPr="00E11754">
        <w:rPr>
          <w:rFonts w:ascii="Times New Roman" w:eastAsia="Times New Roman" w:hAnsi="Times New Roman" w:cs="Times New Roman"/>
          <w:sz w:val="24"/>
          <w:szCs w:val="24"/>
        </w:rPr>
        <w:t>deproteinizacji</w:t>
      </w:r>
      <w:proofErr w:type="spellEnd"/>
      <w:r w:rsidR="424734AD" w:rsidRPr="00E11754">
        <w:rPr>
          <w:rFonts w:ascii="Times New Roman" w:eastAsia="Times New Roman" w:hAnsi="Times New Roman" w:cs="Times New Roman"/>
          <w:sz w:val="24"/>
          <w:szCs w:val="24"/>
        </w:rPr>
        <w:t xml:space="preserve"> </w:t>
      </w:r>
      <w:r w:rsidR="008E22AD">
        <w:rPr>
          <w:rFonts w:ascii="Times New Roman" w:eastAsia="Times New Roman" w:hAnsi="Times New Roman" w:cs="Times New Roman"/>
          <w:sz w:val="24"/>
          <w:szCs w:val="24"/>
        </w:rPr>
        <w:fldChar w:fldCharType="begin" w:fldLock="1"/>
      </w:r>
      <w:r w:rsidR="003F195C">
        <w:rPr>
          <w:rFonts w:ascii="Times New Roman" w:eastAsia="Times New Roman" w:hAnsi="Times New Roman" w:cs="Times New Roman"/>
          <w:sz w:val="24"/>
          <w:szCs w:val="24"/>
        </w:rPr>
        <w:instrText>ADDIN CSL_CITATION {"citationItems":[{"id":"ITEM-1","itemData":{"DOI":"10.1016/j.ajps.2016.08.002","ISSN":"2221285X","abstract":"The purpose of the present research was to develop a suitable, simple, precise, accurate, robust, and reproducible RP-HPLC method for a reliable simultaneous quantification of docetaxel (DTX) and curcumin (CCM) in rat plasma samples using paclitaxel (PTX) as an internal standard. The samples were assayed by the Agilent 1260 Infinity HPLC instrument using a Capcell Pak C8 column (4.6 mm × 150 mm, 5 µm) under isocratic conditions. The mobile phase consisted of acetonitrile and triple distilled water (40/60, v/v) with a flow rate of 1.0 ml/min. The eluent was monitored at 230 nm for simultaneous measurement of curcumin and docetaxel. The method was validated by determining system suitability, selectivity, sensitivity, linearity, inter-day and intra-day precision, accuracy, robustness, and stability in accordance with the guidelines of the United States Food and Drug Administration (FDA). The developed chromatographic method proved to be simple, precise, accurate, robust and reproducible. Moreover, the samples showed stability at room temperature over a period of 48 h. Thus, this method would be employed for routine simultaneous quantification of docetaxel and curcumin in rat plasma samples.","author":[{"dropping-particle":"","family":"Kim","given":"Dong Wuk","non-dropping-particle":"","parse-names":false,"suffix":""},{"dropping-particle":"","family":"Yousaf","given":"Abid Mehmood","non-dropping-particle":"","parse-names":false,"suffix":""},{"dropping-particle":"","family":"Li","given":"Dong Xun","non-dropping-particle":"","parse-names":false,"suffix":""},{"dropping-particle":"","family":"Kim","given":"Jong Oh","non-dropping-particle":"","parse-names":false,"suffix":""},{"dropping-particle":"","family":"Yong","given":"Chul Soon","non-dropping-particle":"","parse-names":false,"suffix":""},{"dropping-particle":"","family":"Cho","given":"Kwan Hyung","non-dropping-particle":"","parse-names":false,"suffix":""},{"dropping-particle":"","family":"Choi","given":"Han Gon","non-dropping-particle":"","parse-names":false,"suffix":""}],"container-title":"Asian Journal of Pharmaceutical Sciences","id":"ITEM-1","issue":"1","issued":{"date-parts":[["2017"]]},"page":"105-113","publisher":"Elsevier B.V.","title":"Development of RP-HPLC method for simultaneous determination of docetaxel and curcumin in rat plasma: Validation and stability","type":"article-journal","volume":"12"},"uris":["http://www.mendeley.com/documents/?uuid=4ec9e16f-9c31-4ec8-ac1d-9631daf49902"]},{"id":"ITEM-2","itemData":{"DOI":"10.5530/ijper.51.4s.105","ISSN":"00195464","abstract":"Objective: A rapid and selective high-performance liquid chromatographic (HPLC) method has been developed and validated for Docetaxel anhydrous (DTX) using Ketoconanzole (KCZ) as an internal standard in biological fluids. Methods: The analyte was extracted from human plasma by liquid-liquid extraction method using acetonitrile. The analysis was carried out on Licrosphere IV, C8 column (LC–GC Chromatography Solutions Pvt. Ltd, Mumbai, and India) (4.6×250 mm) with isocratic elution using a mobile phase composition of 0.2% triethylamine (pH 6.4 with orthophosphoric acid) (45%) and Acetonitrile (55%). The flow rate was 1.5ml/min with absorbance wavelength of 230 nm. Results: The developed method was found to be linear over the range of 100-2500 ng/mL with correlation coefficients of about 0.999. The limit of quantification for docetaxel was found to be 100 ng/mL. The limit of detection was found to be 50 ng/ mL. The intra- and inter-day precision was determined to be &lt;5% and the accuracy was 99–105%. The overall recovery for docetaxel was about 89.0% -91.0%. The total analysis time was only 10.0 min. The method was successfully applied for determination of DTX in rat plasma, to establish the pharmacokinetic profile of a marketed formulation. Conclusion: A simple, sensitive, rapid, accurate and prudent RP-HPLC method was developed, validated and applied for the Docetaxel anhydrous.","author":[{"dropping-particle":"","family":"Kharkar","given":"Prachi Balaram","non-dropping-particle":"","parse-names":false,"suffix":""},{"dropping-particle":"","family":"Talkar","given":"Swapnil Sunil","non-dropping-particle":"","parse-names":false,"suffix":""},{"dropping-particle":"","family":"Patravale","given":"Vandana Bharat","non-dropping-particle":"","parse-names":false,"suffix":""}],"container-title":"Indian Journal of Pharmaceutical Education and Research","id":"ITEM-2","issue":"4","issued":{"date-parts":[["2017"]]},"page":"S729-S734","title":"A rapid and sensitive bio analytical rp-hplc method for detection of docetaxel: Development and validation","type":"article-journal","volume":"51"},"uris":["http://www.mendeley.com/documents/?uuid=bede9701-fefc-4200-b689-19352029b24f"]},{"id":"ITEM-3","itemData":{"DOI":"10.1016/j.jchromb.2012.02.003","ISSN":"15700232","PMID":"22429876","abstract":"Docetaxel is a taxane family antineoplastic agent widely employed in cancer chemotherapy. We developed a liquid chromatography/tandem mass spectrometry method for the determination of docetaxel in human plasma. Plasma samples were deproteinized by acetonitrile containing internal standard paclitaxel. Chromatographic separation was performed on a TSKgel ODS-100V 3. μm (50. mm. ×. 2.0. mm i.d.) column using a mobile phase composed of acetonitrile-methanol-water-formic acid (50:5:45:0.1, v/v/v/v). Detection was performed on a triple-quadrupole tandem mass spectrometer with multiple reaction monitoring (MRM) mode via electrospray ionization (ESI) source. This method covered a linearity range of 5-5000. ng/mL with the lower limit of quantification of 5. ng/mL. The intra-day precision and inter-day precision (R.S.D.) of analysis were less than 6.7%, and the accuracy (R.E.) was within ±9.0% at the concentrations of 5, 20, 200, and 2000. ng/mL. The total run time was 5.0. min. This method was successfully applied for clinical pharmacokinetic investigation. © 2012 Elsevier B.V.","author":[{"dropping-particle":"","family":"Yamaguchi","given":"Hiroaki","non-dropping-particle":"","parse-names":false,"suffix":""},{"dropping-particle":"","family":"Fujikawa","given":"Asuka","non-dropping-particle":"","parse-names":false,"suffix":""},{"dropping-particle":"","family":"Ito","given":"Hajime","non-dropping-particle":"","parse-names":false,"suffix":""},{"dropping-particle":"","family":"Tanaka","given":"Nobuaki","non-dropping-particle":"","parse-names":false,"suffix":""},{"dropping-particle":"","family":"Furugen","given":"Ayako","non-dropping-particle":"","parse-names":false,"suffix":""},{"dropping-particle":"","family":"Miyamori","given":"Kazuaki","non-dropping-particle":"","parse-names":false,"suffix":""},{"dropping-particle":"","family":"Takahashi","given":"Natsuko","non-dropping-particle":"","parse-names":false,"suffix":""},{"dropping-particle":"","family":"Ogura","given":"Jiro","non-dropping-particle":"","parse-names":false,"suffix":""},{"dropping-particle":"","family":"Kobayashi","given":"Masaki","non-dropping-particle":"","parse-names":false,"suffix":""},{"dropping-particle":"","family":"Yamada","given":"Takehiro","non-dropping-particle":"","parse-names":false,"suffix":""},{"dropping-particle":"","family":"Mano","given":"Nariyasu","non-dropping-particle":"","parse-names":false,"suffix":""},{"dropping-particle":"","family":"Iseki","given":"Ken","non-dropping-particle":"","parse-names":false,"suffix":""}],"container-title":"Journal of Chromatography B: Analytical Technologies in the Biomedical and Life Sciences","id":"ITEM-3","issued":{"date-parts":[["2012"]]},"page":"157-161","publisher":"Elsevier B.V.","title":"A rapid and sensitive LC/ESI-MS/MS method for quantitative analysis of docetaxel in human plasma and its application to a pharmacokinetic study","type":"article-journal","volume":"893-894"},"uris":["http://www.mendeley.com/documents/?uuid=672c2d0c-a93e-4502-a7c6-67166c3d9160"]}],"mendeley":{"formattedCitation":"[113], [118], [119]","plainTextFormattedCitation":"[113], [118], [119]","previouslyFormattedCitation":"[113], [118], [119]"},"properties":{"noteIndex":0},"schema":"https://github.com/citation-style-language/schema/raw/master/csl-citation.json"}</w:instrText>
      </w:r>
      <w:r w:rsidR="008E22AD">
        <w:rPr>
          <w:rFonts w:ascii="Times New Roman" w:eastAsia="Times New Roman" w:hAnsi="Times New Roman" w:cs="Times New Roman"/>
          <w:sz w:val="24"/>
          <w:szCs w:val="24"/>
        </w:rPr>
        <w:fldChar w:fldCharType="separate"/>
      </w:r>
      <w:r w:rsidR="003F195C" w:rsidRPr="003F195C">
        <w:rPr>
          <w:rFonts w:ascii="Times New Roman" w:eastAsia="Times New Roman" w:hAnsi="Times New Roman" w:cs="Times New Roman"/>
          <w:noProof/>
          <w:sz w:val="24"/>
          <w:szCs w:val="24"/>
        </w:rPr>
        <w:t>[113], [118], [119]</w:t>
      </w:r>
      <w:r w:rsidR="008E22AD">
        <w:rPr>
          <w:rFonts w:ascii="Times New Roman" w:eastAsia="Times New Roman" w:hAnsi="Times New Roman" w:cs="Times New Roman"/>
          <w:sz w:val="24"/>
          <w:szCs w:val="24"/>
        </w:rPr>
        <w:fldChar w:fldCharType="end"/>
      </w:r>
      <w:r w:rsidR="424734AD" w:rsidRPr="00E11754">
        <w:rPr>
          <w:rFonts w:ascii="Times New Roman" w:eastAsia="Times New Roman" w:hAnsi="Times New Roman" w:cs="Times New Roman"/>
          <w:sz w:val="24"/>
          <w:szCs w:val="24"/>
        </w:rPr>
        <w:t xml:space="preserve">, LLE </w:t>
      </w:r>
      <w:r w:rsidR="008E22AD">
        <w:rPr>
          <w:rFonts w:ascii="Times New Roman" w:eastAsia="Times New Roman" w:hAnsi="Times New Roman" w:cs="Times New Roman"/>
          <w:sz w:val="24"/>
          <w:szCs w:val="24"/>
        </w:rPr>
        <w:fldChar w:fldCharType="begin" w:fldLock="1"/>
      </w:r>
      <w:r w:rsidR="003F195C">
        <w:rPr>
          <w:rFonts w:ascii="Times New Roman" w:eastAsia="Times New Roman" w:hAnsi="Times New Roman" w:cs="Times New Roman"/>
          <w:sz w:val="24"/>
          <w:szCs w:val="24"/>
        </w:rPr>
        <w:instrText>ADDIN CSL_CITATION {"citationItems":[{"id":"ITEM-1","itemData":{"DOI":"10.4103/1735-5362.278710","ISSN":"17359414","abstract":"Background and purpose: A simple, rapid, and sensitive reversed-phase high performance liquid chromatography (RP-HPLC) method based on liquid-liquid extraction was developed and validated for determination of docetaxel (DTX) in plasma and homogenate tissues of tumor-bearing mice. Experimental approach: Samples were spiked with celecoxib as the internal standard and separation was achieved on a μ-Bondapak C18 HPLC column. The mobile phase consisted of a mixture of acetonitrile/water (40/60 v/v) at flow rate of 1.2 mL/min and the effluent was monitored at 230 nm. Results: Calibration curves were linear over the concentration range of 0.1-10 μg/mL of DTX in plasma and 0.25-50 μg/mL in tissue homogenates with acceptable precision and accuracy. The mean recoveries of the drug from plasma extraction was 94.6 ± 1.44% while those of tissue homogenates ranged from 73.5 ± 3.2 to 85.3 ± 2.8% depending on the type of tissues examined. DTX was stable in biological samples with no evidence of degradation during 3 freeze-thaw cycles and two months of storage at-70 ± 15 °C. The developed HPLC method was applied to quantify DTX in the mouse plasma and tissues after intravenous administration of 7.5 mg equivalent DTX/kg dose of DTX-loaded folic acid-polyethylene glycol-heparin-tocopherol (FA-PEG-HEP-CA-TOC) micelle formulation to female Balb/c mice. Conclusion: A simple, sensitive, rapid, accurate, and prudent RP-HPLC method was developed, validated, and applied for DTX determination in plasma and tissues.","author":[{"dropping-particle":"","family":"Kazemi","given":"Moloud","non-dropping-particle":"","parse-names":false,"suffix":""},{"dropping-particle":"","family":"Emami","given":"Jaber","non-dropping-particle":"","parse-names":false,"suffix":""},{"dropping-particle":"","family":"Hasanzadeh","given":"Farshid","non-dropping-particle":"","parse-names":false,"suffix":""},{"dropping-particle":"","family":"Minaiyan","given":"Mohsen","non-dropping-particle":"","parse-names":false,"suffix":""},{"dropping-particle":"","family":"Mirian","given":"Mina","non-dropping-particle":"","parse-names":false,"suffix":""},{"dropping-particle":"","family":"Lavasanifar","given":"Afsaneh","non-dropping-particle":"","parse-names":false,"suffix":""}],"container-title":"Research in Pharmaceutical Sciences","id":"ITEM-1","issue":"1","issued":{"date-parts":[["2020"]]},"page":"1-13","title":"Development of a RP-HPLC method for analysis of docetaxel in tumor-bearing mice plasma and tissues following injection of docetaxel-loaded pH responsive targeting polymeric micelles","type":"article-journal","volume":"15"},"uris":["http://www.mendeley.com/documents/?uuid=20ff94a4-086d-4aed-b74f-7891d56eac99"]},{"id":"ITEM-2","itemData":{"DOI":"10.18433/JPPS30912","ISSN":"14821826","PMID":"32762829","abstract":"Purpose: A simple, rapid, sensitive, and reliable HPLC method with UV detection was developed and validated for simultaneous quantitation of docetaxel and celecoxib and paclitaxel for dissolution characterization and pharmacokinetic studies. Methods: The HPLC assay was performed isocratically on a reversed-phase C18 μ-Bondapack column using a mobile phase of acetonitrile:water (45:55, v/v) at a flow rate of 1.2 mL/min, and the analytes were detected at 230 nm. Paclitaxel was used as an internal standard for analysis of plasma samples following simple liquid-liquid extraction with n-hexane:isoamyl alcohol (97:3). The method was validated for specificity, linearity, sensitivity, precision, accuracy, robustness, and in vitro-in vivo application. Results: The retention times for docetaxel, paclitaxel, and celecoxib were 10.94, 12.4, and 16.81 min, respectively. The standard curves covering 0.1-1 μg/mL and 0.05-4 μg/mL were linear using dissolution medium and rat plasma, respectively. The limit of quantitation of the method was 50 ng/mL using 100 μL of rat plasma sample and injection of 50 μL of the residue. Within-and between-day precision and accuracy did not exceed 16.86% and 12.10%, respectively. This validated method was successfully used to quantify docetaxel and celecoxib simultaneously in the release study of docetaxel-celecoxib-loaded porous microparticles and pharmacokinetics studies. The methods were found to be simple, specific, precise, accurate, and reproducible. In this study, paclitaxel was used as the internal standard while dexamethasone, flutamide, and budesonide proved suitable alternative as an internal standard. Conclusion: Since docetaxel and celecoxib could be co-administered for the treatment of a wide range of cancers such as non-small cell lung carcinoma, the developed method is particularly advantageous for routine therapeutic drug monitoring and pharmacokinetic studies of these drugs.","author":[{"dropping-particle":"","family":"Ziaei","given":"Elham","non-dropping-particle":"","parse-names":false,"suffix":""},{"dropping-particle":"","family":"Emami","given":"Jaber","non-dropping-particle":"","parse-names":false,"suffix":""},{"dropping-particle":"","family":"Kazemi","given":"Moloud","non-dropping-particle":"","parse-names":false,"suffix":""},{"dropping-particle":"","family":"Rezazadeh","given":"Mahboubeh","non-dropping-particle":"","parse-names":false,"suffix":""}],"container-title":"Journal of Pharmacy and Pharmaceutical Sciences","id":"ITEM-2","issue":"1","issued":{"date-parts":[["2020"]]},"page":"289-303","title":"Simultaneous determination of docetaxel and celecoxib in porous microparticles and rat plasma by liquid-liquid extraction and hplc with uv detection: In vitro and in vivo validation and application","type":"article-journal","volume":"23"},"uris":["http://www.mendeley.com/documents/?uuid=a33cd2af-185c-4e1a-b893-e3bc46b7dc23"]},{"id":"ITEM-3","itemData":{"DOI":"10.1002/bmc.3021","ISSN":"02693879","PMID":"23996474","abstract":"A combined assay for the determination of paclitaxel, docetaxel and ritonavir in human feces and urine is described. The drugs were extracted from 200 μL urine or 50 mg feces followed by high-performance liquid chromatography analysis coupled with positive ionization electrospray tandem mass spectrometry. The validation program included calibration model, accuracy and precision, carry-over, dilution test, specificity and selectivity, matrix effect, recovery and stability. Acceptance criteria were according to US Food and Drug Administration guidelines on bioanalytical method validation. The validated range was 0.5-500 ng/mL for paclitaxel and docetaxel, 2-2000 ng/mL for ritonavir in urine, 2-2000 ng/mg for paclitaxel and docetaxel, and 8-8000 ng/mg for ritonavir in feces. Inter-assay accuracy and precision were tested for all analytes at four concentration levels and were within 8.5% and &lt;10.2%, respectively, in both matrices. Recovery at three concentration levels was between 77 and 94% in feces samples and between 69 and 85% in urine samples. Method development, including feces homogenization and spiking blank urine samples, are discussed. We demonstrated that each of the applied drugs could be quantified successfully in urine and feces using the described assay. The method was successfully applied for quantification of the analytes in feces and urine samples of patients. © 2013 John Wiley &amp; Sons, Ltd.","author":[{"dropping-particle":"","family":"Hendrikx","given":"Jeroen J.M.A.","non-dropping-particle":"","parse-names":false,"suffix":""},{"dropping-particle":"","family":"Rosing","given":"Hilde","non-dropping-particle":"","parse-names":false,"suffix":""},{"dropping-particle":"","family":"Schinkel","given":"Alfred H.","non-dropping-particle":"","parse-names":false,"suffix":""},{"dropping-particle":"","family":"Schellens","given":"Jan H.M.","non-dropping-particle":"","parse-names":false,"suffix":""},{"dropping-particle":"","family":"Beijnen","given":"Jos H.","non-dropping-particle":"","parse-names":false,"suffix":""}],"container-title":"Biomedical Chromatography","id":"ITEM-3","issue":"2","issued":{"date-parts":[["2013"]]},"page":"302-310","title":"Combined quantification of paclitaxel, docetaxel and ritonavir in human feces and urine using LC-MS/MS","type":"article-journal","volume":"28"},"uris":["http://www.mendeley.com/documents/?uuid=825a64c7-dee9-4b48-b2ed-286c3aab4412"]}],"mendeley":{"formattedCitation":"[116], [117], [121]","plainTextFormattedCitation":"[116], [117], [121]","previouslyFormattedCitation":"[116], [117], [121]"},"properties":{"noteIndex":0},"schema":"https://github.com/citation-style-language/schema/raw/master/csl-citation.json"}</w:instrText>
      </w:r>
      <w:r w:rsidR="008E22AD">
        <w:rPr>
          <w:rFonts w:ascii="Times New Roman" w:eastAsia="Times New Roman" w:hAnsi="Times New Roman" w:cs="Times New Roman"/>
          <w:sz w:val="24"/>
          <w:szCs w:val="24"/>
        </w:rPr>
        <w:fldChar w:fldCharType="separate"/>
      </w:r>
      <w:r w:rsidR="003F195C" w:rsidRPr="003F195C">
        <w:rPr>
          <w:rFonts w:ascii="Times New Roman" w:eastAsia="Times New Roman" w:hAnsi="Times New Roman" w:cs="Times New Roman"/>
          <w:noProof/>
          <w:sz w:val="24"/>
          <w:szCs w:val="24"/>
        </w:rPr>
        <w:t>[116], [117], [121]</w:t>
      </w:r>
      <w:r w:rsidR="008E22AD">
        <w:rPr>
          <w:rFonts w:ascii="Times New Roman" w:eastAsia="Times New Roman" w:hAnsi="Times New Roman" w:cs="Times New Roman"/>
          <w:sz w:val="24"/>
          <w:szCs w:val="24"/>
        </w:rPr>
        <w:fldChar w:fldCharType="end"/>
      </w:r>
      <w:r w:rsidR="424734AD" w:rsidRPr="00E11754">
        <w:rPr>
          <w:rFonts w:ascii="Times New Roman" w:eastAsia="Times New Roman" w:hAnsi="Times New Roman" w:cs="Times New Roman"/>
          <w:sz w:val="24"/>
          <w:szCs w:val="24"/>
        </w:rPr>
        <w:t xml:space="preserve"> oraz SPE</w:t>
      </w:r>
      <w:r w:rsidR="001505E1">
        <w:rPr>
          <w:rFonts w:ascii="Times New Roman" w:eastAsia="Times New Roman" w:hAnsi="Times New Roman" w:cs="Times New Roman"/>
          <w:sz w:val="24"/>
          <w:szCs w:val="24"/>
        </w:rPr>
        <w:t xml:space="preserve"> </w:t>
      </w:r>
      <w:r w:rsidR="001505E1">
        <w:rPr>
          <w:rFonts w:ascii="Times New Roman" w:eastAsia="Times New Roman" w:hAnsi="Times New Roman" w:cs="Times New Roman"/>
          <w:sz w:val="24"/>
          <w:szCs w:val="24"/>
        </w:rPr>
        <w:fldChar w:fldCharType="begin" w:fldLock="1"/>
      </w:r>
      <w:r w:rsidR="003F195C">
        <w:rPr>
          <w:rFonts w:ascii="Times New Roman" w:eastAsia="Times New Roman" w:hAnsi="Times New Roman" w:cs="Times New Roman"/>
          <w:sz w:val="24"/>
          <w:szCs w:val="24"/>
        </w:rPr>
        <w:instrText>ADDIN CSL_CITATION {"citationItems":[{"id":"ITEM-1","itemData":{"DOI":"10.1016/j.jchromb.2010.07.011","ISSN":"15700232","PMID":"20719581","abstract":"A simple and sensitive HPLC method was established and validated for the determination of docetaxel (DTX) in rabbit plasma. Biosamples were spiked with paclitaxel (PCX) as an internal standard (I.S.) and pre-treated by solid-phase extraction (SPE). The SPE procedure followed a simple protein digestion was based on nylon6 electrospun nanofibers mats as sorbents. Under optimized conditions, target analytes in 500μL of plasma sample can be completely extracted by only 2.5mg nylon6 nanofibers mat and eluted by 100μL solvent. The HPLC separation was obtained on C18 column and UV detector was used to quantify the target analytes. The extraction recovery was more than 85%; the standard curve was linear over the validated concentrations range of 10-5000ng/mL and the limit of detection was 2ng/mL. The inter-day coefficient of variation (CV%) of the calibration standards was below 5.0% and the mean accuracy was in the range of 92.8-113.4%. Moreover, analysing quality control plasma samples in 3 days, the results showed that the method was precise and accurate, for the intra- and inter-day CV% within 10% and the accuracy from 96.0% to 114.0%. The developed and validated method was successfully applied to relative bioavailability study for the preclinical evaluation of a new injectable DTX-sulfobutyl ether beta-cyclodextrin (DTX-SBE-β-CD) inclusion complex freeze-dried powder (test preparation), compared with the reference preparation (DTX injection, Taxotere®) in healthy rabbits. On the basis of the mean AUC(0-t) and AUC(0-infinity), the relative bioavailability of the test preparation was found to be 113.1%. © 2010 Elsevier B.V.","author":[{"dropping-particle":"","family":"Xu","given":"Qian","non-dropping-particle":"","parse-names":false,"suffix":""},{"dropping-particle":"","family":"Zhang","given":"Niping","non-dropping-particle":"","parse-names":false,"suffix":""},{"dropping-particle":"","family":"Yin","given":"Xueyan","non-dropping-particle":"","parse-names":false,"suffix":""},{"dropping-particle":"","family":"Wang","given":"Min","non-dropping-particle":"","parse-names":false,"suffix":""},{"dropping-particle":"","family":"Shen","given":"Yanyan","non-dropping-particle":"","parse-names":false,"suffix":""},{"dropping-particle":"","family":"Xu","given":"Shi","non-dropping-particle":"","parse-names":false,"suffix":""},{"dropping-particle":"","family":"Zhang","given":"Ling","non-dropping-particle":"","parse-names":false,"suffix":""},{"dropping-particle":"","family":"Gu","given":"Zhongze","non-dropping-particle":"","parse-names":false,"suffix":""}],"container-title":"Journal of Chromatography B: Analytical Technologies in the Biomedical and Life Sciences","id":"ITEM-1","issue":"26","issued":{"date-parts":[["2010"]]},"page":"2403-2408","publisher":"Elsevier B.V.","title":"Development and validation of a nylon6 nanofibers mat-based SPE coupled with HPLC method for the determination of docetaxel in rabbit plasma and its application to the relative bioavailability study","type":"article-journal","volume":"878"},"uris":["http://www.mendeley.com/documents/?uuid=f2227fa9-accf-441b-a998-5e10827f4584"]},{"id":"ITEM-2","itemData":{"DOI":"10.1016/j.cca.2010.11.010","ISSN":"00098981","PMID":"21078312","abstract":"Background: The most valuable treatment option for breast, prostate and lung carcinomas is at present represented by a low dose of docetaxel, administered on a weekly basis. A better understanding of docetaxel pharmacokinetic and pharmacodynamic profiles could lead to an improvement in this dose regimen efficacy. Methods: In this study a high-throughput method is described for the rapid quantification of docetaxel for large clinical pharmacology investigations. This analytical approach is based on an automatic on-line purification and enrichment technique followed by a measurement in tandem mass spectrometry through Multiple Reaction Monitoring. Results: The assay was validated over a 0.15-1500ng/mL range. Intra-day precision ranged from 1.9% to 6.4%, while the inter-day was between 7.6% and 11.2%. The mean deviation from the nominal value ranged from -0.5% to 5.6% for the intra-day, and from -0.4% to 3.1% for the inter-day assay. Clinical applicability was demonstrated by measuring plasma pharmacokinetics in patients receiving weekly 25-35mg/m2 of docetaxel. Conclusion: The proposed LC-MS/MS assay was found to have a better performance than previously reported methods in terms of sensitivity and sample preparation. It does not require any laborious pre-analytical manipulation and can be easily employed in large clinical pharmacology studies. © 2010 Elsevier B.V.","author":[{"dropping-particle":"","family":"Corona","given":"Giuseppe","non-dropping-particle":"","parse-names":false,"suffix":""},{"dropping-particle":"","family":"Elia","given":"Caterina","non-dropping-particle":"","parse-names":false,"suffix":""},{"dropping-particle":"","family":"Casetta","given":"Bruno","non-dropping-particle":"","parse-names":false,"suffix":""},{"dropping-particle":"","family":"Frustaci","given":"Sergio","non-dropping-particle":"","parse-names":false,"suffix":""},{"dropping-particle":"","family":"Toffoli","given":"Giuseppe","non-dropping-particle":"","parse-names":false,"suffix":""}],"container-title":"Clinica Chimica Acta","id":"ITEM-2","issue":"3-4","issued":{"date-parts":[["2011"]]},"page":"358-364","publisher":"Elsevier B.V.","title":"High-throughput plasma docetaxel quantification by liquid chromatography-tandem mass spectrometry","type":"article-journal","volume":"412"},"uris":["http://www.mendeley.com/documents/?uuid=b3df260f-f095-4485-9cea-7fc9a6d2fc54"]},{"id":"ITEM-3","itemData":{"DOI":"10.1016/j.jchromb.2013.01.017","ISSN":"15700232","PMID":"23422405","abstract":"Docetaxel and temsirolimus are some of the most used drugs in a wide range of solid tumors. In preclinical studies, mTOR inhibitors such as temsirolimus have demonstrated synergistic cytotoxic effects with taxanes providing the rationale for combination studies. These anticancer agents exhibit a narrow therapeutic concentration range and due to their high inter- and intra-individual pharmacokinetic variability, therapeutic dose monitoring by highly sensitive methods as LC-MS/MS are important for clinical research. Therefore, the aim of this study was to develop and validate a sensitive, fast and convenient method for the simultaneous identification and quantification of docetaxel, temsirolimus and its main metabolite, sirolimus, using paclitaxel, another anticancer drug, as the internal standard. These analytes were quantified by an integrated online solid phase extraction-high performance liquid chromatography-tandem mass spectrometry (SPE-HPLC-MS/MS) system. Separation was performed on a Zorbax eclipse XDB-C8 (150. mm × 4.6. mm, 5. μm) column. The mass spectrometer tandem quadruple detector was equipped with jet stream electrospray ionization, monitored in multiple reactions monitoring (MRM) and operated in positive mode. A combination of protein precipitation with methanol/zinc sulphate (70:30) (v/v) and online SPE using a Zorbax eclipse plus C8 (12.5. mm × 4.6. mm, 5. μm) cartridge was used to extract the compounds. This method allows the use of the same reagents, sample treatment and analytical technique independently of whether the samples are whole blood or plasma. The method has been successfully validated and applied to real samples. It is a suitable method for dose adjustment and for evaluating potential drug interactions during combined treatments. © 2013 Elsevier B.V.","author":[{"dropping-particle":"","family":"Navarrete","given":"Alicia","non-dropping-particle":"","parse-names":false,"suffix":""},{"dropping-particle":"","family":"Martínez-Alcázar","given":"M. Paz","non-dropping-particle":"","parse-names":false,"suffix":""},{"dropping-particle":"","family":"Durán","given":"Ignacio","non-dropping-particle":"","parse-names":false,"suffix":""},{"dropping-particle":"","family":"Calvo","given":"Emiliano","non-dropping-particle":"","parse-names":false,"suffix":""},{"dropping-particle":"","family":"Valenzuela","given":"Belén","non-dropping-particle":"","parse-names":false,"suffix":""},{"dropping-particle":"","family":"Barbas","given":"Coral","non-dropping-particle":"","parse-names":false,"suffix":""},{"dropping-particle":"","family":"García","given":"Antonia","non-dropping-particle":"","parse-names":false,"suffix":""}],"container-title":"Journal of Chromatography B: Analytical Technologies in the Biomedical and Life Sciences","id":"ITEM-3","issued":{"date-parts":[["2013"]]},"page":"35-42","publisher":"Elsevier B.V.","title":"Simultaneous online SPE-HPLC-MS/MS analysis of docetaxel, Temsirolimus and sirolimus in whole blood and human plasma","type":"article-journal","volume":"921-922"},"uris":["http://www.mendeley.com/documents/?uuid=30149a1f-b22a-40a8-8e7c-6e4268184a08"]}],"mendeley":{"formattedCitation":"[111], [112], [120]","plainTextFormattedCitation":"[111], [112], [120]","previouslyFormattedCitation":"[111], [112], [120]"},"properties":{"noteIndex":0},"schema":"https://github.com/citation-style-language/schema/raw/master/csl-citation.json"}</w:instrText>
      </w:r>
      <w:r w:rsidR="001505E1">
        <w:rPr>
          <w:rFonts w:ascii="Times New Roman" w:eastAsia="Times New Roman" w:hAnsi="Times New Roman" w:cs="Times New Roman"/>
          <w:sz w:val="24"/>
          <w:szCs w:val="24"/>
        </w:rPr>
        <w:fldChar w:fldCharType="separate"/>
      </w:r>
      <w:r w:rsidR="003F195C" w:rsidRPr="003F195C">
        <w:rPr>
          <w:rFonts w:ascii="Times New Roman" w:eastAsia="Times New Roman" w:hAnsi="Times New Roman" w:cs="Times New Roman"/>
          <w:noProof/>
          <w:sz w:val="24"/>
          <w:szCs w:val="24"/>
        </w:rPr>
        <w:t>[111], [112], [120]</w:t>
      </w:r>
      <w:r w:rsidR="001505E1">
        <w:rPr>
          <w:rFonts w:ascii="Times New Roman" w:eastAsia="Times New Roman" w:hAnsi="Times New Roman" w:cs="Times New Roman"/>
          <w:sz w:val="24"/>
          <w:szCs w:val="24"/>
        </w:rPr>
        <w:fldChar w:fldCharType="end"/>
      </w:r>
      <w:r w:rsidR="424734AD" w:rsidRPr="00E11754">
        <w:rPr>
          <w:rFonts w:ascii="Times New Roman" w:eastAsia="Times New Roman" w:hAnsi="Times New Roman" w:cs="Times New Roman"/>
          <w:sz w:val="24"/>
          <w:szCs w:val="24"/>
        </w:rPr>
        <w:t xml:space="preserve">. </w:t>
      </w:r>
    </w:p>
    <w:p w14:paraId="5E7B0D37" w14:textId="2C214A30" w:rsidR="0029277C" w:rsidRPr="00E11754" w:rsidRDefault="424734AD" w:rsidP="73583DCA">
      <w:pPr>
        <w:spacing w:line="360" w:lineRule="auto"/>
        <w:ind w:firstLine="708"/>
        <w:jc w:val="both"/>
        <w:rPr>
          <w:rFonts w:ascii="Times New Roman" w:hAnsi="Times New Roman" w:cs="Times New Roman"/>
          <w:sz w:val="24"/>
          <w:szCs w:val="24"/>
          <w:shd w:val="clear" w:color="auto" w:fill="FFFFFF"/>
        </w:rPr>
      </w:pPr>
      <w:r w:rsidRPr="00E11754">
        <w:rPr>
          <w:rFonts w:ascii="Times New Roman" w:eastAsia="Times New Roman" w:hAnsi="Times New Roman" w:cs="Times New Roman"/>
          <w:sz w:val="24"/>
          <w:szCs w:val="24"/>
        </w:rPr>
        <w:t xml:space="preserve">Jednakże, pomimo tak szerokiego wyboru metod do oznaczania </w:t>
      </w:r>
      <w:proofErr w:type="spellStart"/>
      <w:r w:rsidRPr="00E11754">
        <w:rPr>
          <w:rFonts w:ascii="Times New Roman" w:eastAsia="Times New Roman" w:hAnsi="Times New Roman" w:cs="Times New Roman"/>
          <w:sz w:val="24"/>
          <w:szCs w:val="24"/>
        </w:rPr>
        <w:t>docetakselu</w:t>
      </w:r>
      <w:proofErr w:type="spellEnd"/>
      <w:r w:rsidRPr="00E11754">
        <w:rPr>
          <w:rFonts w:ascii="Times New Roman" w:eastAsia="Times New Roman" w:hAnsi="Times New Roman" w:cs="Times New Roman"/>
          <w:sz w:val="24"/>
          <w:szCs w:val="24"/>
        </w:rPr>
        <w:t xml:space="preserve">, nadal brakuje metod chromatograficznych poprzedzonych izolacją tego </w:t>
      </w:r>
      <w:proofErr w:type="spellStart"/>
      <w:r w:rsidRPr="00E11754">
        <w:rPr>
          <w:rFonts w:ascii="Times New Roman" w:eastAsia="Times New Roman" w:hAnsi="Times New Roman" w:cs="Times New Roman"/>
          <w:sz w:val="24"/>
          <w:szCs w:val="24"/>
        </w:rPr>
        <w:t>analitu</w:t>
      </w:r>
      <w:proofErr w:type="spellEnd"/>
      <w:r w:rsidRPr="00E11754">
        <w:rPr>
          <w:rFonts w:ascii="Times New Roman" w:eastAsia="Times New Roman" w:hAnsi="Times New Roman" w:cs="Times New Roman"/>
          <w:sz w:val="24"/>
          <w:szCs w:val="24"/>
        </w:rPr>
        <w:t xml:space="preserve"> z podłoża biologicznego z wykorzystaniem technikach </w:t>
      </w:r>
      <w:proofErr w:type="spellStart"/>
      <w:r w:rsidRPr="00E11754">
        <w:rPr>
          <w:rFonts w:ascii="Times New Roman" w:eastAsia="Times New Roman" w:hAnsi="Times New Roman" w:cs="Times New Roman"/>
          <w:sz w:val="24"/>
          <w:szCs w:val="24"/>
        </w:rPr>
        <w:t>mikroekstrakcyjnych</w:t>
      </w:r>
      <w:proofErr w:type="spellEnd"/>
      <w:r w:rsidRPr="00E11754">
        <w:rPr>
          <w:rFonts w:ascii="Times New Roman" w:eastAsia="Times New Roman" w:hAnsi="Times New Roman" w:cs="Times New Roman"/>
          <w:sz w:val="24"/>
          <w:szCs w:val="24"/>
        </w:rPr>
        <w:t xml:space="preserve">, co byłby zgodne z założeniami “zielonej chemii”. Podejście to promuje bowiem </w:t>
      </w:r>
      <w:r w:rsidRPr="00E11754">
        <w:rPr>
          <w:rFonts w:ascii="Times New Roman" w:hAnsi="Times New Roman" w:cs="Times New Roman"/>
          <w:sz w:val="24"/>
          <w:szCs w:val="24"/>
        </w:rPr>
        <w:t>poszukiwanie nowych rozwiązań analitycznych, które wykorzystują mniejsze ilości szkodliwych odczynników chemicznych, a zatem są przyjazne środowisku naturalnemu.</w:t>
      </w:r>
      <w:r w:rsidR="0029277C" w:rsidRPr="00E11754">
        <w:rPr>
          <w:rFonts w:ascii="Times New Roman" w:hAnsi="Times New Roman" w:cs="Times New Roman"/>
          <w:sz w:val="24"/>
          <w:szCs w:val="24"/>
          <w:shd w:val="clear" w:color="auto" w:fill="FFFFFF"/>
        </w:rPr>
        <w:t xml:space="preserve"> W przypadku badań nad </w:t>
      </w:r>
      <w:proofErr w:type="spellStart"/>
      <w:r w:rsidR="0029277C" w:rsidRPr="00E11754">
        <w:rPr>
          <w:rFonts w:ascii="Times New Roman" w:hAnsi="Times New Roman" w:cs="Times New Roman"/>
          <w:sz w:val="24"/>
          <w:szCs w:val="24"/>
          <w:shd w:val="clear" w:color="auto" w:fill="FFFFFF"/>
        </w:rPr>
        <w:t>docetakselem</w:t>
      </w:r>
      <w:proofErr w:type="spellEnd"/>
      <w:r w:rsidR="0029277C" w:rsidRPr="00E11754">
        <w:rPr>
          <w:rFonts w:ascii="Times New Roman" w:hAnsi="Times New Roman" w:cs="Times New Roman"/>
          <w:sz w:val="24"/>
          <w:szCs w:val="24"/>
          <w:shd w:val="clear" w:color="auto" w:fill="FFFFFF"/>
        </w:rPr>
        <w:t xml:space="preserve"> zauważono lukę właśnie w tym obszarze, stąd postanowiono opracować nową metodę</w:t>
      </w:r>
      <w:r w:rsidRPr="00E11754">
        <w:rPr>
          <w:rFonts w:ascii="Times New Roman" w:hAnsi="Times New Roman" w:cs="Times New Roman"/>
          <w:sz w:val="24"/>
          <w:szCs w:val="24"/>
        </w:rPr>
        <w:t xml:space="preserve"> do oznaczeń stężenia </w:t>
      </w:r>
      <w:proofErr w:type="spellStart"/>
      <w:r w:rsidRPr="00E11754">
        <w:rPr>
          <w:rFonts w:ascii="Times New Roman" w:hAnsi="Times New Roman" w:cs="Times New Roman"/>
          <w:sz w:val="24"/>
          <w:szCs w:val="24"/>
        </w:rPr>
        <w:t>docetakselu</w:t>
      </w:r>
      <w:proofErr w:type="spellEnd"/>
      <w:r w:rsidR="0029277C" w:rsidRPr="00E11754">
        <w:rPr>
          <w:rFonts w:ascii="Times New Roman" w:hAnsi="Times New Roman" w:cs="Times New Roman"/>
          <w:sz w:val="24"/>
          <w:szCs w:val="24"/>
          <w:shd w:val="clear" w:color="auto" w:fill="FFFFFF"/>
        </w:rPr>
        <w:t xml:space="preserve"> w osoczu i moczu ludzkim bazującą na DLLME oraz technice </w:t>
      </w:r>
      <w:r w:rsidR="0029277C" w:rsidRPr="00E11754">
        <w:rPr>
          <w:rFonts w:ascii="Times New Roman" w:hAnsi="Times New Roman" w:cs="Times New Roman"/>
          <w:sz w:val="24"/>
          <w:szCs w:val="24"/>
          <w:shd w:val="clear" w:color="auto" w:fill="FFFFFF"/>
        </w:rPr>
        <w:lastRenderedPageBreak/>
        <w:t xml:space="preserve">LC-MS/MS, która mogłaby być stosowana w praktyce klinicznej m.in. </w:t>
      </w:r>
      <w:r w:rsidRPr="00E11754">
        <w:rPr>
          <w:rFonts w:ascii="Times New Roman" w:hAnsi="Times New Roman" w:cs="Times New Roman"/>
          <w:sz w:val="24"/>
          <w:szCs w:val="24"/>
        </w:rPr>
        <w:t xml:space="preserve">do monitorowania poziomu leku u pacjentów z rzadkimi schorzeniami nowotworowymi, takich jak AS. </w:t>
      </w:r>
    </w:p>
    <w:p w14:paraId="2B731220" w14:textId="532C7272" w:rsidR="0029277C" w:rsidRPr="00E11754" w:rsidRDefault="2100169C" w:rsidP="2100169C">
      <w:pPr>
        <w:spacing w:line="360" w:lineRule="auto"/>
        <w:jc w:val="both"/>
        <w:rPr>
          <w:rFonts w:ascii="Times New Roman" w:eastAsia="Times New Roman" w:hAnsi="Times New Roman" w:cs="Times New Roman"/>
          <w:b/>
          <w:bCs/>
          <w:i/>
          <w:iCs/>
          <w:sz w:val="24"/>
          <w:szCs w:val="24"/>
        </w:rPr>
      </w:pPr>
      <w:r w:rsidRPr="00E11754">
        <w:rPr>
          <w:rFonts w:ascii="Times New Roman" w:eastAsia="Times New Roman" w:hAnsi="Times New Roman" w:cs="Times New Roman"/>
          <w:b/>
          <w:bCs/>
          <w:i/>
          <w:iCs/>
          <w:sz w:val="24"/>
          <w:szCs w:val="24"/>
        </w:rPr>
        <w:t>Część doświadczalna i wyniki badań</w:t>
      </w:r>
    </w:p>
    <w:p w14:paraId="7E6841EB" w14:textId="3BEF9FA1" w:rsidR="4EF80E68" w:rsidRPr="00E11754" w:rsidRDefault="02602357" w:rsidP="424734AD">
      <w:pPr>
        <w:spacing w:line="360" w:lineRule="auto"/>
        <w:jc w:val="both"/>
        <w:rPr>
          <w:rFonts w:ascii="Times New Roman" w:eastAsia="Times New Roman" w:hAnsi="Times New Roman" w:cs="Times New Roman"/>
          <w:color w:val="000000" w:themeColor="text1"/>
          <w:sz w:val="24"/>
          <w:szCs w:val="24"/>
        </w:rPr>
      </w:pPr>
      <w:r w:rsidRPr="02602357">
        <w:rPr>
          <w:rFonts w:ascii="Times New Roman" w:eastAsia="Times New Roman" w:hAnsi="Times New Roman" w:cs="Times New Roman"/>
          <w:sz w:val="24"/>
          <w:szCs w:val="24"/>
        </w:rPr>
        <w:t>Podczas etapu optymalizacji, spośród dwóch kolumn (</w:t>
      </w:r>
      <w:proofErr w:type="spellStart"/>
      <w:r w:rsidRPr="02602357">
        <w:rPr>
          <w:rFonts w:ascii="Times New Roman" w:eastAsia="Times New Roman" w:hAnsi="Times New Roman" w:cs="Times New Roman"/>
          <w:color w:val="000000" w:themeColor="text1"/>
          <w:sz w:val="24"/>
          <w:szCs w:val="24"/>
        </w:rPr>
        <w:t>Phenomenex</w:t>
      </w:r>
      <w:proofErr w:type="spellEnd"/>
      <w:r w:rsidRPr="02602357">
        <w:rPr>
          <w:rFonts w:ascii="Times New Roman" w:eastAsia="Times New Roman" w:hAnsi="Times New Roman" w:cs="Times New Roman"/>
          <w:color w:val="000000" w:themeColor="text1"/>
          <w:sz w:val="24"/>
          <w:szCs w:val="24"/>
        </w:rPr>
        <w:t xml:space="preserve"> C-18 </w:t>
      </w:r>
      <w:proofErr w:type="spellStart"/>
      <w:r w:rsidRPr="02602357">
        <w:rPr>
          <w:rFonts w:ascii="Times New Roman" w:eastAsia="Times New Roman" w:hAnsi="Times New Roman" w:cs="Times New Roman"/>
          <w:color w:val="000000" w:themeColor="text1"/>
          <w:sz w:val="24"/>
          <w:szCs w:val="24"/>
        </w:rPr>
        <w:t>Kinetex</w:t>
      </w:r>
      <w:proofErr w:type="spellEnd"/>
      <w:r w:rsidRPr="02602357">
        <w:rPr>
          <w:rFonts w:ascii="Times New Roman" w:eastAsia="Times New Roman" w:hAnsi="Times New Roman" w:cs="Times New Roman"/>
          <w:color w:val="000000" w:themeColor="text1"/>
          <w:sz w:val="24"/>
          <w:szCs w:val="24"/>
        </w:rPr>
        <w:t xml:space="preserve"> 1,7 µM 50 x 2,1 mm oraz </w:t>
      </w:r>
      <w:proofErr w:type="spellStart"/>
      <w:r w:rsidRPr="02602357">
        <w:rPr>
          <w:rFonts w:ascii="Times New Roman" w:eastAsia="Times New Roman" w:hAnsi="Times New Roman" w:cs="Times New Roman"/>
          <w:color w:val="000000" w:themeColor="text1"/>
          <w:sz w:val="24"/>
          <w:szCs w:val="24"/>
        </w:rPr>
        <w:t>Phenomenex</w:t>
      </w:r>
      <w:proofErr w:type="spellEnd"/>
      <w:r w:rsidRPr="02602357">
        <w:rPr>
          <w:rFonts w:ascii="Times New Roman" w:eastAsia="Times New Roman" w:hAnsi="Times New Roman" w:cs="Times New Roman"/>
          <w:color w:val="000000" w:themeColor="text1"/>
          <w:sz w:val="24"/>
          <w:szCs w:val="24"/>
        </w:rPr>
        <w:t xml:space="preserve"> Hydro RP 100A </w:t>
      </w:r>
      <w:proofErr w:type="spellStart"/>
      <w:r w:rsidRPr="02602357">
        <w:rPr>
          <w:rFonts w:ascii="Times New Roman" w:eastAsia="Times New Roman" w:hAnsi="Times New Roman" w:cs="Times New Roman"/>
          <w:color w:val="000000" w:themeColor="text1"/>
          <w:sz w:val="24"/>
          <w:szCs w:val="24"/>
        </w:rPr>
        <w:t>Synergi</w:t>
      </w:r>
      <w:proofErr w:type="spellEnd"/>
      <w:r w:rsidRPr="02602357">
        <w:rPr>
          <w:rFonts w:ascii="Times New Roman" w:eastAsia="Times New Roman" w:hAnsi="Times New Roman" w:cs="Times New Roman"/>
          <w:color w:val="000000" w:themeColor="text1"/>
          <w:sz w:val="24"/>
          <w:szCs w:val="24"/>
        </w:rPr>
        <w:t xml:space="preserve"> (2,5 µM 50 x 2 mm)</w:t>
      </w:r>
      <w:r w:rsidRPr="02602357">
        <w:rPr>
          <w:rFonts w:ascii="Times New Roman" w:eastAsia="Times New Roman" w:hAnsi="Times New Roman" w:cs="Times New Roman"/>
          <w:sz w:val="24"/>
          <w:szCs w:val="24"/>
        </w:rPr>
        <w:t xml:space="preserve"> wybrano tę pierwszą z uwagi na bardziej efektywne rozdzielenie </w:t>
      </w:r>
      <w:proofErr w:type="spellStart"/>
      <w:r w:rsidRPr="02602357">
        <w:rPr>
          <w:rFonts w:ascii="Times New Roman" w:eastAsia="Times New Roman" w:hAnsi="Times New Roman" w:cs="Times New Roman"/>
          <w:sz w:val="24"/>
          <w:szCs w:val="24"/>
        </w:rPr>
        <w:t>analitów</w:t>
      </w:r>
      <w:proofErr w:type="spellEnd"/>
      <w:r w:rsidRPr="02602357">
        <w:rPr>
          <w:rFonts w:ascii="Times New Roman" w:eastAsia="Times New Roman" w:hAnsi="Times New Roman" w:cs="Times New Roman"/>
          <w:sz w:val="24"/>
          <w:szCs w:val="24"/>
        </w:rPr>
        <w:t xml:space="preserve"> (ostrzejsze i bardziej symetryczne sygnały)</w:t>
      </w:r>
      <w:r w:rsidRPr="02602357">
        <w:rPr>
          <w:rFonts w:ascii="Times New Roman" w:eastAsia="Times New Roman" w:hAnsi="Times New Roman" w:cs="Times New Roman"/>
          <w:color w:val="000000" w:themeColor="text1"/>
          <w:sz w:val="24"/>
          <w:szCs w:val="24"/>
        </w:rPr>
        <w:t xml:space="preserve">. Skład fazy ruchomej testowano w dwóch wariantach stosując jako składnik A: 0,1 % kwas mrówkowy w wodzie, a jako składnik B: 0,1 % kwas mrówkowy w ACN bądź w </w:t>
      </w:r>
      <w:proofErr w:type="spellStart"/>
      <w:r w:rsidRPr="02602357">
        <w:rPr>
          <w:rFonts w:ascii="Times New Roman" w:eastAsia="Times New Roman" w:hAnsi="Times New Roman" w:cs="Times New Roman"/>
          <w:color w:val="000000" w:themeColor="text1"/>
          <w:sz w:val="24"/>
          <w:szCs w:val="24"/>
        </w:rPr>
        <w:t>MeOH</w:t>
      </w:r>
      <w:proofErr w:type="spellEnd"/>
      <w:r w:rsidRPr="02602357">
        <w:rPr>
          <w:rFonts w:ascii="Times New Roman" w:eastAsia="Times New Roman" w:hAnsi="Times New Roman" w:cs="Times New Roman"/>
          <w:color w:val="000000" w:themeColor="text1"/>
          <w:sz w:val="24"/>
          <w:szCs w:val="24"/>
        </w:rPr>
        <w:t xml:space="preserve">, które to wprowadzono na układ w różnych programach gradientowych. Ostatecznie jako optymalny wariant wytypowano zastosowanie gradientowej </w:t>
      </w:r>
      <w:proofErr w:type="spellStart"/>
      <w:r w:rsidRPr="02602357">
        <w:rPr>
          <w:rFonts w:ascii="Times New Roman" w:eastAsia="Times New Roman" w:hAnsi="Times New Roman" w:cs="Times New Roman"/>
          <w:color w:val="000000" w:themeColor="text1"/>
          <w:sz w:val="24"/>
          <w:szCs w:val="24"/>
        </w:rPr>
        <w:t>elucji</w:t>
      </w:r>
      <w:proofErr w:type="spellEnd"/>
      <w:r w:rsidRPr="02602357">
        <w:rPr>
          <w:rFonts w:ascii="Times New Roman" w:eastAsia="Times New Roman" w:hAnsi="Times New Roman" w:cs="Times New Roman"/>
          <w:color w:val="000000" w:themeColor="text1"/>
          <w:sz w:val="24"/>
          <w:szCs w:val="24"/>
        </w:rPr>
        <w:t xml:space="preserve"> fazy ruchomej będącej mieszaniną roztworu A oraz 0,1% kwasu mrówkowego w ACN, która przepływała przez kolumnę z prędkością 200 µl/min. Jako IS zastosowano </w:t>
      </w:r>
      <w:proofErr w:type="spellStart"/>
      <w:r w:rsidRPr="02602357">
        <w:rPr>
          <w:rFonts w:ascii="Times New Roman" w:eastAsia="Times New Roman" w:hAnsi="Times New Roman" w:cs="Times New Roman"/>
          <w:color w:val="000000" w:themeColor="text1"/>
          <w:sz w:val="24"/>
          <w:szCs w:val="24"/>
        </w:rPr>
        <w:t>paklitaksel</w:t>
      </w:r>
      <w:proofErr w:type="spellEnd"/>
      <w:r w:rsidRPr="02602357">
        <w:rPr>
          <w:rFonts w:ascii="Times New Roman" w:eastAsia="Times New Roman" w:hAnsi="Times New Roman" w:cs="Times New Roman"/>
          <w:color w:val="000000" w:themeColor="text1"/>
          <w:sz w:val="24"/>
          <w:szCs w:val="24"/>
        </w:rPr>
        <w:t xml:space="preserve">, z uwagi na bardzo zbliżoną budowę chemiczną do </w:t>
      </w:r>
      <w:proofErr w:type="spellStart"/>
      <w:r w:rsidRPr="02602357">
        <w:rPr>
          <w:rFonts w:ascii="Times New Roman" w:eastAsia="Times New Roman" w:hAnsi="Times New Roman" w:cs="Times New Roman"/>
          <w:color w:val="000000" w:themeColor="text1"/>
          <w:sz w:val="24"/>
          <w:szCs w:val="24"/>
        </w:rPr>
        <w:t>docetakselu</w:t>
      </w:r>
      <w:proofErr w:type="spellEnd"/>
      <w:r w:rsidRPr="02602357">
        <w:rPr>
          <w:rFonts w:ascii="Times New Roman" w:eastAsia="Times New Roman" w:hAnsi="Times New Roman" w:cs="Times New Roman"/>
          <w:color w:val="000000" w:themeColor="text1"/>
          <w:sz w:val="24"/>
          <w:szCs w:val="24"/>
        </w:rPr>
        <w:t xml:space="preserve"> (Ryc. 2) oraz faktu, iż te leki nigdy nie są jednocześnie podawane podczas chemioterapii. Czas analizy LC-MS/MS wynosił 3,5 min i był krótszy od wcześniej opublikowanych metod chromatograficznych </w:t>
      </w:r>
      <w:r w:rsidR="2100169C" w:rsidRPr="02602357">
        <w:rPr>
          <w:rFonts w:ascii="Times New Roman" w:eastAsia="Times New Roman" w:hAnsi="Times New Roman" w:cs="Times New Roman"/>
          <w:color w:val="000000" w:themeColor="text1"/>
          <w:sz w:val="24"/>
          <w:szCs w:val="24"/>
        </w:rPr>
        <w:fldChar w:fldCharType="begin" w:fldLock="1"/>
      </w:r>
      <w:r w:rsidR="003F195C">
        <w:rPr>
          <w:rFonts w:ascii="Times New Roman" w:eastAsia="Times New Roman" w:hAnsi="Times New Roman" w:cs="Times New Roman"/>
          <w:color w:val="000000" w:themeColor="text1"/>
          <w:sz w:val="24"/>
          <w:szCs w:val="24"/>
        </w:rPr>
        <w:instrText>ADDIN CSL_CITATION {"citationItems":[{"id":"ITEM-1","itemData":{"DOI":"10.1016/j.jchromb.2013.01.017","ISSN":"15700232","PMID":"23422405","abstract":"Docetaxel and temsirolimus are some of the most used drugs in a wide range of solid tumors. In preclinical studies, mTOR inhibitors such as temsirolimus have demonstrated synergistic cytotoxic effects with taxanes providing the rationale for combination studies. These anticancer agents exhibit a narrow therapeutic concentration range and due to their high inter- and intra-individual pharmacokinetic variability, therapeutic dose monitoring by highly sensitive methods as LC-MS/MS are important for clinical research. Therefore, the aim of this study was to develop and validate a sensitive, fast and convenient method for the simultaneous identification and quantification of docetaxel, temsirolimus and its main metabolite, sirolimus, using paclitaxel, another anticancer drug, as the internal standard. These analytes were quantified by an integrated online solid phase extraction-high performance liquid chromatography-tandem mass spectrometry (SPE-HPLC-MS/MS) system. Separation was performed on a Zorbax eclipse XDB-C8 (150. mm × 4.6. mm, 5. μm) column. The mass spectrometer tandem quadruple detector was equipped with jet stream electrospray ionization, monitored in multiple reactions monitoring (MRM) and operated in positive mode. A combination of protein precipitation with methanol/zinc sulphate (70:30) (v/v) and online SPE using a Zorbax eclipse plus C8 (12.5. mm × 4.6. mm, 5. μm) cartridge was used to extract the compounds. This method allows the use of the same reagents, sample treatment and analytical technique independently of whether the samples are whole blood or plasma. The method has been successfully validated and applied to real samples. It is a suitable method for dose adjustment and for evaluating potential drug interactions during combined treatments. © 2013 Elsevier B.V.","author":[{"dropping-particle":"","family":"Navarrete","given":"Alicia","non-dropping-particle":"","parse-names":false,"suffix":""},{"dropping-particle":"","family":"Martínez-Alcázar","given":"M. Paz","non-dropping-particle":"","parse-names":false,"suffix":""},{"dropping-particle":"","family":"Durán","given":"Ignacio","non-dropping-particle":"","parse-names":false,"suffix":""},{"dropping-particle":"","family":"Calvo","given":"Emiliano","non-dropping-particle":"","parse-names":false,"suffix":""},{"dropping-particle":"","family":"Valenzuela","given":"Belén","non-dropping-particle":"","parse-names":false,"suffix":""},{"dropping-particle":"","family":"Barbas","given":"Coral","non-dropping-particle":"","parse-names":false,"suffix":""},{"dropping-particle":"","family":"García","given":"Antonia","non-dropping-particle":"","parse-names":false,"suffix":""}],"container-title":"Journal of Chromatography B: Analytical Technologies in the Biomedical and Life Sciences","id":"ITEM-1","issued":{"date-parts":[["2013"]]},"page":"35-42","publisher":"Elsevier B.V.","title":"Simultaneous online SPE-HPLC-MS/MS analysis of docetaxel, Temsirolimus and sirolimus in whole blood and human plasma","type":"article-journal","volume":"921-922"},"uris":["http://www.mendeley.com/documents/?uuid=30149a1f-b22a-40a8-8e7c-6e4268184a08"]},{"id":"ITEM-2","itemData":{"DOI":"10.1002/bmc.3021","ISSN":"02693879","PMID":"23996474","abstract":"A combined assay for the determination of paclitaxel, docetaxel and ritonavir in human feces and urine is described. The drugs were extracted from 200 μL urine or 50 mg feces followed by high-performance liquid chromatography analysis coupled with positive ionization electrospray tandem mass spectrometry. The validation program included calibration model, accuracy and precision, carry-over, dilution test, specificity and selectivity, matrix effect, recovery and stability. Acceptance criteria were according to US Food and Drug Administration guidelines on bioanalytical method validation. The validated range was 0.5-500 ng/mL for paclitaxel and docetaxel, 2-2000 ng/mL for ritonavir in urine, 2-2000 ng/mg for paclitaxel and docetaxel, and 8-8000 ng/mg for ritonavir in feces. Inter-assay accuracy and precision were tested for all analytes at four concentration levels and were within 8.5% and &lt;10.2%, respectively, in both matrices. Recovery at three concentration levels was between 77 and 94% in feces samples and between 69 and 85% in urine samples. Method development, including feces homogenization and spiking blank urine samples, are discussed. We demonstrated that each of the applied drugs could be quantified successfully in urine and feces using the described assay. The method was successfully applied for quantification of the analytes in feces and urine samples of patients. © 2013 John Wiley &amp; Sons, Ltd.","author":[{"dropping-particle":"","family":"Hendrikx","given":"Jeroen J.M.A.","non-dropping-particle":"","parse-names":false,"suffix":""},{"dropping-particle":"","family":"Rosing","given":"Hilde","non-dropping-particle":"","parse-names":false,"suffix":""},{"dropping-particle":"","family":"Schinkel","given":"Alfred H.","non-dropping-particle":"","parse-names":false,"suffix":""},{"dropping-particle":"","family":"Schellens","given":"Jan H.M.","non-dropping-particle":"","parse-names":false,"suffix":""},{"dropping-particle":"","family":"Beijnen","given":"Jos H.","non-dropping-particle":"","parse-names":false,"suffix":""}],"container-title":"Biomedical Chromatography","id":"ITEM-2","issue":"2","issued":{"date-parts":[["2013"]]},"page":"302-310","title":"Combined quantification of paclitaxel, docetaxel and ritonavir in human feces and urine using LC-MS/MS","type":"article-journal","volume":"28"},"uris":["http://www.mendeley.com/documents/?uuid=825a64c7-dee9-4b48-b2ed-286c3aab4412"]},{"id":"ITEM-3","itemData":{"DOI":"10.1016/j.jchromb.2012.02.003","ISSN":"15700232","PMID":"22429876","abstract":"Docetaxel is a taxane family antineoplastic agent widely employed in cancer chemotherapy. We developed a liquid chromatography/tandem mass spectrometry method for the determination of docetaxel in human plasma. Plasma samples were deproteinized by acetonitrile containing internal standard paclitaxel. Chromatographic separation was performed on a TSKgel ODS-100V 3. μm (50. mm. ×. 2.0. mm i.d.) column using a mobile phase composed of acetonitrile-methanol-water-formic acid (50:5:45:0.1, v/v/v/v). Detection was performed on a triple-quadrupole tandem mass spectrometer with multiple reaction monitoring (MRM) mode via electrospray ionization (ESI) source. This method covered a linearity range of 5-5000. ng/mL with the lower limit of quantification of 5. ng/mL. The intra-day precision and inter-day precision (R.S.D.) of analysis were less than 6.7%, and the accuracy (R.E.) was within ±9.0% at the concentrations of 5, 20, 200, and 2000. ng/mL. The total run time was 5.0. min. This method was successfully applied for clinical pharmacokinetic investigation. © 2012 Elsevier B.V.","author":[{"dropping-particle":"","family":"Yamaguchi","given":"Hiroaki","non-dropping-particle":"","parse-names":false,"suffix":""},{"dropping-particle":"","family":"Fujikawa","given":"Asuka","non-dropping-particle":"","parse-names":false,"suffix":""},{"dropping-particle":"","family":"Ito","given":"Hajime","non-dropping-particle":"","parse-names":false,"suffix":""},{"dropping-particle":"","family":"Tanaka","given":"Nobuaki","non-dropping-particle":"","parse-names":false,"suffix":""},{"dropping-particle":"","family":"Furugen","given":"Ayako","non-dropping-particle":"","parse-names":false,"suffix":""},{"dropping-particle":"","family":"Miyamori","given":"Kazuaki","non-dropping-particle":"","parse-names":false,"suffix":""},{"dropping-particle":"","family":"Takahashi","given":"Natsuko","non-dropping-particle":"","parse-names":false,"suffix":""},{"dropping-particle":"","family":"Ogura","given":"Jiro","non-dropping-particle":"","parse-names":false,"suffix":""},{"dropping-particle":"","family":"Kobayashi","given":"Masaki","non-dropping-particle":"","parse-names":false,"suffix":""},{"dropping-particle":"","family":"Yamada","given":"Takehiro","non-dropping-particle":"","parse-names":false,"suffix":""},{"dropping-particle":"","family":"Mano","given":"Nariyasu","non-dropping-particle":"","parse-names":false,"suffix":""},{"dropping-particle":"","family":"Iseki","given":"Ken","non-dropping-particle":"","parse-names":false,"suffix":""}],"container-title":"Journal of Chromatography B: Analytical Technologies in the Biomedical and Life Sciences","id":"ITEM-3","issued":{"date-parts":[["2012"]]},"page":"157-161","publisher":"Elsevier B.V.","title":"A rapid and sensitive LC/ESI-MS/MS method for quantitative analysis of docetaxel in human plasma and its application to a pharmacokinetic study","type":"article-journal","volume":"893-894"},"uris":["http://www.mendeley.com/documents/?uuid=672c2d0c-a93e-4502-a7c6-67166c3d9160"]}],"mendeley":{"formattedCitation":"[112], [113], [121]","plainTextFormattedCitation":"[112], [113], [121]","previouslyFormattedCitation":"[112], [113], [121]"},"properties":{"noteIndex":0},"schema":"https://github.com/citation-style-language/schema/raw/master/csl-citation.json"}</w:instrText>
      </w:r>
      <w:r w:rsidR="2100169C" w:rsidRPr="02602357">
        <w:rPr>
          <w:rFonts w:ascii="Times New Roman" w:eastAsia="Times New Roman" w:hAnsi="Times New Roman" w:cs="Times New Roman"/>
          <w:color w:val="000000" w:themeColor="text1"/>
          <w:sz w:val="24"/>
          <w:szCs w:val="24"/>
        </w:rPr>
        <w:fldChar w:fldCharType="separate"/>
      </w:r>
      <w:r w:rsidR="003F195C" w:rsidRPr="003F195C">
        <w:rPr>
          <w:rFonts w:ascii="Times New Roman" w:eastAsia="Times New Roman" w:hAnsi="Times New Roman" w:cs="Times New Roman"/>
          <w:noProof/>
          <w:color w:val="000000" w:themeColor="text1"/>
          <w:sz w:val="24"/>
          <w:szCs w:val="24"/>
        </w:rPr>
        <w:t>[112], [113], [121]</w:t>
      </w:r>
      <w:r w:rsidR="2100169C" w:rsidRPr="02602357">
        <w:rPr>
          <w:rFonts w:ascii="Times New Roman" w:eastAsia="Times New Roman" w:hAnsi="Times New Roman" w:cs="Times New Roman"/>
          <w:color w:val="000000" w:themeColor="text1"/>
          <w:sz w:val="24"/>
          <w:szCs w:val="24"/>
        </w:rPr>
        <w:fldChar w:fldCharType="end"/>
      </w:r>
      <w:r w:rsidRPr="02602357">
        <w:rPr>
          <w:rFonts w:ascii="Times New Roman" w:eastAsia="Times New Roman" w:hAnsi="Times New Roman" w:cs="Times New Roman"/>
          <w:color w:val="000000" w:themeColor="text1"/>
          <w:sz w:val="24"/>
          <w:szCs w:val="24"/>
        </w:rPr>
        <w:t xml:space="preserve">. </w:t>
      </w:r>
    </w:p>
    <w:p w14:paraId="3B12B1A1" w14:textId="368D84F0" w:rsidR="4EF80E68" w:rsidRPr="00E11754" w:rsidRDefault="02602357" w:rsidP="2100169C">
      <w:pPr>
        <w:spacing w:line="360" w:lineRule="auto"/>
        <w:ind w:firstLine="708"/>
        <w:jc w:val="both"/>
        <w:rPr>
          <w:rFonts w:ascii="Times New Roman" w:eastAsia="Times New Roman" w:hAnsi="Times New Roman" w:cs="Times New Roman"/>
          <w:color w:val="000000" w:themeColor="text1"/>
          <w:sz w:val="24"/>
          <w:szCs w:val="24"/>
        </w:rPr>
      </w:pPr>
      <w:r w:rsidRPr="02602357">
        <w:rPr>
          <w:rFonts w:ascii="Times New Roman" w:eastAsia="Times New Roman" w:hAnsi="Times New Roman" w:cs="Times New Roman"/>
          <w:color w:val="000000" w:themeColor="text1"/>
          <w:sz w:val="24"/>
          <w:szCs w:val="24"/>
        </w:rPr>
        <w:t xml:space="preserve">W trakcie optymalizacji ekstrakcji testowano szereg różnych wariantów dyspersyjnej </w:t>
      </w:r>
      <w:proofErr w:type="spellStart"/>
      <w:r w:rsidRPr="02602357">
        <w:rPr>
          <w:rFonts w:ascii="Times New Roman" w:eastAsia="Times New Roman" w:hAnsi="Times New Roman" w:cs="Times New Roman"/>
          <w:color w:val="000000" w:themeColor="text1"/>
          <w:sz w:val="24"/>
          <w:szCs w:val="24"/>
        </w:rPr>
        <w:t>mikroekstrakcji</w:t>
      </w:r>
      <w:proofErr w:type="spellEnd"/>
      <w:r w:rsidRPr="02602357">
        <w:rPr>
          <w:rFonts w:ascii="Times New Roman" w:eastAsia="Times New Roman" w:hAnsi="Times New Roman" w:cs="Times New Roman"/>
          <w:color w:val="000000" w:themeColor="text1"/>
          <w:sz w:val="24"/>
          <w:szCs w:val="24"/>
        </w:rPr>
        <w:t xml:space="preserve"> ciecz-ciecz wspomaganej ultradźwiękami (</w:t>
      </w:r>
      <w:proofErr w:type="spellStart"/>
      <w:r w:rsidRPr="02602357">
        <w:rPr>
          <w:rFonts w:ascii="Times New Roman" w:eastAsia="Times New Roman" w:hAnsi="Times New Roman" w:cs="Times New Roman"/>
          <w:color w:val="000000" w:themeColor="text1"/>
          <w:sz w:val="24"/>
          <w:szCs w:val="24"/>
        </w:rPr>
        <w:t>ang.</w:t>
      </w:r>
      <w:r w:rsidRPr="02602357">
        <w:rPr>
          <w:rFonts w:ascii="Times New Roman" w:eastAsia="Times New Roman" w:hAnsi="Times New Roman" w:cs="Times New Roman"/>
          <w:i/>
          <w:iCs/>
          <w:color w:val="000000" w:themeColor="text1"/>
          <w:sz w:val="24"/>
          <w:szCs w:val="24"/>
        </w:rPr>
        <w:t>Ultrasound-Associated</w:t>
      </w:r>
      <w:proofErr w:type="spellEnd"/>
      <w:r w:rsidRPr="02602357">
        <w:rPr>
          <w:rFonts w:ascii="Times New Roman" w:eastAsia="Times New Roman" w:hAnsi="Times New Roman" w:cs="Times New Roman"/>
          <w:i/>
          <w:iCs/>
          <w:color w:val="000000" w:themeColor="text1"/>
          <w:sz w:val="24"/>
          <w:szCs w:val="24"/>
        </w:rPr>
        <w:t xml:space="preserve"> </w:t>
      </w:r>
      <w:proofErr w:type="spellStart"/>
      <w:r w:rsidRPr="02602357">
        <w:rPr>
          <w:rFonts w:ascii="Times New Roman" w:eastAsia="Times New Roman" w:hAnsi="Times New Roman" w:cs="Times New Roman"/>
          <w:i/>
          <w:iCs/>
          <w:color w:val="000000" w:themeColor="text1"/>
          <w:sz w:val="24"/>
          <w:szCs w:val="24"/>
        </w:rPr>
        <w:t>Dispersive</w:t>
      </w:r>
      <w:proofErr w:type="spellEnd"/>
      <w:r w:rsidRPr="02602357">
        <w:rPr>
          <w:rFonts w:ascii="Times New Roman" w:eastAsia="Times New Roman" w:hAnsi="Times New Roman" w:cs="Times New Roman"/>
          <w:i/>
          <w:iCs/>
          <w:color w:val="000000" w:themeColor="text1"/>
          <w:sz w:val="24"/>
          <w:szCs w:val="24"/>
        </w:rPr>
        <w:t xml:space="preserve"> Liquid-Liquid </w:t>
      </w:r>
      <w:proofErr w:type="spellStart"/>
      <w:r w:rsidRPr="02602357">
        <w:rPr>
          <w:rFonts w:ascii="Times New Roman" w:eastAsia="Times New Roman" w:hAnsi="Times New Roman" w:cs="Times New Roman"/>
          <w:i/>
          <w:iCs/>
          <w:color w:val="000000" w:themeColor="text1"/>
          <w:sz w:val="24"/>
          <w:szCs w:val="24"/>
        </w:rPr>
        <w:t>Microextraction</w:t>
      </w:r>
      <w:proofErr w:type="spellEnd"/>
      <w:r w:rsidRPr="02602357">
        <w:rPr>
          <w:rFonts w:ascii="Times New Roman" w:eastAsia="Times New Roman" w:hAnsi="Times New Roman" w:cs="Times New Roman"/>
          <w:color w:val="000000" w:themeColor="text1"/>
          <w:sz w:val="24"/>
          <w:szCs w:val="24"/>
        </w:rPr>
        <w:t>, UA-DLLME), w których używano różnorodne objętości oraz rodzaje rozpuszczalników dyspergujących (</w:t>
      </w:r>
      <w:proofErr w:type="spellStart"/>
      <w:r w:rsidRPr="02602357">
        <w:rPr>
          <w:rFonts w:ascii="Times New Roman" w:eastAsia="Times New Roman" w:hAnsi="Times New Roman" w:cs="Times New Roman"/>
          <w:color w:val="000000" w:themeColor="text1"/>
          <w:sz w:val="24"/>
          <w:szCs w:val="24"/>
        </w:rPr>
        <w:t>Chl</w:t>
      </w:r>
      <w:proofErr w:type="spellEnd"/>
      <w:r w:rsidRPr="02602357">
        <w:rPr>
          <w:rFonts w:ascii="Times New Roman" w:eastAsia="Times New Roman" w:hAnsi="Times New Roman" w:cs="Times New Roman"/>
          <w:color w:val="000000" w:themeColor="text1"/>
          <w:sz w:val="24"/>
          <w:szCs w:val="24"/>
        </w:rPr>
        <w:t xml:space="preserve">, DCHM) i ekstrahujących (ACN, </w:t>
      </w:r>
      <w:proofErr w:type="spellStart"/>
      <w:r w:rsidRPr="02602357">
        <w:rPr>
          <w:rFonts w:ascii="Times New Roman" w:eastAsia="Times New Roman" w:hAnsi="Times New Roman" w:cs="Times New Roman"/>
          <w:color w:val="000000" w:themeColor="text1"/>
          <w:sz w:val="24"/>
          <w:szCs w:val="24"/>
        </w:rPr>
        <w:t>MeOH</w:t>
      </w:r>
      <w:proofErr w:type="spellEnd"/>
      <w:r w:rsidRPr="02602357">
        <w:rPr>
          <w:rFonts w:ascii="Times New Roman" w:eastAsia="Times New Roman" w:hAnsi="Times New Roman" w:cs="Times New Roman"/>
          <w:color w:val="000000" w:themeColor="text1"/>
          <w:sz w:val="24"/>
          <w:szCs w:val="24"/>
        </w:rPr>
        <w:t xml:space="preserve"> oraz etanol (</w:t>
      </w:r>
      <w:proofErr w:type="spellStart"/>
      <w:r w:rsidRPr="02602357">
        <w:rPr>
          <w:rFonts w:ascii="Times New Roman" w:eastAsia="Times New Roman" w:hAnsi="Times New Roman" w:cs="Times New Roman"/>
          <w:color w:val="000000" w:themeColor="text1"/>
          <w:sz w:val="24"/>
          <w:szCs w:val="24"/>
        </w:rPr>
        <w:t>EtOH</w:t>
      </w:r>
      <w:proofErr w:type="spellEnd"/>
      <w:r w:rsidRPr="02602357">
        <w:rPr>
          <w:rFonts w:ascii="Times New Roman" w:eastAsia="Times New Roman" w:hAnsi="Times New Roman" w:cs="Times New Roman"/>
          <w:color w:val="000000" w:themeColor="text1"/>
          <w:sz w:val="24"/>
          <w:szCs w:val="24"/>
        </w:rPr>
        <w:t xml:space="preserve">)), jak również czasu trwania procesu izolacji </w:t>
      </w:r>
      <w:proofErr w:type="spellStart"/>
      <w:r w:rsidRPr="02602357">
        <w:rPr>
          <w:rFonts w:ascii="Times New Roman" w:eastAsia="Times New Roman" w:hAnsi="Times New Roman" w:cs="Times New Roman"/>
          <w:color w:val="000000" w:themeColor="text1"/>
          <w:sz w:val="24"/>
          <w:szCs w:val="24"/>
        </w:rPr>
        <w:t>analitu</w:t>
      </w:r>
      <w:proofErr w:type="spellEnd"/>
      <w:r w:rsidRPr="02602357">
        <w:rPr>
          <w:rFonts w:ascii="Times New Roman" w:eastAsia="Times New Roman" w:hAnsi="Times New Roman" w:cs="Times New Roman"/>
          <w:color w:val="000000" w:themeColor="text1"/>
          <w:sz w:val="24"/>
          <w:szCs w:val="24"/>
        </w:rPr>
        <w:t xml:space="preserve"> wspomaganego ultradźwiękami. Użyteczność każdej testowanej mieszaniny ekstrahująco-dyspergującej sprawdzono w różnych proporcjach (4:6, 3:7, 2:8, </w:t>
      </w:r>
      <w:r w:rsidRPr="02602357">
        <w:rPr>
          <w:rFonts w:ascii="Times New Roman" w:eastAsia="Times New Roman" w:hAnsi="Times New Roman" w:cs="Times New Roman"/>
          <w:i/>
          <w:iCs/>
          <w:color w:val="000000" w:themeColor="text1"/>
          <w:sz w:val="24"/>
          <w:szCs w:val="24"/>
        </w:rPr>
        <w:t>v</w:t>
      </w:r>
      <w:r w:rsidRPr="02602357">
        <w:rPr>
          <w:rFonts w:ascii="Times New Roman" w:eastAsia="Times New Roman" w:hAnsi="Times New Roman" w:cs="Times New Roman"/>
          <w:color w:val="000000" w:themeColor="text1"/>
          <w:sz w:val="24"/>
          <w:szCs w:val="24"/>
        </w:rPr>
        <w:t>/</w:t>
      </w:r>
      <w:r w:rsidRPr="02602357">
        <w:rPr>
          <w:rFonts w:ascii="Times New Roman" w:eastAsia="Times New Roman" w:hAnsi="Times New Roman" w:cs="Times New Roman"/>
          <w:i/>
          <w:iCs/>
          <w:color w:val="000000" w:themeColor="text1"/>
          <w:sz w:val="24"/>
          <w:szCs w:val="24"/>
        </w:rPr>
        <w:t>v</w:t>
      </w:r>
      <w:r w:rsidRPr="02602357">
        <w:rPr>
          <w:rFonts w:ascii="Times New Roman" w:eastAsia="Times New Roman" w:hAnsi="Times New Roman" w:cs="Times New Roman"/>
          <w:color w:val="000000" w:themeColor="text1"/>
          <w:sz w:val="24"/>
          <w:szCs w:val="24"/>
        </w:rPr>
        <w:t xml:space="preserve">) stosując jako matrycę próbki </w:t>
      </w:r>
      <w:r w:rsidRPr="02602357">
        <w:rPr>
          <w:rFonts w:ascii="Times New Roman" w:eastAsia="Times New Roman" w:hAnsi="Times New Roman" w:cs="Times New Roman"/>
          <w:sz w:val="24"/>
          <w:szCs w:val="24"/>
        </w:rPr>
        <w:t xml:space="preserve">buforowaną fosforanem </w:t>
      </w:r>
      <w:r w:rsidRPr="02602357">
        <w:rPr>
          <w:rFonts w:ascii="Times New Roman" w:eastAsia="Times New Roman" w:hAnsi="Times New Roman" w:cs="Times New Roman"/>
          <w:color w:val="000000" w:themeColor="text1"/>
          <w:sz w:val="24"/>
          <w:szCs w:val="24"/>
        </w:rPr>
        <w:t xml:space="preserve">sól fizjologiczną (ang. </w:t>
      </w:r>
      <w:proofErr w:type="spellStart"/>
      <w:r w:rsidRPr="02602357">
        <w:rPr>
          <w:rFonts w:ascii="Times New Roman" w:eastAsia="Times New Roman" w:hAnsi="Times New Roman" w:cs="Times New Roman"/>
          <w:i/>
          <w:iCs/>
          <w:color w:val="000000" w:themeColor="text1"/>
          <w:sz w:val="24"/>
          <w:szCs w:val="24"/>
        </w:rPr>
        <w:t>Phosphate</w:t>
      </w:r>
      <w:proofErr w:type="spellEnd"/>
      <w:r w:rsidRPr="02602357">
        <w:rPr>
          <w:rFonts w:ascii="Times New Roman" w:eastAsia="Times New Roman" w:hAnsi="Times New Roman" w:cs="Times New Roman"/>
          <w:i/>
          <w:iCs/>
          <w:color w:val="000000" w:themeColor="text1"/>
          <w:sz w:val="24"/>
          <w:szCs w:val="24"/>
        </w:rPr>
        <w:t xml:space="preserve"> </w:t>
      </w:r>
      <w:proofErr w:type="spellStart"/>
      <w:r w:rsidRPr="02602357">
        <w:rPr>
          <w:rFonts w:ascii="Times New Roman" w:eastAsia="Times New Roman" w:hAnsi="Times New Roman" w:cs="Times New Roman"/>
          <w:i/>
          <w:iCs/>
          <w:color w:val="000000" w:themeColor="text1"/>
          <w:sz w:val="24"/>
          <w:szCs w:val="24"/>
        </w:rPr>
        <w:t>Buffered</w:t>
      </w:r>
      <w:proofErr w:type="spellEnd"/>
      <w:r w:rsidRPr="02602357">
        <w:rPr>
          <w:rFonts w:ascii="Times New Roman" w:eastAsia="Times New Roman" w:hAnsi="Times New Roman" w:cs="Times New Roman"/>
          <w:i/>
          <w:iCs/>
          <w:color w:val="000000" w:themeColor="text1"/>
          <w:sz w:val="24"/>
          <w:szCs w:val="24"/>
        </w:rPr>
        <w:t xml:space="preserve"> </w:t>
      </w:r>
      <w:proofErr w:type="spellStart"/>
      <w:r w:rsidRPr="02602357">
        <w:rPr>
          <w:rFonts w:ascii="Times New Roman" w:eastAsia="Times New Roman" w:hAnsi="Times New Roman" w:cs="Times New Roman"/>
          <w:i/>
          <w:iCs/>
          <w:color w:val="000000" w:themeColor="text1"/>
          <w:sz w:val="24"/>
          <w:szCs w:val="24"/>
        </w:rPr>
        <w:t>Saline</w:t>
      </w:r>
      <w:proofErr w:type="spellEnd"/>
      <w:r w:rsidRPr="02602357">
        <w:rPr>
          <w:rFonts w:ascii="Times New Roman" w:eastAsia="Times New Roman" w:hAnsi="Times New Roman" w:cs="Times New Roman"/>
          <w:color w:val="000000" w:themeColor="text1"/>
          <w:sz w:val="24"/>
          <w:szCs w:val="24"/>
        </w:rPr>
        <w:t xml:space="preserve">, PBS). Po przeprowadzeniu tych eksperymentów stwierdzono, że w przypadku mieszaniny ACN z testowanymi odczynnikami ekstrahującymi nie utworzyła się kropla. Z kolei, spośród pozostałych wariantów najlepsze rezultaty uzyskano w przypadku mieszaniny </w:t>
      </w:r>
      <w:proofErr w:type="spellStart"/>
      <w:r w:rsidRPr="02602357">
        <w:rPr>
          <w:rFonts w:ascii="Times New Roman" w:eastAsia="Times New Roman" w:hAnsi="Times New Roman" w:cs="Times New Roman"/>
          <w:color w:val="000000" w:themeColor="text1"/>
          <w:sz w:val="24"/>
          <w:szCs w:val="24"/>
        </w:rPr>
        <w:t>Chl:EtOH</w:t>
      </w:r>
      <w:proofErr w:type="spellEnd"/>
      <w:r w:rsidRPr="02602357">
        <w:rPr>
          <w:rFonts w:ascii="Times New Roman" w:eastAsia="Times New Roman" w:hAnsi="Times New Roman" w:cs="Times New Roman"/>
          <w:color w:val="000000" w:themeColor="text1"/>
          <w:sz w:val="24"/>
          <w:szCs w:val="24"/>
        </w:rPr>
        <w:t xml:space="preserve"> (4:6, </w:t>
      </w:r>
      <w:r w:rsidRPr="02602357">
        <w:rPr>
          <w:rFonts w:ascii="Times New Roman" w:eastAsia="Times New Roman" w:hAnsi="Times New Roman" w:cs="Times New Roman"/>
          <w:i/>
          <w:iCs/>
          <w:color w:val="000000" w:themeColor="text1"/>
          <w:sz w:val="24"/>
          <w:szCs w:val="24"/>
        </w:rPr>
        <w:t>v</w:t>
      </w:r>
      <w:r w:rsidRPr="02602357">
        <w:rPr>
          <w:rFonts w:ascii="Times New Roman" w:eastAsia="Times New Roman" w:hAnsi="Times New Roman" w:cs="Times New Roman"/>
          <w:color w:val="000000" w:themeColor="text1"/>
          <w:sz w:val="24"/>
          <w:szCs w:val="24"/>
        </w:rPr>
        <w:t>/</w:t>
      </w:r>
      <w:r w:rsidRPr="02602357">
        <w:rPr>
          <w:rFonts w:ascii="Times New Roman" w:eastAsia="Times New Roman" w:hAnsi="Times New Roman" w:cs="Times New Roman"/>
          <w:i/>
          <w:iCs/>
          <w:color w:val="000000" w:themeColor="text1"/>
          <w:sz w:val="24"/>
          <w:szCs w:val="24"/>
        </w:rPr>
        <w:t>v</w:t>
      </w:r>
      <w:r w:rsidRPr="02602357">
        <w:rPr>
          <w:rFonts w:ascii="Times New Roman" w:eastAsia="Times New Roman" w:hAnsi="Times New Roman" w:cs="Times New Roman"/>
          <w:color w:val="000000" w:themeColor="text1"/>
          <w:sz w:val="24"/>
          <w:szCs w:val="24"/>
        </w:rPr>
        <w:t>) (Tabela 1. w publikacji 5). Kolejnym krokiem było zweryfikowanie dwóch najlepiej rokujących mieszanin (</w:t>
      </w:r>
      <w:proofErr w:type="spellStart"/>
      <w:r w:rsidRPr="02602357">
        <w:rPr>
          <w:rFonts w:ascii="Times New Roman" w:eastAsia="Times New Roman" w:hAnsi="Times New Roman" w:cs="Times New Roman"/>
          <w:color w:val="000000" w:themeColor="text1"/>
          <w:sz w:val="24"/>
          <w:szCs w:val="24"/>
        </w:rPr>
        <w:t>Chl:MeOH</w:t>
      </w:r>
      <w:proofErr w:type="spellEnd"/>
      <w:r w:rsidRPr="02602357">
        <w:rPr>
          <w:rFonts w:ascii="Times New Roman" w:eastAsia="Times New Roman" w:hAnsi="Times New Roman" w:cs="Times New Roman"/>
          <w:color w:val="000000" w:themeColor="text1"/>
          <w:sz w:val="24"/>
          <w:szCs w:val="24"/>
        </w:rPr>
        <w:t xml:space="preserve">, </w:t>
      </w:r>
      <w:proofErr w:type="spellStart"/>
      <w:r w:rsidRPr="02602357">
        <w:rPr>
          <w:rFonts w:ascii="Times New Roman" w:eastAsia="Times New Roman" w:hAnsi="Times New Roman" w:cs="Times New Roman"/>
          <w:color w:val="000000" w:themeColor="text1"/>
          <w:sz w:val="24"/>
          <w:szCs w:val="24"/>
        </w:rPr>
        <w:t>Chl:EtOH</w:t>
      </w:r>
      <w:proofErr w:type="spellEnd"/>
      <w:r w:rsidRPr="02602357">
        <w:rPr>
          <w:rFonts w:ascii="Times New Roman" w:eastAsia="Times New Roman" w:hAnsi="Times New Roman" w:cs="Times New Roman"/>
          <w:color w:val="000000" w:themeColor="text1"/>
          <w:sz w:val="24"/>
          <w:szCs w:val="24"/>
        </w:rPr>
        <w:t xml:space="preserve">) w trzech różnych proporcjach (4:6, 3:7, 2:8, </w:t>
      </w:r>
      <w:r w:rsidRPr="02602357">
        <w:rPr>
          <w:rFonts w:ascii="Times New Roman" w:eastAsia="Times New Roman" w:hAnsi="Times New Roman" w:cs="Times New Roman"/>
          <w:i/>
          <w:iCs/>
          <w:color w:val="000000" w:themeColor="text1"/>
          <w:sz w:val="24"/>
          <w:szCs w:val="24"/>
        </w:rPr>
        <w:t>v</w:t>
      </w:r>
      <w:r w:rsidRPr="02602357">
        <w:rPr>
          <w:rFonts w:ascii="Times New Roman" w:eastAsia="Times New Roman" w:hAnsi="Times New Roman" w:cs="Times New Roman"/>
          <w:color w:val="000000" w:themeColor="text1"/>
          <w:sz w:val="24"/>
          <w:szCs w:val="24"/>
        </w:rPr>
        <w:t>/</w:t>
      </w:r>
      <w:r w:rsidRPr="02602357">
        <w:rPr>
          <w:rFonts w:ascii="Times New Roman" w:eastAsia="Times New Roman" w:hAnsi="Times New Roman" w:cs="Times New Roman"/>
          <w:i/>
          <w:iCs/>
          <w:color w:val="000000" w:themeColor="text1"/>
          <w:sz w:val="24"/>
          <w:szCs w:val="24"/>
        </w:rPr>
        <w:t>v</w:t>
      </w:r>
      <w:r w:rsidRPr="02602357">
        <w:rPr>
          <w:rFonts w:ascii="Times New Roman" w:eastAsia="Times New Roman" w:hAnsi="Times New Roman" w:cs="Times New Roman"/>
          <w:color w:val="000000" w:themeColor="text1"/>
          <w:sz w:val="24"/>
          <w:szCs w:val="24"/>
        </w:rPr>
        <w:t xml:space="preserve">) do izolacji </w:t>
      </w:r>
      <w:proofErr w:type="spellStart"/>
      <w:r w:rsidRPr="02602357">
        <w:rPr>
          <w:rFonts w:ascii="Times New Roman" w:eastAsia="Times New Roman" w:hAnsi="Times New Roman" w:cs="Times New Roman"/>
          <w:color w:val="000000" w:themeColor="text1"/>
          <w:sz w:val="24"/>
          <w:szCs w:val="24"/>
        </w:rPr>
        <w:t>docetakselu</w:t>
      </w:r>
      <w:proofErr w:type="spellEnd"/>
      <w:r w:rsidRPr="02602357">
        <w:rPr>
          <w:rFonts w:ascii="Times New Roman" w:eastAsia="Times New Roman" w:hAnsi="Times New Roman" w:cs="Times New Roman"/>
          <w:color w:val="000000" w:themeColor="text1"/>
          <w:sz w:val="24"/>
          <w:szCs w:val="24"/>
        </w:rPr>
        <w:t xml:space="preserve"> z matrycy biologicznej. Spośród tych mieszanin, najwyższą wydajność ekstrakcji otrzymano po zastosowaniu  </w:t>
      </w:r>
      <w:proofErr w:type="spellStart"/>
      <w:r w:rsidRPr="02602357">
        <w:rPr>
          <w:rFonts w:ascii="Times New Roman" w:eastAsia="Times New Roman" w:hAnsi="Times New Roman" w:cs="Times New Roman"/>
          <w:color w:val="000000" w:themeColor="text1"/>
          <w:sz w:val="24"/>
          <w:szCs w:val="24"/>
        </w:rPr>
        <w:t>Chl:EtOH</w:t>
      </w:r>
      <w:proofErr w:type="spellEnd"/>
      <w:r w:rsidRPr="02602357">
        <w:rPr>
          <w:rFonts w:ascii="Times New Roman" w:eastAsia="Times New Roman" w:hAnsi="Times New Roman" w:cs="Times New Roman"/>
          <w:color w:val="000000" w:themeColor="text1"/>
          <w:sz w:val="24"/>
          <w:szCs w:val="24"/>
        </w:rPr>
        <w:t xml:space="preserve"> w proporcji (4:6, </w:t>
      </w:r>
      <w:r w:rsidRPr="02602357">
        <w:rPr>
          <w:rFonts w:ascii="Times New Roman" w:eastAsia="Times New Roman" w:hAnsi="Times New Roman" w:cs="Times New Roman"/>
          <w:i/>
          <w:iCs/>
          <w:color w:val="000000" w:themeColor="text1"/>
          <w:sz w:val="24"/>
          <w:szCs w:val="24"/>
        </w:rPr>
        <w:t>v</w:t>
      </w:r>
      <w:r w:rsidRPr="02602357">
        <w:rPr>
          <w:rFonts w:ascii="Times New Roman" w:eastAsia="Times New Roman" w:hAnsi="Times New Roman" w:cs="Times New Roman"/>
          <w:color w:val="000000" w:themeColor="text1"/>
          <w:sz w:val="24"/>
          <w:szCs w:val="24"/>
        </w:rPr>
        <w:t>/</w:t>
      </w:r>
      <w:r w:rsidRPr="02602357">
        <w:rPr>
          <w:rFonts w:ascii="Times New Roman" w:eastAsia="Times New Roman" w:hAnsi="Times New Roman" w:cs="Times New Roman"/>
          <w:i/>
          <w:iCs/>
          <w:color w:val="000000" w:themeColor="text1"/>
          <w:sz w:val="24"/>
          <w:szCs w:val="24"/>
        </w:rPr>
        <w:t>v</w:t>
      </w:r>
      <w:r w:rsidRPr="02602357">
        <w:rPr>
          <w:rFonts w:ascii="Times New Roman" w:eastAsia="Times New Roman" w:hAnsi="Times New Roman" w:cs="Times New Roman"/>
          <w:color w:val="000000" w:themeColor="text1"/>
          <w:sz w:val="24"/>
          <w:szCs w:val="24"/>
        </w:rPr>
        <w:t xml:space="preserve">). Zatem, ta mieszanina ekstrahująco-dyspergująca została wybrana do dalszych eksperymentów. W </w:t>
      </w:r>
      <w:r w:rsidRPr="02602357">
        <w:rPr>
          <w:rFonts w:ascii="Times New Roman" w:eastAsia="Times New Roman" w:hAnsi="Times New Roman" w:cs="Times New Roman"/>
          <w:color w:val="000000" w:themeColor="text1"/>
          <w:sz w:val="24"/>
          <w:szCs w:val="24"/>
        </w:rPr>
        <w:lastRenderedPageBreak/>
        <w:t xml:space="preserve">trakcie kolejnych badań, sprawdzono, czy włączenie </w:t>
      </w:r>
      <w:proofErr w:type="spellStart"/>
      <w:r w:rsidRPr="02602357">
        <w:rPr>
          <w:rFonts w:ascii="Times New Roman" w:eastAsia="Times New Roman" w:hAnsi="Times New Roman" w:cs="Times New Roman"/>
          <w:color w:val="000000" w:themeColor="text1"/>
          <w:sz w:val="24"/>
          <w:szCs w:val="24"/>
        </w:rPr>
        <w:t>ultradzwięków</w:t>
      </w:r>
      <w:proofErr w:type="spellEnd"/>
      <w:r w:rsidRPr="02602357">
        <w:rPr>
          <w:rFonts w:ascii="Times New Roman" w:eastAsia="Times New Roman" w:hAnsi="Times New Roman" w:cs="Times New Roman"/>
          <w:color w:val="000000" w:themeColor="text1"/>
          <w:sz w:val="24"/>
          <w:szCs w:val="24"/>
        </w:rPr>
        <w:t xml:space="preserve">, jak i czas trwania tego procesu wpłynie na wydajność ekstrakcji </w:t>
      </w:r>
      <w:proofErr w:type="spellStart"/>
      <w:r w:rsidRPr="02602357">
        <w:rPr>
          <w:rFonts w:ascii="Times New Roman" w:eastAsia="Times New Roman" w:hAnsi="Times New Roman" w:cs="Times New Roman"/>
          <w:color w:val="000000" w:themeColor="text1"/>
          <w:sz w:val="24"/>
          <w:szCs w:val="24"/>
        </w:rPr>
        <w:t>docetakselu</w:t>
      </w:r>
      <w:proofErr w:type="spellEnd"/>
      <w:r w:rsidRPr="02602357">
        <w:rPr>
          <w:rFonts w:ascii="Times New Roman" w:eastAsia="Times New Roman" w:hAnsi="Times New Roman" w:cs="Times New Roman"/>
          <w:color w:val="000000" w:themeColor="text1"/>
          <w:sz w:val="24"/>
          <w:szCs w:val="24"/>
        </w:rPr>
        <w:t xml:space="preserve"> z próbek biologicznych. Ten parametr testowano w różnych przedziałach czasach (0, 0,5, 1, 2, 5 min) i wykazano, że wydajność ekstrakcji była najwyższa wówczas, gdy zastosowano 0,5 min </w:t>
      </w:r>
      <w:proofErr w:type="spellStart"/>
      <w:r w:rsidRPr="02602357">
        <w:rPr>
          <w:rFonts w:ascii="Times New Roman" w:eastAsia="Times New Roman" w:hAnsi="Times New Roman" w:cs="Times New Roman"/>
          <w:color w:val="000000" w:themeColor="text1"/>
          <w:sz w:val="24"/>
          <w:szCs w:val="24"/>
        </w:rPr>
        <w:t>sonifkację</w:t>
      </w:r>
      <w:proofErr w:type="spellEnd"/>
      <w:r w:rsidRPr="02602357">
        <w:rPr>
          <w:rFonts w:ascii="Times New Roman" w:eastAsia="Times New Roman" w:hAnsi="Times New Roman" w:cs="Times New Roman"/>
          <w:color w:val="000000" w:themeColor="text1"/>
          <w:sz w:val="24"/>
          <w:szCs w:val="24"/>
        </w:rPr>
        <w:t xml:space="preserve"> próbki, która po upływnie kolejnych minut znacząco spadała (Fig. 2S. w </w:t>
      </w:r>
      <w:proofErr w:type="spellStart"/>
      <w:r w:rsidRPr="02602357">
        <w:rPr>
          <w:rFonts w:ascii="Times New Roman" w:eastAsia="Times New Roman" w:hAnsi="Times New Roman" w:cs="Times New Roman"/>
          <w:color w:val="000000" w:themeColor="text1"/>
          <w:sz w:val="24"/>
          <w:szCs w:val="24"/>
        </w:rPr>
        <w:t>Supplementary</w:t>
      </w:r>
      <w:proofErr w:type="spellEnd"/>
      <w:r w:rsidRPr="02602357">
        <w:rPr>
          <w:rFonts w:ascii="Times New Roman" w:eastAsia="Times New Roman" w:hAnsi="Times New Roman" w:cs="Times New Roman"/>
          <w:color w:val="000000" w:themeColor="text1"/>
          <w:sz w:val="24"/>
          <w:szCs w:val="24"/>
        </w:rPr>
        <w:t xml:space="preserve"> Data), co może świadczyć o degradacji badanej substancji. Zatem, do ostatecznego protokołu przygotowania próbek włączono etap </w:t>
      </w:r>
      <w:proofErr w:type="spellStart"/>
      <w:r w:rsidRPr="02602357">
        <w:rPr>
          <w:rFonts w:ascii="Times New Roman" w:eastAsia="Times New Roman" w:hAnsi="Times New Roman" w:cs="Times New Roman"/>
          <w:color w:val="000000" w:themeColor="text1"/>
          <w:sz w:val="24"/>
          <w:szCs w:val="24"/>
        </w:rPr>
        <w:t>sonifikacji</w:t>
      </w:r>
      <w:proofErr w:type="spellEnd"/>
      <w:r w:rsidRPr="02602357">
        <w:rPr>
          <w:rFonts w:ascii="Times New Roman" w:eastAsia="Times New Roman" w:hAnsi="Times New Roman" w:cs="Times New Roman"/>
          <w:color w:val="000000" w:themeColor="text1"/>
          <w:sz w:val="24"/>
          <w:szCs w:val="24"/>
        </w:rPr>
        <w:t xml:space="preserve"> trwający 0,5 min i kontynuowano badania dla próbek moczu. Częścią optymalizacji dla tej matrycy było sprawdzanie wpływu </w:t>
      </w:r>
      <w:proofErr w:type="spellStart"/>
      <w:r w:rsidRPr="02602357">
        <w:rPr>
          <w:rFonts w:ascii="Times New Roman" w:eastAsia="Times New Roman" w:hAnsi="Times New Roman" w:cs="Times New Roman"/>
          <w:color w:val="000000" w:themeColor="text1"/>
          <w:sz w:val="24"/>
          <w:szCs w:val="24"/>
        </w:rPr>
        <w:t>pH</w:t>
      </w:r>
      <w:proofErr w:type="spellEnd"/>
      <w:r w:rsidRPr="02602357">
        <w:rPr>
          <w:rFonts w:ascii="Times New Roman" w:eastAsia="Times New Roman" w:hAnsi="Times New Roman" w:cs="Times New Roman"/>
          <w:color w:val="000000" w:themeColor="text1"/>
          <w:sz w:val="24"/>
          <w:szCs w:val="24"/>
        </w:rPr>
        <w:t xml:space="preserve"> (3,0, 7,0, 10,0) na wydajność procesu ekstrakcji </w:t>
      </w:r>
      <w:proofErr w:type="spellStart"/>
      <w:r w:rsidRPr="02602357">
        <w:rPr>
          <w:rFonts w:ascii="Times New Roman" w:eastAsia="Times New Roman" w:hAnsi="Times New Roman" w:cs="Times New Roman"/>
          <w:color w:val="000000" w:themeColor="text1"/>
          <w:sz w:val="24"/>
          <w:szCs w:val="24"/>
        </w:rPr>
        <w:t>docetakselu</w:t>
      </w:r>
      <w:proofErr w:type="spellEnd"/>
      <w:r w:rsidRPr="02602357">
        <w:rPr>
          <w:rFonts w:ascii="Times New Roman" w:eastAsia="Times New Roman" w:hAnsi="Times New Roman" w:cs="Times New Roman"/>
          <w:color w:val="000000" w:themeColor="text1"/>
          <w:sz w:val="24"/>
          <w:szCs w:val="24"/>
        </w:rPr>
        <w:t xml:space="preserve"> z tego materiału biologicznego. Na podstawie otrzymanych wyników stwierdzono, że zmiana </w:t>
      </w:r>
      <w:proofErr w:type="spellStart"/>
      <w:r w:rsidRPr="02602357">
        <w:rPr>
          <w:rFonts w:ascii="Times New Roman" w:eastAsia="Times New Roman" w:hAnsi="Times New Roman" w:cs="Times New Roman"/>
          <w:color w:val="000000" w:themeColor="text1"/>
          <w:sz w:val="24"/>
          <w:szCs w:val="24"/>
        </w:rPr>
        <w:t>pH</w:t>
      </w:r>
      <w:proofErr w:type="spellEnd"/>
      <w:r w:rsidRPr="02602357">
        <w:rPr>
          <w:rFonts w:ascii="Times New Roman" w:eastAsia="Times New Roman" w:hAnsi="Times New Roman" w:cs="Times New Roman"/>
          <w:color w:val="000000" w:themeColor="text1"/>
          <w:sz w:val="24"/>
          <w:szCs w:val="24"/>
        </w:rPr>
        <w:t xml:space="preserve"> nie wpływa na zwiększenie wydajności ekstrakcji. Zatem, neutralne </w:t>
      </w:r>
      <w:proofErr w:type="spellStart"/>
      <w:r w:rsidRPr="02602357">
        <w:rPr>
          <w:rFonts w:ascii="Times New Roman" w:eastAsia="Times New Roman" w:hAnsi="Times New Roman" w:cs="Times New Roman"/>
          <w:color w:val="000000" w:themeColor="text1"/>
          <w:sz w:val="24"/>
          <w:szCs w:val="24"/>
        </w:rPr>
        <w:t>pH</w:t>
      </w:r>
      <w:proofErr w:type="spellEnd"/>
      <w:r w:rsidRPr="02602357">
        <w:rPr>
          <w:rFonts w:ascii="Times New Roman" w:eastAsia="Times New Roman" w:hAnsi="Times New Roman" w:cs="Times New Roman"/>
          <w:color w:val="000000" w:themeColor="text1"/>
          <w:sz w:val="24"/>
          <w:szCs w:val="24"/>
        </w:rPr>
        <w:t xml:space="preserve"> próbki biologicznej przyjęto jako optymalne. </w:t>
      </w:r>
    </w:p>
    <w:p w14:paraId="68807785" w14:textId="371EAFF3" w:rsidR="4EF80E68" w:rsidRPr="00E11754" w:rsidRDefault="00252CFB" w:rsidP="424734AD">
      <w:pPr>
        <w:spacing w:line="360" w:lineRule="auto"/>
        <w:jc w:val="both"/>
        <w:rPr>
          <w:rFonts w:ascii="Times New Roman" w:eastAsia="Times New Roman" w:hAnsi="Times New Roman" w:cs="Times New Roman"/>
          <w:color w:val="000000" w:themeColor="text1"/>
          <w:sz w:val="24"/>
          <w:szCs w:val="24"/>
        </w:rPr>
      </w:pPr>
      <w:r w:rsidRPr="00E11754">
        <w:rPr>
          <w:rFonts w:ascii="Times New Roman" w:eastAsia="Times New Roman" w:hAnsi="Times New Roman" w:cs="Times New Roman"/>
          <w:color w:val="000000" w:themeColor="text1"/>
          <w:sz w:val="24"/>
          <w:szCs w:val="24"/>
        </w:rPr>
        <w:tab/>
      </w:r>
      <w:r w:rsidR="4EF80E68" w:rsidRPr="00E11754">
        <w:rPr>
          <w:rFonts w:ascii="Times New Roman" w:eastAsia="Times New Roman" w:hAnsi="Times New Roman" w:cs="Times New Roman"/>
          <w:color w:val="000000" w:themeColor="text1"/>
          <w:sz w:val="24"/>
          <w:szCs w:val="24"/>
        </w:rPr>
        <w:t xml:space="preserve">W celu weryfikacji przydatności opracowanej procedury UA-DLLME w połączeniu z LC-MS/MS do </w:t>
      </w:r>
      <w:r w:rsidR="00AD6AD2" w:rsidRPr="00E11754">
        <w:rPr>
          <w:rFonts w:ascii="Times New Roman" w:eastAsia="Times New Roman" w:hAnsi="Times New Roman" w:cs="Times New Roman"/>
          <w:color w:val="000000" w:themeColor="text1"/>
          <w:sz w:val="24"/>
          <w:szCs w:val="24"/>
        </w:rPr>
        <w:t>oznaczeń</w:t>
      </w:r>
      <w:r w:rsidR="4EF80E68" w:rsidRPr="00E11754">
        <w:rPr>
          <w:rFonts w:ascii="Times New Roman" w:eastAsia="Times New Roman" w:hAnsi="Times New Roman" w:cs="Times New Roman"/>
          <w:color w:val="000000" w:themeColor="text1"/>
          <w:sz w:val="24"/>
          <w:szCs w:val="24"/>
        </w:rPr>
        <w:t xml:space="preserve"> </w:t>
      </w:r>
      <w:proofErr w:type="spellStart"/>
      <w:r w:rsidR="4EF80E68" w:rsidRPr="00E11754">
        <w:rPr>
          <w:rFonts w:ascii="Times New Roman" w:eastAsia="Times New Roman" w:hAnsi="Times New Roman" w:cs="Times New Roman"/>
          <w:color w:val="000000" w:themeColor="text1"/>
          <w:sz w:val="24"/>
          <w:szCs w:val="24"/>
        </w:rPr>
        <w:t>docetakselu</w:t>
      </w:r>
      <w:proofErr w:type="spellEnd"/>
      <w:r w:rsidR="4EF80E68" w:rsidRPr="00E11754">
        <w:rPr>
          <w:rFonts w:ascii="Times New Roman" w:eastAsia="Times New Roman" w:hAnsi="Times New Roman" w:cs="Times New Roman"/>
          <w:color w:val="000000" w:themeColor="text1"/>
          <w:sz w:val="24"/>
          <w:szCs w:val="24"/>
        </w:rPr>
        <w:t xml:space="preserve"> w osoczu i moczu, poddaną ją walidacji </w:t>
      </w:r>
      <w:r w:rsidR="424734AD" w:rsidRPr="00E11754">
        <w:rPr>
          <w:rFonts w:ascii="Times New Roman" w:eastAsia="Times New Roman" w:hAnsi="Times New Roman" w:cs="Times New Roman"/>
          <w:color w:val="000000" w:themeColor="text1"/>
          <w:sz w:val="24"/>
          <w:szCs w:val="24"/>
        </w:rPr>
        <w:t>zgodnie z wymaganiami FDA oraz ICH. Potwierdzono</w:t>
      </w:r>
      <w:r w:rsidR="4EF80E68" w:rsidRPr="00E11754">
        <w:rPr>
          <w:rFonts w:ascii="Times New Roman" w:eastAsia="Times New Roman" w:hAnsi="Times New Roman" w:cs="Times New Roman"/>
          <w:color w:val="000000" w:themeColor="text1"/>
          <w:sz w:val="24"/>
          <w:szCs w:val="24"/>
        </w:rPr>
        <w:t xml:space="preserve"> jej selektywność (Fig. S1. w </w:t>
      </w:r>
      <w:proofErr w:type="spellStart"/>
      <w:r w:rsidR="4EF80E68" w:rsidRPr="00E11754">
        <w:rPr>
          <w:rFonts w:ascii="Times New Roman" w:eastAsia="Times New Roman" w:hAnsi="Times New Roman" w:cs="Times New Roman"/>
          <w:color w:val="000000" w:themeColor="text1"/>
          <w:sz w:val="24"/>
          <w:szCs w:val="24"/>
        </w:rPr>
        <w:t>Supplementary</w:t>
      </w:r>
      <w:proofErr w:type="spellEnd"/>
      <w:r w:rsidR="4EF80E68" w:rsidRPr="00E11754">
        <w:rPr>
          <w:rFonts w:ascii="Times New Roman" w:eastAsia="Times New Roman" w:hAnsi="Times New Roman" w:cs="Times New Roman"/>
          <w:color w:val="000000" w:themeColor="text1"/>
          <w:sz w:val="24"/>
          <w:szCs w:val="24"/>
        </w:rPr>
        <w:t xml:space="preserve"> Data), liniowości </w:t>
      </w:r>
      <w:r w:rsidR="424734AD" w:rsidRPr="00E11754">
        <w:rPr>
          <w:rFonts w:ascii="Times New Roman" w:eastAsia="Times New Roman" w:hAnsi="Times New Roman" w:cs="Times New Roman"/>
          <w:color w:val="000000" w:themeColor="text1"/>
          <w:sz w:val="24"/>
          <w:szCs w:val="24"/>
        </w:rPr>
        <w:t xml:space="preserve">w zakresie 2,5-2000 </w:t>
      </w:r>
      <w:proofErr w:type="spellStart"/>
      <w:r w:rsidR="424734AD" w:rsidRPr="00E11754">
        <w:rPr>
          <w:rFonts w:ascii="Times New Roman" w:eastAsia="Times New Roman" w:hAnsi="Times New Roman" w:cs="Times New Roman"/>
          <w:color w:val="000000" w:themeColor="text1"/>
          <w:sz w:val="24"/>
          <w:szCs w:val="24"/>
        </w:rPr>
        <w:t>ng</w:t>
      </w:r>
      <w:proofErr w:type="spellEnd"/>
      <w:r w:rsidR="424734AD" w:rsidRPr="00E11754">
        <w:rPr>
          <w:rFonts w:ascii="Times New Roman" w:eastAsia="Times New Roman" w:hAnsi="Times New Roman" w:cs="Times New Roman"/>
          <w:color w:val="000000" w:themeColor="text1"/>
          <w:sz w:val="24"/>
          <w:szCs w:val="24"/>
        </w:rPr>
        <w:t xml:space="preserve">/ml dla prób osocza oraz od 5 do 2000 </w:t>
      </w:r>
      <w:proofErr w:type="spellStart"/>
      <w:r w:rsidR="424734AD" w:rsidRPr="00E11754">
        <w:rPr>
          <w:rFonts w:ascii="Times New Roman" w:eastAsia="Times New Roman" w:hAnsi="Times New Roman" w:cs="Times New Roman"/>
          <w:color w:val="000000" w:themeColor="text1"/>
          <w:sz w:val="24"/>
          <w:szCs w:val="24"/>
        </w:rPr>
        <w:t>ng</w:t>
      </w:r>
      <w:proofErr w:type="spellEnd"/>
      <w:r w:rsidR="424734AD" w:rsidRPr="00E11754">
        <w:rPr>
          <w:rFonts w:ascii="Times New Roman" w:eastAsia="Times New Roman" w:hAnsi="Times New Roman" w:cs="Times New Roman"/>
          <w:color w:val="000000" w:themeColor="text1"/>
          <w:sz w:val="24"/>
          <w:szCs w:val="24"/>
        </w:rPr>
        <w:t>/ml</w:t>
      </w:r>
      <w:r w:rsidR="4EF80E68" w:rsidRPr="00E11754">
        <w:rPr>
          <w:rFonts w:ascii="Times New Roman" w:eastAsia="Times New Roman" w:hAnsi="Times New Roman" w:cs="Times New Roman"/>
          <w:color w:val="000000" w:themeColor="text1"/>
          <w:sz w:val="24"/>
          <w:szCs w:val="24"/>
        </w:rPr>
        <w:t xml:space="preserve"> dla prób moczu, a także określono i parametry LOQ i LOD, które w przypadku </w:t>
      </w:r>
      <w:r w:rsidR="424734AD" w:rsidRPr="00E11754">
        <w:rPr>
          <w:rFonts w:ascii="Times New Roman" w:eastAsia="Times New Roman" w:hAnsi="Times New Roman" w:cs="Times New Roman"/>
          <w:color w:val="000000" w:themeColor="text1"/>
          <w:sz w:val="24"/>
          <w:szCs w:val="24"/>
        </w:rPr>
        <w:t xml:space="preserve">prób osocza wynosiły 1 i 2,5 </w:t>
      </w:r>
      <w:proofErr w:type="spellStart"/>
      <w:r w:rsidR="424734AD" w:rsidRPr="00E11754">
        <w:rPr>
          <w:rFonts w:ascii="Times New Roman" w:eastAsia="Times New Roman" w:hAnsi="Times New Roman" w:cs="Times New Roman"/>
          <w:color w:val="000000" w:themeColor="text1"/>
          <w:sz w:val="24"/>
          <w:szCs w:val="24"/>
        </w:rPr>
        <w:t>ng</w:t>
      </w:r>
      <w:proofErr w:type="spellEnd"/>
      <w:r w:rsidR="424734AD" w:rsidRPr="00E11754">
        <w:rPr>
          <w:rFonts w:ascii="Times New Roman" w:eastAsia="Times New Roman" w:hAnsi="Times New Roman" w:cs="Times New Roman"/>
          <w:color w:val="000000" w:themeColor="text1"/>
          <w:sz w:val="24"/>
          <w:szCs w:val="24"/>
        </w:rPr>
        <w:t xml:space="preserve">/ml, a dla moczu były na poziomie 2,5 i 5 </w:t>
      </w:r>
      <w:proofErr w:type="spellStart"/>
      <w:r w:rsidR="424734AD" w:rsidRPr="00E11754">
        <w:rPr>
          <w:rFonts w:ascii="Times New Roman" w:eastAsia="Times New Roman" w:hAnsi="Times New Roman" w:cs="Times New Roman"/>
          <w:color w:val="000000" w:themeColor="text1"/>
          <w:sz w:val="24"/>
          <w:szCs w:val="24"/>
        </w:rPr>
        <w:t>ng</w:t>
      </w:r>
      <w:proofErr w:type="spellEnd"/>
      <w:r w:rsidR="424734AD" w:rsidRPr="00E11754">
        <w:rPr>
          <w:rFonts w:ascii="Times New Roman" w:eastAsia="Times New Roman" w:hAnsi="Times New Roman" w:cs="Times New Roman"/>
          <w:color w:val="000000" w:themeColor="text1"/>
          <w:sz w:val="24"/>
          <w:szCs w:val="24"/>
        </w:rPr>
        <w:t>/ml (Tabela 2. w publikacji 5). Ponadto, w</w:t>
      </w:r>
      <w:r w:rsidR="4EF80E68" w:rsidRPr="00E11754">
        <w:rPr>
          <w:rFonts w:ascii="Times New Roman" w:eastAsia="Times New Roman" w:hAnsi="Times New Roman" w:cs="Times New Roman"/>
          <w:color w:val="000000" w:themeColor="text1"/>
          <w:sz w:val="24"/>
          <w:szCs w:val="24"/>
        </w:rPr>
        <w:t>yznaczono precyzję i dokładnoś</w:t>
      </w:r>
      <w:r w:rsidR="2100169C" w:rsidRPr="00E11754">
        <w:rPr>
          <w:rFonts w:ascii="Times New Roman" w:eastAsia="Times New Roman" w:hAnsi="Times New Roman" w:cs="Times New Roman"/>
          <w:color w:val="000000" w:themeColor="text1"/>
          <w:sz w:val="24"/>
          <w:szCs w:val="24"/>
        </w:rPr>
        <w:t>ć</w:t>
      </w:r>
      <w:r w:rsidR="4EF80E68" w:rsidRPr="00E11754">
        <w:rPr>
          <w:rFonts w:ascii="Times New Roman" w:eastAsia="Times New Roman" w:hAnsi="Times New Roman" w:cs="Times New Roman"/>
          <w:color w:val="000000" w:themeColor="text1"/>
          <w:sz w:val="24"/>
          <w:szCs w:val="24"/>
        </w:rPr>
        <w:t xml:space="preserve"> metody, których wartości nie przekraczały wymaganych kryteriów akceptacji (Tabela 3. w publikacji 5). Dodatkowo, badania stabilności wskazały, że </w:t>
      </w:r>
      <w:proofErr w:type="spellStart"/>
      <w:r w:rsidR="424734AD" w:rsidRPr="00E11754">
        <w:rPr>
          <w:rFonts w:ascii="Times New Roman" w:eastAsia="Times New Roman" w:hAnsi="Times New Roman" w:cs="Times New Roman"/>
          <w:color w:val="000000" w:themeColor="text1"/>
          <w:sz w:val="24"/>
          <w:szCs w:val="24"/>
        </w:rPr>
        <w:t>docetaksel</w:t>
      </w:r>
      <w:proofErr w:type="spellEnd"/>
      <w:r w:rsidR="424734AD" w:rsidRPr="00E11754">
        <w:rPr>
          <w:rFonts w:ascii="Times New Roman" w:eastAsia="Times New Roman" w:hAnsi="Times New Roman" w:cs="Times New Roman"/>
          <w:color w:val="000000" w:themeColor="text1"/>
          <w:sz w:val="24"/>
          <w:szCs w:val="24"/>
        </w:rPr>
        <w:t xml:space="preserve"> jest substancją trwałą w testowanych warunkach eksperymentalnych (Tabela S1. w </w:t>
      </w:r>
      <w:proofErr w:type="spellStart"/>
      <w:r w:rsidR="424734AD" w:rsidRPr="00E11754">
        <w:rPr>
          <w:rFonts w:ascii="Times New Roman" w:eastAsia="Times New Roman" w:hAnsi="Times New Roman" w:cs="Times New Roman"/>
          <w:color w:val="000000" w:themeColor="text1"/>
          <w:sz w:val="24"/>
          <w:szCs w:val="24"/>
        </w:rPr>
        <w:t>Supplementary</w:t>
      </w:r>
      <w:proofErr w:type="spellEnd"/>
      <w:r w:rsidR="424734AD" w:rsidRPr="00E11754">
        <w:rPr>
          <w:rFonts w:ascii="Times New Roman" w:eastAsia="Times New Roman" w:hAnsi="Times New Roman" w:cs="Times New Roman"/>
          <w:color w:val="000000" w:themeColor="text1"/>
          <w:sz w:val="24"/>
          <w:szCs w:val="24"/>
        </w:rPr>
        <w:t xml:space="preserve"> Data). </w:t>
      </w:r>
    </w:p>
    <w:p w14:paraId="1E3E2BD3" w14:textId="7786774D" w:rsidR="4EF80E68" w:rsidRPr="00E11754" w:rsidRDefault="00252CFB" w:rsidP="424734AD">
      <w:pPr>
        <w:spacing w:line="360" w:lineRule="auto"/>
        <w:jc w:val="both"/>
        <w:rPr>
          <w:rFonts w:ascii="Times New Roman" w:eastAsia="Times New Roman" w:hAnsi="Times New Roman" w:cs="Times New Roman"/>
          <w:color w:val="000000" w:themeColor="text1"/>
          <w:sz w:val="24"/>
          <w:szCs w:val="24"/>
        </w:rPr>
      </w:pPr>
      <w:r w:rsidRPr="00E11754">
        <w:rPr>
          <w:rFonts w:ascii="Times New Roman" w:eastAsia="Times New Roman" w:hAnsi="Times New Roman" w:cs="Times New Roman"/>
          <w:color w:val="000000" w:themeColor="text1"/>
          <w:sz w:val="24"/>
          <w:szCs w:val="24"/>
        </w:rPr>
        <w:tab/>
      </w:r>
      <w:r w:rsidR="4EF80E68" w:rsidRPr="00E11754">
        <w:rPr>
          <w:rFonts w:ascii="Times New Roman" w:eastAsia="Times New Roman" w:hAnsi="Times New Roman" w:cs="Times New Roman"/>
          <w:color w:val="000000" w:themeColor="text1"/>
          <w:sz w:val="24"/>
          <w:szCs w:val="24"/>
        </w:rPr>
        <w:t xml:space="preserve">Po </w:t>
      </w:r>
      <w:proofErr w:type="spellStart"/>
      <w:r w:rsidR="4EF80E68" w:rsidRPr="00E11754">
        <w:rPr>
          <w:rFonts w:ascii="Times New Roman" w:eastAsia="Times New Roman" w:hAnsi="Times New Roman" w:cs="Times New Roman"/>
          <w:color w:val="000000" w:themeColor="text1"/>
          <w:sz w:val="24"/>
          <w:szCs w:val="24"/>
        </w:rPr>
        <w:t>zwalidowaniu</w:t>
      </w:r>
      <w:proofErr w:type="spellEnd"/>
      <w:r w:rsidR="4EF80E68" w:rsidRPr="00E11754">
        <w:rPr>
          <w:rFonts w:ascii="Times New Roman" w:eastAsia="Times New Roman" w:hAnsi="Times New Roman" w:cs="Times New Roman"/>
          <w:color w:val="000000" w:themeColor="text1"/>
          <w:sz w:val="24"/>
          <w:szCs w:val="24"/>
        </w:rPr>
        <w:t xml:space="preserve"> opracowanej metody UA-DLLME-LC-MS/MS zastosowano tę procedurę do analizy rzeczywistych próbek osocza i moczu pobranych od 12-letniego pacjenta chorego na AS serca z przerzutami do płuc oraz węzłów chłonnych, który otrzymywał </w:t>
      </w:r>
      <w:proofErr w:type="spellStart"/>
      <w:r w:rsidR="4EF80E68" w:rsidRPr="00E11754">
        <w:rPr>
          <w:rFonts w:ascii="Times New Roman" w:eastAsia="Times New Roman" w:hAnsi="Times New Roman" w:cs="Times New Roman"/>
          <w:color w:val="000000" w:themeColor="text1"/>
          <w:sz w:val="24"/>
          <w:szCs w:val="24"/>
        </w:rPr>
        <w:t>docetaksel</w:t>
      </w:r>
      <w:proofErr w:type="spellEnd"/>
      <w:r w:rsidR="4EF80E68" w:rsidRPr="00E11754">
        <w:rPr>
          <w:rFonts w:ascii="Times New Roman" w:eastAsia="Times New Roman" w:hAnsi="Times New Roman" w:cs="Times New Roman"/>
          <w:color w:val="000000" w:themeColor="text1"/>
          <w:sz w:val="24"/>
          <w:szCs w:val="24"/>
        </w:rPr>
        <w:t xml:space="preserve"> w dawce 45 mg (30 mg/m</w:t>
      </w:r>
      <w:r w:rsidR="4EF80E68" w:rsidRPr="00E11754">
        <w:rPr>
          <w:rFonts w:ascii="Times New Roman" w:eastAsia="Times New Roman" w:hAnsi="Times New Roman" w:cs="Times New Roman"/>
          <w:color w:val="000000" w:themeColor="text1"/>
          <w:sz w:val="24"/>
          <w:szCs w:val="24"/>
          <w:vertAlign w:val="superscript"/>
        </w:rPr>
        <w:t>2</w:t>
      </w:r>
      <w:r w:rsidR="4EF80E68" w:rsidRPr="00E11754">
        <w:rPr>
          <w:rFonts w:ascii="Times New Roman" w:eastAsia="Times New Roman" w:hAnsi="Times New Roman" w:cs="Times New Roman"/>
          <w:color w:val="000000" w:themeColor="text1"/>
          <w:sz w:val="24"/>
          <w:szCs w:val="24"/>
        </w:rPr>
        <w:t xml:space="preserve">) w ciągu 1 h wlewu dożylnego co trzy tygodnie. Próbki pobierano przez podaniem, w trakcie, jak i na koniec wlewu, a także do 72 h po podawaniu leku. Mocz pobierano przed podaniem leku, na końcu wlewu oraz do </w:t>
      </w:r>
      <w:r w:rsidR="424734AD" w:rsidRPr="00E11754">
        <w:rPr>
          <w:rFonts w:ascii="Times New Roman" w:eastAsia="Times New Roman" w:hAnsi="Times New Roman" w:cs="Times New Roman"/>
          <w:color w:val="000000" w:themeColor="text1"/>
          <w:sz w:val="24"/>
          <w:szCs w:val="24"/>
        </w:rPr>
        <w:t>72 h od podawan</w:t>
      </w:r>
      <w:r w:rsidR="2100169C" w:rsidRPr="00E11754">
        <w:rPr>
          <w:rFonts w:ascii="Times New Roman" w:eastAsia="Times New Roman" w:hAnsi="Times New Roman" w:cs="Times New Roman"/>
          <w:color w:val="000000" w:themeColor="text1"/>
          <w:sz w:val="24"/>
          <w:szCs w:val="24"/>
        </w:rPr>
        <w:t xml:space="preserve">ia tego </w:t>
      </w:r>
      <w:proofErr w:type="spellStart"/>
      <w:r w:rsidR="424734AD" w:rsidRPr="00E11754">
        <w:rPr>
          <w:rFonts w:ascii="Times New Roman" w:eastAsia="Times New Roman" w:hAnsi="Times New Roman" w:cs="Times New Roman"/>
          <w:color w:val="000000" w:themeColor="text1"/>
          <w:sz w:val="24"/>
          <w:szCs w:val="24"/>
        </w:rPr>
        <w:t>cytostatyku</w:t>
      </w:r>
      <w:proofErr w:type="spellEnd"/>
      <w:r w:rsidR="424734AD" w:rsidRPr="00E11754">
        <w:rPr>
          <w:rFonts w:ascii="Times New Roman" w:eastAsia="Times New Roman" w:hAnsi="Times New Roman" w:cs="Times New Roman"/>
          <w:color w:val="000000" w:themeColor="text1"/>
          <w:sz w:val="24"/>
          <w:szCs w:val="24"/>
        </w:rPr>
        <w:t xml:space="preserve">. </w:t>
      </w:r>
    </w:p>
    <w:p w14:paraId="0657160F" w14:textId="4AEE6BC4" w:rsidR="0029277C" w:rsidRPr="00E11754" w:rsidRDefault="00252CFB" w:rsidP="2100169C">
      <w:pPr>
        <w:spacing w:line="360" w:lineRule="auto"/>
        <w:jc w:val="both"/>
        <w:rPr>
          <w:rFonts w:ascii="Times New Roman" w:hAnsi="Times New Roman" w:cs="Times New Roman"/>
          <w:color w:val="222222"/>
          <w:sz w:val="24"/>
          <w:szCs w:val="24"/>
        </w:rPr>
      </w:pPr>
      <w:r w:rsidRPr="00E11754">
        <w:rPr>
          <w:rFonts w:ascii="Times New Roman" w:eastAsia="Times New Roman" w:hAnsi="Times New Roman" w:cs="Times New Roman"/>
          <w:color w:val="000000" w:themeColor="text1"/>
          <w:sz w:val="24"/>
          <w:szCs w:val="24"/>
        </w:rPr>
        <w:tab/>
      </w:r>
      <w:r w:rsidR="4EF80E68" w:rsidRPr="00E11754">
        <w:rPr>
          <w:rFonts w:ascii="Times New Roman" w:eastAsia="Times New Roman" w:hAnsi="Times New Roman" w:cs="Times New Roman"/>
          <w:color w:val="000000" w:themeColor="text1"/>
          <w:sz w:val="24"/>
          <w:szCs w:val="24"/>
        </w:rPr>
        <w:t xml:space="preserve">Wynikiem tych analiz było otrzymanie profili stężeń </w:t>
      </w:r>
      <w:proofErr w:type="spellStart"/>
      <w:r w:rsidR="4EF80E68" w:rsidRPr="00E11754">
        <w:rPr>
          <w:rFonts w:ascii="Times New Roman" w:eastAsia="Times New Roman" w:hAnsi="Times New Roman" w:cs="Times New Roman"/>
          <w:color w:val="000000" w:themeColor="text1"/>
          <w:sz w:val="24"/>
          <w:szCs w:val="24"/>
        </w:rPr>
        <w:t>docetakselu</w:t>
      </w:r>
      <w:proofErr w:type="spellEnd"/>
      <w:r w:rsidR="4EF80E68" w:rsidRPr="00E11754">
        <w:rPr>
          <w:rFonts w:ascii="Times New Roman" w:eastAsia="Times New Roman" w:hAnsi="Times New Roman" w:cs="Times New Roman"/>
          <w:color w:val="000000" w:themeColor="text1"/>
          <w:sz w:val="24"/>
          <w:szCs w:val="24"/>
        </w:rPr>
        <w:t xml:space="preserve"> w osoczu i moczu pacjenta do 72 h od momentu rozpoczęcia podania leku. Na ich podstawie ustalono, że w przypadku osocza najwyższe stężenie </w:t>
      </w:r>
      <w:proofErr w:type="spellStart"/>
      <w:r w:rsidR="4EF80E68" w:rsidRPr="00E11754">
        <w:rPr>
          <w:rFonts w:ascii="Times New Roman" w:eastAsia="Times New Roman" w:hAnsi="Times New Roman" w:cs="Times New Roman"/>
          <w:color w:val="000000" w:themeColor="text1"/>
          <w:sz w:val="24"/>
          <w:szCs w:val="24"/>
        </w:rPr>
        <w:t>docetakselu</w:t>
      </w:r>
      <w:proofErr w:type="spellEnd"/>
      <w:r w:rsidR="4EF80E68" w:rsidRPr="00E11754">
        <w:rPr>
          <w:rFonts w:ascii="Times New Roman" w:eastAsia="Times New Roman" w:hAnsi="Times New Roman" w:cs="Times New Roman"/>
          <w:color w:val="000000" w:themeColor="text1"/>
          <w:sz w:val="24"/>
          <w:szCs w:val="24"/>
        </w:rPr>
        <w:t xml:space="preserve"> odnotowano na zakończenie wlewu (4336,51 </w:t>
      </w:r>
      <w:proofErr w:type="spellStart"/>
      <w:r w:rsidR="4EF80E68" w:rsidRPr="00E11754">
        <w:rPr>
          <w:rFonts w:ascii="Times New Roman" w:eastAsia="Times New Roman" w:hAnsi="Times New Roman" w:cs="Times New Roman"/>
          <w:color w:val="000000" w:themeColor="text1"/>
          <w:sz w:val="24"/>
          <w:szCs w:val="24"/>
        </w:rPr>
        <w:t>ng</w:t>
      </w:r>
      <w:proofErr w:type="spellEnd"/>
      <w:r w:rsidR="4EF80E68" w:rsidRPr="00E11754">
        <w:rPr>
          <w:rFonts w:ascii="Times New Roman" w:eastAsia="Times New Roman" w:hAnsi="Times New Roman" w:cs="Times New Roman"/>
          <w:color w:val="000000" w:themeColor="text1"/>
          <w:sz w:val="24"/>
          <w:szCs w:val="24"/>
        </w:rPr>
        <w:t>/ml – 1 h) (Fig. 2. w publikacji 5). W kolejnych punktach czasowych</w:t>
      </w:r>
      <w:r w:rsidR="2100169C" w:rsidRPr="00E11754">
        <w:rPr>
          <w:rFonts w:ascii="Times New Roman" w:eastAsia="Times New Roman" w:hAnsi="Times New Roman" w:cs="Times New Roman"/>
          <w:color w:val="000000" w:themeColor="text1"/>
          <w:sz w:val="24"/>
          <w:szCs w:val="24"/>
        </w:rPr>
        <w:t>,</w:t>
      </w:r>
      <w:r w:rsidR="4EF80E68" w:rsidRPr="00E11754">
        <w:rPr>
          <w:rFonts w:ascii="Times New Roman" w:eastAsia="Times New Roman" w:hAnsi="Times New Roman" w:cs="Times New Roman"/>
          <w:color w:val="000000" w:themeColor="text1"/>
          <w:sz w:val="24"/>
          <w:szCs w:val="24"/>
        </w:rPr>
        <w:t xml:space="preserve"> stężenie </w:t>
      </w:r>
      <w:r w:rsidR="4EF80E68" w:rsidRPr="00E11754">
        <w:rPr>
          <w:rFonts w:ascii="Times New Roman" w:eastAsia="Times New Roman" w:hAnsi="Times New Roman" w:cs="Times New Roman"/>
          <w:color w:val="000000" w:themeColor="text1"/>
          <w:sz w:val="24"/>
          <w:szCs w:val="24"/>
        </w:rPr>
        <w:lastRenderedPageBreak/>
        <w:t>leku spadało do 8 h, a następnie minimalnie wzrosło i ponownie spadało do 15 h, aby w</w:t>
      </w:r>
      <w:r w:rsidR="2100169C" w:rsidRPr="00E11754">
        <w:rPr>
          <w:rFonts w:ascii="Times New Roman" w:eastAsia="Times New Roman" w:hAnsi="Times New Roman" w:cs="Times New Roman"/>
          <w:color w:val="000000" w:themeColor="text1"/>
          <w:sz w:val="24"/>
          <w:szCs w:val="24"/>
        </w:rPr>
        <w:t xml:space="preserve"> </w:t>
      </w:r>
      <w:r w:rsidR="4EF80E68" w:rsidRPr="00E11754">
        <w:rPr>
          <w:rFonts w:ascii="Times New Roman" w:eastAsia="Times New Roman" w:hAnsi="Times New Roman" w:cs="Times New Roman"/>
          <w:color w:val="000000" w:themeColor="text1"/>
          <w:sz w:val="24"/>
          <w:szCs w:val="24"/>
        </w:rPr>
        <w:t xml:space="preserve">72 h osiągnąć poziom 3,01 </w:t>
      </w:r>
      <w:proofErr w:type="spellStart"/>
      <w:r w:rsidR="4EF80E68" w:rsidRPr="00E11754">
        <w:rPr>
          <w:rFonts w:ascii="Times New Roman" w:eastAsia="Times New Roman" w:hAnsi="Times New Roman" w:cs="Times New Roman"/>
          <w:color w:val="000000" w:themeColor="text1"/>
          <w:sz w:val="24"/>
          <w:szCs w:val="24"/>
        </w:rPr>
        <w:t>ng</w:t>
      </w:r>
      <w:proofErr w:type="spellEnd"/>
      <w:r w:rsidR="4EF80E68" w:rsidRPr="00E11754">
        <w:rPr>
          <w:rFonts w:ascii="Times New Roman" w:eastAsia="Times New Roman" w:hAnsi="Times New Roman" w:cs="Times New Roman"/>
          <w:color w:val="000000" w:themeColor="text1"/>
          <w:sz w:val="24"/>
          <w:szCs w:val="24"/>
        </w:rPr>
        <w:t xml:space="preserve">/ml. W przypadku próbek moczu, </w:t>
      </w:r>
      <w:proofErr w:type="spellStart"/>
      <w:r w:rsidR="4EF80E68" w:rsidRPr="00E11754">
        <w:rPr>
          <w:rFonts w:ascii="Times New Roman" w:eastAsia="Times New Roman" w:hAnsi="Times New Roman" w:cs="Times New Roman"/>
          <w:color w:val="000000" w:themeColor="text1"/>
          <w:sz w:val="24"/>
          <w:szCs w:val="24"/>
        </w:rPr>
        <w:t>C</w:t>
      </w:r>
      <w:r w:rsidR="4EF80E68" w:rsidRPr="00E11754">
        <w:rPr>
          <w:rFonts w:ascii="Times New Roman" w:eastAsia="Times New Roman" w:hAnsi="Times New Roman" w:cs="Times New Roman"/>
          <w:color w:val="000000" w:themeColor="text1"/>
          <w:sz w:val="24"/>
          <w:szCs w:val="24"/>
          <w:vertAlign w:val="subscript"/>
        </w:rPr>
        <w:t>max</w:t>
      </w:r>
      <w:proofErr w:type="spellEnd"/>
      <w:r w:rsidR="4EF80E68" w:rsidRPr="00E11754">
        <w:rPr>
          <w:rFonts w:ascii="Times New Roman" w:eastAsia="Times New Roman" w:hAnsi="Times New Roman" w:cs="Times New Roman"/>
          <w:color w:val="000000" w:themeColor="text1"/>
          <w:sz w:val="24"/>
          <w:szCs w:val="24"/>
        </w:rPr>
        <w:t xml:space="preserve"> </w:t>
      </w:r>
      <w:proofErr w:type="spellStart"/>
      <w:r w:rsidR="4EF80E68" w:rsidRPr="00E11754">
        <w:rPr>
          <w:rFonts w:ascii="Times New Roman" w:eastAsia="Times New Roman" w:hAnsi="Times New Roman" w:cs="Times New Roman"/>
          <w:color w:val="000000" w:themeColor="text1"/>
          <w:sz w:val="24"/>
          <w:szCs w:val="24"/>
        </w:rPr>
        <w:t>docetakselu</w:t>
      </w:r>
      <w:proofErr w:type="spellEnd"/>
      <w:r w:rsidR="4EF80E68" w:rsidRPr="00E11754">
        <w:rPr>
          <w:rFonts w:ascii="Times New Roman" w:eastAsia="Times New Roman" w:hAnsi="Times New Roman" w:cs="Times New Roman"/>
          <w:color w:val="000000" w:themeColor="text1"/>
          <w:sz w:val="24"/>
          <w:szCs w:val="24"/>
        </w:rPr>
        <w:t xml:space="preserve"> oznaczono na koniec wlewu (1347,55 </w:t>
      </w:r>
      <w:proofErr w:type="spellStart"/>
      <w:r w:rsidR="4EF80E68" w:rsidRPr="00E11754">
        <w:rPr>
          <w:rFonts w:ascii="Times New Roman" w:eastAsia="Times New Roman" w:hAnsi="Times New Roman" w:cs="Times New Roman"/>
          <w:color w:val="000000" w:themeColor="text1"/>
          <w:sz w:val="24"/>
          <w:szCs w:val="24"/>
        </w:rPr>
        <w:t>ng</w:t>
      </w:r>
      <w:proofErr w:type="spellEnd"/>
      <w:r w:rsidR="4EF80E68" w:rsidRPr="00E11754">
        <w:rPr>
          <w:rFonts w:ascii="Times New Roman" w:eastAsia="Times New Roman" w:hAnsi="Times New Roman" w:cs="Times New Roman"/>
          <w:color w:val="000000" w:themeColor="text1"/>
          <w:sz w:val="24"/>
          <w:szCs w:val="24"/>
        </w:rPr>
        <w:t xml:space="preserve">/ml </w:t>
      </w:r>
      <w:r w:rsidR="6DC722B1" w:rsidRPr="6DC722B1">
        <w:rPr>
          <w:rFonts w:ascii="Times New Roman" w:eastAsia="Times New Roman" w:hAnsi="Times New Roman" w:cs="Times New Roman"/>
          <w:color w:val="000000" w:themeColor="text1"/>
          <w:sz w:val="24"/>
          <w:szCs w:val="24"/>
        </w:rPr>
        <w:t>–</w:t>
      </w:r>
      <w:r w:rsidR="4EF80E68" w:rsidRPr="00E11754">
        <w:rPr>
          <w:rFonts w:ascii="Times New Roman" w:eastAsia="Times New Roman" w:hAnsi="Times New Roman" w:cs="Times New Roman"/>
          <w:color w:val="000000" w:themeColor="text1"/>
          <w:sz w:val="24"/>
          <w:szCs w:val="24"/>
        </w:rPr>
        <w:t xml:space="preserve"> 1 h), które spadało do 10 h, aby ponownie </w:t>
      </w:r>
      <w:proofErr w:type="spellStart"/>
      <w:r w:rsidR="4EF80E68" w:rsidRPr="00E11754">
        <w:rPr>
          <w:rFonts w:ascii="Times New Roman" w:eastAsia="Times New Roman" w:hAnsi="Times New Roman" w:cs="Times New Roman"/>
          <w:color w:val="000000" w:themeColor="text1"/>
          <w:sz w:val="24"/>
          <w:szCs w:val="24"/>
        </w:rPr>
        <w:t>wzrasnąć</w:t>
      </w:r>
      <w:proofErr w:type="spellEnd"/>
      <w:r w:rsidR="4EF80E68" w:rsidRPr="00E11754">
        <w:rPr>
          <w:rFonts w:ascii="Times New Roman" w:eastAsia="Times New Roman" w:hAnsi="Times New Roman" w:cs="Times New Roman"/>
          <w:color w:val="000000" w:themeColor="text1"/>
          <w:sz w:val="24"/>
          <w:szCs w:val="24"/>
        </w:rPr>
        <w:t xml:space="preserve"> (22 h) i obniżyć się osiągając poziom 26,08 </w:t>
      </w:r>
      <w:proofErr w:type="spellStart"/>
      <w:r w:rsidR="4EF80E68" w:rsidRPr="00E11754">
        <w:rPr>
          <w:rFonts w:ascii="Times New Roman" w:eastAsia="Times New Roman" w:hAnsi="Times New Roman" w:cs="Times New Roman"/>
          <w:color w:val="000000" w:themeColor="text1"/>
          <w:sz w:val="24"/>
          <w:szCs w:val="24"/>
        </w:rPr>
        <w:t>ng</w:t>
      </w:r>
      <w:proofErr w:type="spellEnd"/>
      <w:r w:rsidR="4EF80E68" w:rsidRPr="00E11754">
        <w:rPr>
          <w:rFonts w:ascii="Times New Roman" w:eastAsia="Times New Roman" w:hAnsi="Times New Roman" w:cs="Times New Roman"/>
          <w:color w:val="000000" w:themeColor="text1"/>
          <w:sz w:val="24"/>
          <w:szCs w:val="24"/>
        </w:rPr>
        <w:t xml:space="preserve">/ml w ostatnim punkcie pomiarowym (72 h). Uzyskany profil potwierdził </w:t>
      </w:r>
      <w:proofErr w:type="spellStart"/>
      <w:r w:rsidR="4EF80E68" w:rsidRPr="00E11754">
        <w:rPr>
          <w:rFonts w:ascii="Times New Roman" w:eastAsia="Times New Roman" w:hAnsi="Times New Roman" w:cs="Times New Roman"/>
          <w:color w:val="000000" w:themeColor="text1"/>
          <w:sz w:val="24"/>
          <w:szCs w:val="24"/>
        </w:rPr>
        <w:t>trójkompartmentowy</w:t>
      </w:r>
      <w:proofErr w:type="spellEnd"/>
      <w:r w:rsidR="4EF80E68" w:rsidRPr="00E11754">
        <w:rPr>
          <w:rFonts w:ascii="Times New Roman" w:eastAsia="Times New Roman" w:hAnsi="Times New Roman" w:cs="Times New Roman"/>
          <w:color w:val="000000" w:themeColor="text1"/>
          <w:sz w:val="24"/>
          <w:szCs w:val="24"/>
        </w:rPr>
        <w:t xml:space="preserve"> model farmakokinetyczny </w:t>
      </w:r>
      <w:proofErr w:type="spellStart"/>
      <w:r w:rsidR="4EF80E68" w:rsidRPr="00E11754">
        <w:rPr>
          <w:rFonts w:ascii="Times New Roman" w:eastAsia="Times New Roman" w:hAnsi="Times New Roman" w:cs="Times New Roman"/>
          <w:color w:val="000000" w:themeColor="text1"/>
          <w:sz w:val="24"/>
          <w:szCs w:val="24"/>
        </w:rPr>
        <w:t>docetakselu</w:t>
      </w:r>
      <w:proofErr w:type="spellEnd"/>
      <w:r w:rsidR="4EF80E68" w:rsidRPr="00E11754">
        <w:rPr>
          <w:rFonts w:ascii="Times New Roman" w:eastAsia="Times New Roman" w:hAnsi="Times New Roman" w:cs="Times New Roman"/>
          <w:color w:val="000000" w:themeColor="text1"/>
          <w:sz w:val="24"/>
          <w:szCs w:val="24"/>
        </w:rPr>
        <w:t>, który już wcześniej opisano w literaturze</w:t>
      </w:r>
      <w:r w:rsidR="005E1EBF">
        <w:rPr>
          <w:rFonts w:ascii="Times New Roman" w:eastAsia="Times New Roman" w:hAnsi="Times New Roman" w:cs="Times New Roman"/>
          <w:color w:val="000000" w:themeColor="text1"/>
          <w:sz w:val="24"/>
          <w:szCs w:val="24"/>
        </w:rPr>
        <w:t xml:space="preserve"> </w:t>
      </w:r>
      <w:r w:rsidR="005E1EBF">
        <w:rPr>
          <w:rFonts w:ascii="Times New Roman" w:eastAsia="Times New Roman" w:hAnsi="Times New Roman" w:cs="Times New Roman"/>
          <w:color w:val="000000" w:themeColor="text1"/>
          <w:sz w:val="24"/>
          <w:szCs w:val="24"/>
        </w:rPr>
        <w:fldChar w:fldCharType="begin" w:fldLock="1"/>
      </w:r>
      <w:r w:rsidR="003F195C">
        <w:rPr>
          <w:rFonts w:ascii="Times New Roman" w:eastAsia="Times New Roman" w:hAnsi="Times New Roman" w:cs="Times New Roman"/>
          <w:color w:val="000000" w:themeColor="text1"/>
          <w:sz w:val="24"/>
          <w:szCs w:val="24"/>
        </w:rPr>
        <w:instrText>ADDIN CSL_CITATION {"citationItems":[{"id":"ITEM-1","itemData":{"DOI":"10.1016/j.jddst.2020.101959","ISBN":"9198185292","ISSN":"17732247","abstract":"Amongst the various microtubule-targeting agents, Docetaxel (DTX) has gained immense attention in cancer chemotherapy due to its good therapeutic index. DTX belongs to the class of taxane neoplastic agents, that has proven its cytotoxic potential and clinical efficacy against various malignancies such as breast cancer, lung cancer, ovarian cancer etc. It has the ability to induce polymerization of tubulin monomer and inhibit depolymerization leading to mitotic cell arrest in the G2/M phase of the cell cycle, thus causing cell death. It can also induce apoptotic cell death through the stimulation of phosphorylation of bcl-2. Though having a wide array of associated benefits, clinical application of DTX is still limited due to the accompanied side effects with it due to its non-specific targeted behavior. The review aims at providing every detailed aspect related to the pharmacokinetics, pharmacodynamics and mechanism of DTX in the treatment of breast cancer, non-small cell lung cancer and prostate cancer. It systemizes the recent application of various nanotechnology-based delivery systems that have been employed in the delivery of DTX for the treatment denouement of these cancers. The review also divulges information regarding the various combinations of anti-cancer agents with DTX that have been employed in the treatment of the above-mentioned cancers.","author":[{"dropping-particle":"","family":"Imran","given":"Mohammad","non-dropping-particle":"","parse-names":false,"suffix":""},{"dropping-particle":"","family":"Saleem","given":"Sadaf","non-dropping-particle":"","parse-names":false,"suffix":""},{"dropping-particle":"","family":"Chaudhuri","given":"Aiswarya","non-dropping-particle":"","parse-names":false,"suffix":""},{"dropping-particle":"","family":"Ali","given":"Javed","non-dropping-particle":"","parse-names":false,"suffix":""},{"dropping-particle":"","family":"Baboota","given":"Sanjula","non-dropping-particle":"","parse-names":false,"suffix":""}],"container-title":"Journal of Drug Delivery Science and Technology","id":"ITEM-1","issue":"August","issued":{"date-parts":[["2020"]]},"page":"101959","publisher":"Elsevier B.V.","title":"Docetaxel: An update on its molecular mechanisms, therapeutic trajectory and nanotechnology in the treatment of breast, lung and prostate cancer","type":"article-journal","volume":"60"},"uris":["http://www.mendeley.com/documents/?uuid=9516b251-88af-4fec-a468-b446232fe1d2"]}],"mendeley":{"formattedCitation":"[123]","plainTextFormattedCitation":"[123]","previouslyFormattedCitation":"[123]"},"properties":{"noteIndex":0},"schema":"https://github.com/citation-style-language/schema/raw/master/csl-citation.json"}</w:instrText>
      </w:r>
      <w:r w:rsidR="005E1EBF">
        <w:rPr>
          <w:rFonts w:ascii="Times New Roman" w:eastAsia="Times New Roman" w:hAnsi="Times New Roman" w:cs="Times New Roman"/>
          <w:color w:val="000000" w:themeColor="text1"/>
          <w:sz w:val="24"/>
          <w:szCs w:val="24"/>
        </w:rPr>
        <w:fldChar w:fldCharType="separate"/>
      </w:r>
      <w:r w:rsidR="003F195C" w:rsidRPr="003F195C">
        <w:rPr>
          <w:rFonts w:ascii="Times New Roman" w:eastAsia="Times New Roman" w:hAnsi="Times New Roman" w:cs="Times New Roman"/>
          <w:noProof/>
          <w:color w:val="000000" w:themeColor="text1"/>
          <w:sz w:val="24"/>
          <w:szCs w:val="24"/>
        </w:rPr>
        <w:t>[123]</w:t>
      </w:r>
      <w:r w:rsidR="005E1EBF">
        <w:rPr>
          <w:rFonts w:ascii="Times New Roman" w:eastAsia="Times New Roman" w:hAnsi="Times New Roman" w:cs="Times New Roman"/>
          <w:color w:val="000000" w:themeColor="text1"/>
          <w:sz w:val="24"/>
          <w:szCs w:val="24"/>
        </w:rPr>
        <w:fldChar w:fldCharType="end"/>
      </w:r>
      <w:r w:rsidR="4EF80E68" w:rsidRPr="00E11754">
        <w:rPr>
          <w:rFonts w:ascii="Times New Roman" w:eastAsia="Times New Roman" w:hAnsi="Times New Roman" w:cs="Times New Roman"/>
          <w:color w:val="000000" w:themeColor="text1"/>
          <w:sz w:val="24"/>
          <w:szCs w:val="24"/>
        </w:rPr>
        <w:t xml:space="preserve">. Te dane mogą także wskazywać na dużą zmienność międzyosobniczą bądź możliwość wystąpienia interakcji, gdy ten lek jest podawany w terapii wielolekowej. Ta obserwacja jest spójna z danymi literaturowymi, które także wskazywały, że oznaczone poziomy stężeń </w:t>
      </w:r>
      <w:proofErr w:type="spellStart"/>
      <w:r w:rsidR="4EF80E68" w:rsidRPr="00E11754">
        <w:rPr>
          <w:rFonts w:ascii="Times New Roman" w:eastAsia="Times New Roman" w:hAnsi="Times New Roman" w:cs="Times New Roman"/>
          <w:color w:val="000000" w:themeColor="text1"/>
          <w:sz w:val="24"/>
          <w:szCs w:val="24"/>
        </w:rPr>
        <w:t>docetakselu</w:t>
      </w:r>
      <w:proofErr w:type="spellEnd"/>
      <w:r w:rsidR="4EF80E68" w:rsidRPr="00E11754">
        <w:rPr>
          <w:rFonts w:ascii="Times New Roman" w:eastAsia="Times New Roman" w:hAnsi="Times New Roman" w:cs="Times New Roman"/>
          <w:color w:val="000000" w:themeColor="text1"/>
          <w:sz w:val="24"/>
          <w:szCs w:val="24"/>
        </w:rPr>
        <w:t xml:space="preserve"> były bardzo zróżnicowane</w:t>
      </w:r>
      <w:r w:rsidR="005E1EBF">
        <w:rPr>
          <w:rFonts w:ascii="Times New Roman" w:eastAsia="Times New Roman" w:hAnsi="Times New Roman" w:cs="Times New Roman"/>
          <w:color w:val="000000" w:themeColor="text1"/>
          <w:sz w:val="24"/>
          <w:szCs w:val="24"/>
        </w:rPr>
        <w:t xml:space="preserve"> </w:t>
      </w:r>
      <w:r w:rsidR="001505E1" w:rsidRPr="00D56B41">
        <w:rPr>
          <w:rFonts w:ascii="Times New Roman" w:eastAsia="Times New Roman" w:hAnsi="Times New Roman" w:cs="Times New Roman"/>
          <w:color w:val="000000" w:themeColor="text1"/>
          <w:sz w:val="24"/>
          <w:szCs w:val="24"/>
        </w:rPr>
        <w:fldChar w:fldCharType="begin" w:fldLock="1"/>
      </w:r>
      <w:r w:rsidR="008D59C9">
        <w:rPr>
          <w:rFonts w:ascii="Times New Roman" w:eastAsia="Times New Roman" w:hAnsi="Times New Roman" w:cs="Times New Roman"/>
          <w:color w:val="000000" w:themeColor="text1"/>
          <w:sz w:val="24"/>
          <w:szCs w:val="24"/>
        </w:rPr>
        <w:instrText>ADDIN CSL_CITATION {"citationItems":[{"id":"ITEM-1","itemData":{"DOI":"10.1016/j.cca.2010.11.010","ISSN":"00098981","PMID":"21078312","abstract":"Background: The most valuable treatment option for breast, prostate and lung carcinomas is at present represented by a low dose of docetaxel, administered on a weekly basis. A better understanding of docetaxel pharmacokinetic and pharmacodynamic profiles could lead to an improvement in this dose regimen efficacy. Methods: In this study a high-throughput method is described for the rapid quantification of docetaxel for large clinical pharmacology investigations. This analytical approach is based on an automatic on-line purification and enrichment technique followed by a measurement in tandem mass spectrometry through Multiple Reaction Monitoring. Results: The assay was validated over a 0.15-1500ng/mL range. Intra-day precision ranged from 1.9% to 6.4%, while the inter-day was between 7.6% and 11.2%. The mean deviation from the nominal value ranged from -0.5% to 5.6% for the intra-day, and from -0.4% to 3.1% for the inter-day assay. Clinical applicability was demonstrated by measuring plasma pharmacokinetics in patients receiving weekly 25-35mg/m2 of docetaxel. Conclusion: The proposed LC-MS/MS assay was found to have a better performance than previously reported methods in terms of sensitivity and sample preparation. It does not require any laborious pre-analytical manipulation and can be easily employed in large clinical pharmacology studies. © 2010 Elsevier B.V.","author":[{"dropping-particle":"","family":"Corona","given":"Giuseppe","non-dropping-particle":"","parse-names":false,"suffix":""},{"dropping-particle":"","family":"Elia","given":"Caterina","non-dropping-particle":"","parse-names":false,"suffix":""},{"dropping-particle":"","family":"Casetta","given":"Bruno","non-dropping-particle":"","parse-names":false,"suffix":""},{"dropping-particle":"","family":"Frustaci","given":"Sergio","non-dropping-particle":"","parse-names":false,"suffix":""},{"dropping-particle":"","family":"Toffoli","given":"Giuseppe","non-dropping-particle":"","parse-names":false,"suffix":""}],"container-title":"Clinica Chimica Acta","id":"ITEM-1","issue":"3-4","issued":{"date-parts":[["2011"]]},"page":"358-364","publisher":"Elsevier B.V.","title":"High-throughput plasma docetaxel quantification by liquid chromatography-tandem mass spectrometry","type":"article-journal","volume":"412"},"uris":["http://www.mendeley.com/documents/?uuid=b3df260f-f095-4485-9cea-7fc9a6d2fc54"]},{"id":"ITEM-2","itemData":{"DOI":"10.1016/j.jchromb.2013.01.017","ISSN":"15700232","PMID":"23422405","abstract":"Docetaxel and temsirolimus are some of the most used drugs in a wide range of solid tumors. In preclinical studies, mTOR inhibitors such as temsirolimus have demonstrated synergistic cytotoxic effects with taxanes providing the rationale for combination studies. These anticancer agents exhibit a narrow therapeutic concentration range and due to their high inter- and intra-individual pharmacokinetic variability, therapeutic dose monitoring by highly sensitive methods as LC-MS/MS are important for clinical research. Therefore, the aim of this study was to develop and validate a sensitive, fast and convenient method for the simultaneous identification and quantification of docetaxel, temsirolimus and its main metabolite, sirolimus, using paclitaxel, another anticancer drug, as the internal standard. These analytes were quantified by an integrated online solid phase extraction-high performance liquid chromatography-tandem mass spectrometry (SPE-HPLC-MS/MS) system. Separation was performed on a Zorbax eclipse XDB-C8 (150. mm × 4.6. mm, 5. μm) column. The mass spectrometer tandem quadruple detector was equipped with jet stream electrospray ionization, monitored in multiple reactions monitoring (MRM) and operated in positive mode. A combination of protein precipitation with methanol/zinc sulphate (70:30) (v/v) and online SPE using a Zorbax eclipse plus C8 (12.5. mm × 4.6. mm, 5. μm) cartridge was used to extract the compounds. This method allows the use of the same reagents, sample treatment and analytical technique independently of whether the samples are whole blood or plasma. The method has been successfully validated and applied to real samples. It is a suitable method for dose adjustment and for evaluating potential drug interactions during combined treatments. © 2013 Elsevier B.V.","author":[{"dropping-particle":"","family":"Navarrete","given":"Alicia","non-dropping-particle":"","parse-names":false,"suffix":""},{"dropping-particle":"","family":"Martínez-Alcázar","given":"M. Paz","non-dropping-particle":"","parse-names":false,"suffix":""},{"dropping-particle":"","family":"Durán","given":"Ignacio","non-dropping-particle":"","parse-names":false,"suffix":""},{"dropping-particle":"","family":"Calvo","given":"Emiliano","non-dropping-particle":"","parse-names":false,"suffix":""},{"dropping-particle":"","family":"Valenzuela","given":"Belén","non-dropping-particle":"","parse-names":false,"suffix":""},{"dropping-particle":"","family":"Barbas","given":"Coral","non-dropping-particle":"","parse-names":false,"suffix":""},{"dropping-particle":"","family":"García","given":"Antonia","non-dropping-particle":"","parse-names":false,"suffix":""}],"container-title":"Journal of Chromatography B: Analytical Technologies in the Biomedical and Life Sciences","id":"ITEM-2","issued":{"date-parts":[["2013"]]},"page":"35-42","publisher":"Elsevier B.V.","title":"Simultaneous online SPE-HPLC-MS/MS analysis of docetaxel, Temsirolimus and sirolimus in whole blood and human plasma","type":"article-journal","volume":"921-922"},"uris":["http://www.mendeley.com/documents/?uuid=30149a1f-b22a-40a8-8e7c-6e4268184a08"]},{"id":"ITEM-3","itemData":{"DOI":"10.1016/j.jchromb.2012.02.003","ISSN":"15700232","PMID":"22429876","abstract":"Docetaxel is a taxane family antineoplastic agent widely employed in cancer chemotherapy. We developed a liquid chromatography/tandem mass spectrometry method for the determination of docetaxel in human plasma. Plasma samples were deproteinized by acetonitrile containing internal standard paclitaxel. Chromatographic separation was performed on a TSKgel ODS-100V 3. μm (50. mm. ×. 2.0. mm i.d.) column using a mobile phase composed of acetonitrile-methanol-water-formic acid (50:5:45:0.1, v/v/v/v). Detection was performed on a triple-quadrupole tandem mass spectrometer with multiple reaction monitoring (MRM) mode via electrospray ionization (ESI) source. This method covered a linearity range of 5-5000. ng/mL with the lower limit of quantification of 5. ng/mL. The intra-day precision and inter-day precision (R.S.D.) of analysis were less than 6.7%, and the accuracy (R.E.) was within ±9.0% at the concentrations of 5, 20, 200, and 2000. ng/mL. The total run time was 5.0. min. This method was successfully applied for clinical pharmacokinetic investigation. © 2012 Elsevier B.V.","author":[{"dropping-particle":"","family":"Yamaguchi","given":"Hiroaki","non-dropping-particle":"","parse-names":false,"suffix":""},{"dropping-particle":"","family":"Fujikawa","given":"Asuka","non-dropping-particle":"","parse-names":false,"suffix":""},{"dropping-particle":"","family":"Ito","given":"Hajime","non-dropping-particle":"","parse-names":false,"suffix":""},{"dropping-particle":"","family":"Tanaka","given":"Nobuaki","non-dropping-particle":"","parse-names":false,"suffix":""},{"dropping-particle":"","family":"Furugen","given":"Ayako","non-dropping-particle":"","parse-names":false,"suffix":""},{"dropping-particle":"","family":"Miyamori","given":"Kazuaki","non-dropping-particle":"","parse-names":false,"suffix":""},{"dropping-particle":"","family":"Takahashi","given":"Natsuko","non-dropping-particle":"","parse-names":false,"suffix":""},{"dropping-particle":"","family":"Ogura","given":"Jiro","non-dropping-particle":"","parse-names":false,"suffix":""},{"dropping-particle":"","family":"Kobayashi","given":"Masaki","non-dropping-particle":"","parse-names":false,"suffix":""},{"dropping-particle":"","family":"Yamada","given":"Takehiro","non-dropping-particle":"","parse-names":false,"suffix":""},{"dropping-particle":"","family":"Mano","given":"Nariyasu","non-dropping-particle":"","parse-names":false,"suffix":""},{"dropping-particle":"","family":"Iseki","given":"Ken","non-dropping-particle":"","parse-names":false,"suffix":""}],"container-title":"Journal of Chromatography B: Analytical Technologies in the Biomedical and Life Sciences","id":"ITEM-3","issued":{"date-parts":[["2012"]]},"page":"157-161","publisher":"Elsevier B.V.","title":"A rapid and sensitive LC/ESI-MS/MS method for quantitative analysis of docetaxel in human plasma and its application to a pharmacokinetic study","type":"article-journal","volume":"893-894"},"uris":["http://www.mendeley.com/documents/?uuid=672c2d0c-a93e-4502-a7c6-67166c3d9160"]}],"mendeley":{"formattedCitation":"[111]–[113]","plainTextFormattedCitation":"[111]–[113]","previouslyFormattedCitation":"[111]–[113]"},"properties":{"noteIndex":0},"schema":"https://github.com/citation-style-language/schema/raw/master/csl-citation.json"}</w:instrText>
      </w:r>
      <w:r w:rsidR="001505E1" w:rsidRPr="00D56B41">
        <w:rPr>
          <w:rFonts w:ascii="Times New Roman" w:eastAsia="Times New Roman" w:hAnsi="Times New Roman" w:cs="Times New Roman"/>
          <w:color w:val="000000" w:themeColor="text1"/>
          <w:sz w:val="24"/>
          <w:szCs w:val="24"/>
        </w:rPr>
        <w:fldChar w:fldCharType="separate"/>
      </w:r>
      <w:r w:rsidR="008D59C9" w:rsidRPr="008D59C9">
        <w:rPr>
          <w:rFonts w:ascii="Times New Roman" w:eastAsia="Times New Roman" w:hAnsi="Times New Roman" w:cs="Times New Roman"/>
          <w:noProof/>
          <w:color w:val="000000" w:themeColor="text1"/>
          <w:sz w:val="24"/>
          <w:szCs w:val="24"/>
        </w:rPr>
        <w:t>[111]–[113]</w:t>
      </w:r>
      <w:r w:rsidR="001505E1" w:rsidRPr="00D56B41">
        <w:rPr>
          <w:rFonts w:ascii="Times New Roman" w:eastAsia="Times New Roman" w:hAnsi="Times New Roman" w:cs="Times New Roman"/>
          <w:color w:val="000000" w:themeColor="text1"/>
          <w:sz w:val="24"/>
          <w:szCs w:val="24"/>
        </w:rPr>
        <w:fldChar w:fldCharType="end"/>
      </w:r>
      <w:r w:rsidR="008D59C9">
        <w:rPr>
          <w:rFonts w:ascii="Times New Roman" w:eastAsia="Times New Roman" w:hAnsi="Times New Roman" w:cs="Times New Roman"/>
          <w:color w:val="000000" w:themeColor="text1"/>
          <w:sz w:val="24"/>
          <w:szCs w:val="24"/>
        </w:rPr>
        <w:fldChar w:fldCharType="begin" w:fldLock="1"/>
      </w:r>
      <w:r w:rsidR="00C5503B">
        <w:rPr>
          <w:rFonts w:ascii="Times New Roman" w:eastAsia="Times New Roman" w:hAnsi="Times New Roman" w:cs="Times New Roman"/>
          <w:color w:val="000000" w:themeColor="text1"/>
          <w:sz w:val="24"/>
          <w:szCs w:val="24"/>
        </w:rPr>
        <w:instrText>ADDIN CSL_CITATION {"citationItems":[{"id":"ITEM-1","itemData":{"DOI":"10.1177/0003319707308212","ISSN":"00033197","PMID":"18388090","abstract":"A 49-year-old man was admitted for primary cardiac angiosarcoma with a cardiac tamponade. Transthoracic echocardiography and contrast-enhanced computed tomography scan demonstrated a large mass in the right atrium and thickening of the right ventricular wall. 18F-labeled deoxyglucose (FDG) positron emission tomography (PET) scan showed increased FDG uptake in the mediastinum and over the heart. The patient responded to combination therapy with docetaxel and radiotherapy and tolerated the treatment well, except for radiation esophagitis, which required a soft diet and resolved 1 month after treatment. This combination therapy resulted in a minimal response with slight regression in the tumor size, but FDG-PET initially showed an increase in FDG uptake by the tumor that was no longer seen after combination therapy. There is no evidence of progression or metastasis even at 12 months after diagnosis. © 2008 Sage Publications.","author":[{"dropping-particle":"","family":"Nakamura-Horigome","given":"Miki","non-dropping-particle":"","parse-names":false,"suffix":""},{"dropping-particle":"","family":"Koyama","given":"Jun","non-dropping-particle":"","parse-names":false,"suffix":""},{"dropping-particle":"","family":"Eizawa","given":"Takayuki","non-dropping-particle":"","parse-names":false,"suffix":""},{"dropping-particle":"","family":"Kasai","given":"Hiroki","non-dropping-particle":"","parse-names":false,"suffix":""},{"dropping-particle":"","family":"Kumazaki","given":"Setsuo","non-dropping-particle":"","parse-names":false,"suffix":""},{"dropping-particle":"","family":"Tsutsui","given":"Hiroshi","non-dropping-particle":"","parse-names":false,"suffix":""},{"dropping-particle":"","family":"Koiwai","given":"Keiichiro","non-dropping-particle":"","parse-names":false,"suffix":""},{"dropping-particle":"","family":"Oguchi","given":"Kazuhiro","non-dropping-particle":"","parse-names":false,"suffix":""},{"dropping-particle":"","family":"Kinoshita","given":"Osamu","non-dropping-particle":"","parse-names":false,"suffix":""},{"dropping-particle":"","family":"Ikeda","given":"Uichi","non-dropping-particle":"","parse-names":false,"suffix":""}],"container-title":"Angiology","id":"ITEM-1","issue":"3","issued":{"date-parts":[["2008"]]},"page":"368-371","title":"Successful treatment of primary cardiac angiosarcoma with docetaxel and radiotherapy","type":"article-journal","volume":"59"},"uris":["http://www.mendeley.com/documents/?uuid=946874e4-0082-4368-8fcf-9abb63e0e01e"]}],"mendeley":{"formattedCitation":"[114]","plainTextFormattedCitation":"[114]","previouslyFormattedCitation":"[114]"},"properties":{"noteIndex":0},"schema":"https://github.com/citation-style-language/schema/raw/master/csl-citation.json"}</w:instrText>
      </w:r>
      <w:r w:rsidR="008D59C9">
        <w:rPr>
          <w:rFonts w:ascii="Times New Roman" w:eastAsia="Times New Roman" w:hAnsi="Times New Roman" w:cs="Times New Roman"/>
          <w:color w:val="000000" w:themeColor="text1"/>
          <w:sz w:val="24"/>
          <w:szCs w:val="24"/>
        </w:rPr>
        <w:fldChar w:fldCharType="separate"/>
      </w:r>
      <w:r w:rsidR="00463998" w:rsidRPr="00463998">
        <w:rPr>
          <w:rFonts w:ascii="Times New Roman" w:eastAsia="Times New Roman" w:hAnsi="Times New Roman" w:cs="Times New Roman"/>
          <w:noProof/>
          <w:color w:val="000000" w:themeColor="text1"/>
          <w:sz w:val="24"/>
          <w:szCs w:val="24"/>
        </w:rPr>
        <w:t>[114]</w:t>
      </w:r>
      <w:r w:rsidR="008D59C9">
        <w:rPr>
          <w:rFonts w:ascii="Times New Roman" w:eastAsia="Times New Roman" w:hAnsi="Times New Roman" w:cs="Times New Roman"/>
          <w:color w:val="000000" w:themeColor="text1"/>
          <w:sz w:val="24"/>
          <w:szCs w:val="24"/>
        </w:rPr>
        <w:fldChar w:fldCharType="end"/>
      </w:r>
      <w:r w:rsidR="001505E1" w:rsidRPr="00D56B41">
        <w:rPr>
          <w:rFonts w:ascii="Times New Roman" w:eastAsia="Times New Roman" w:hAnsi="Times New Roman" w:cs="Times New Roman"/>
          <w:color w:val="000000" w:themeColor="text1"/>
          <w:sz w:val="24"/>
          <w:szCs w:val="24"/>
        </w:rPr>
        <w:t>.</w:t>
      </w:r>
      <w:r w:rsidR="001505E1">
        <w:rPr>
          <w:rFonts w:ascii="Times New Roman" w:eastAsia="Times New Roman" w:hAnsi="Times New Roman" w:cs="Times New Roman"/>
          <w:color w:val="000000" w:themeColor="text1"/>
          <w:sz w:val="24"/>
          <w:szCs w:val="24"/>
        </w:rPr>
        <w:t xml:space="preserve"> </w:t>
      </w:r>
      <w:r w:rsidR="2100169C" w:rsidRPr="00E11754">
        <w:rPr>
          <w:rFonts w:ascii="Times New Roman" w:eastAsia="Times New Roman" w:hAnsi="Times New Roman" w:cs="Times New Roman"/>
          <w:color w:val="000000" w:themeColor="text1"/>
          <w:sz w:val="24"/>
          <w:szCs w:val="24"/>
        </w:rPr>
        <w:t xml:space="preserve">W odniesieniu do danych literaturowych dotyczących </w:t>
      </w:r>
      <w:r w:rsidR="409D4717" w:rsidRPr="00E11754">
        <w:rPr>
          <w:rFonts w:ascii="Times New Roman" w:eastAsia="Times New Roman" w:hAnsi="Times New Roman" w:cs="Times New Roman"/>
          <w:color w:val="000000" w:themeColor="text1"/>
          <w:sz w:val="24"/>
          <w:szCs w:val="24"/>
        </w:rPr>
        <w:t>poziomów</w:t>
      </w:r>
      <w:r w:rsidR="2100169C" w:rsidRPr="00E11754">
        <w:rPr>
          <w:rFonts w:ascii="Times New Roman" w:eastAsia="Times New Roman" w:hAnsi="Times New Roman" w:cs="Times New Roman"/>
          <w:color w:val="000000" w:themeColor="text1"/>
          <w:sz w:val="24"/>
          <w:szCs w:val="24"/>
        </w:rPr>
        <w:t xml:space="preserve"> </w:t>
      </w:r>
      <w:proofErr w:type="spellStart"/>
      <w:r w:rsidR="2100169C" w:rsidRPr="00E11754">
        <w:rPr>
          <w:rFonts w:ascii="Times New Roman" w:eastAsia="Times New Roman" w:hAnsi="Times New Roman" w:cs="Times New Roman"/>
          <w:color w:val="000000" w:themeColor="text1"/>
          <w:sz w:val="24"/>
          <w:szCs w:val="24"/>
        </w:rPr>
        <w:t>docetakselu</w:t>
      </w:r>
      <w:proofErr w:type="spellEnd"/>
      <w:r w:rsidR="2100169C" w:rsidRPr="00E11754">
        <w:rPr>
          <w:rFonts w:ascii="Times New Roman" w:eastAsia="Times New Roman" w:hAnsi="Times New Roman" w:cs="Times New Roman"/>
          <w:color w:val="000000" w:themeColor="text1"/>
          <w:sz w:val="24"/>
          <w:szCs w:val="24"/>
        </w:rPr>
        <w:t xml:space="preserve"> w moczu, te informacje są bardzo ograniczone, gdyż </w:t>
      </w:r>
      <w:r w:rsidR="409D4717" w:rsidRPr="00E11754">
        <w:rPr>
          <w:rFonts w:ascii="Times New Roman" w:eastAsia="Times New Roman" w:hAnsi="Times New Roman" w:cs="Times New Roman"/>
          <w:color w:val="000000" w:themeColor="text1"/>
          <w:sz w:val="24"/>
          <w:szCs w:val="24"/>
        </w:rPr>
        <w:t>jedynie</w:t>
      </w:r>
      <w:r w:rsidR="2100169C" w:rsidRPr="00E11754">
        <w:rPr>
          <w:rFonts w:ascii="Times New Roman" w:eastAsia="Times New Roman" w:hAnsi="Times New Roman" w:cs="Times New Roman"/>
          <w:color w:val="000000" w:themeColor="text1"/>
          <w:sz w:val="24"/>
          <w:szCs w:val="24"/>
        </w:rPr>
        <w:t xml:space="preserve"> w jednej pracy </w:t>
      </w:r>
      <w:r w:rsidR="409D4717" w:rsidRPr="00E11754">
        <w:rPr>
          <w:rFonts w:ascii="Times New Roman" w:eastAsia="Times New Roman" w:hAnsi="Times New Roman" w:cs="Times New Roman"/>
          <w:color w:val="000000" w:themeColor="text1"/>
          <w:sz w:val="24"/>
          <w:szCs w:val="24"/>
        </w:rPr>
        <w:t>podano</w:t>
      </w:r>
      <w:r w:rsidR="2100169C" w:rsidRPr="00E11754">
        <w:rPr>
          <w:rFonts w:ascii="Times New Roman" w:eastAsia="Times New Roman" w:hAnsi="Times New Roman" w:cs="Times New Roman"/>
          <w:color w:val="000000" w:themeColor="text1"/>
          <w:sz w:val="24"/>
          <w:szCs w:val="24"/>
        </w:rPr>
        <w:t xml:space="preserve">, że po doustnym podaniu </w:t>
      </w:r>
      <w:proofErr w:type="spellStart"/>
      <w:r w:rsidR="2100169C" w:rsidRPr="00E11754">
        <w:rPr>
          <w:rFonts w:ascii="Times New Roman" w:eastAsia="Times New Roman" w:hAnsi="Times New Roman" w:cs="Times New Roman"/>
          <w:color w:val="000000" w:themeColor="text1"/>
          <w:sz w:val="24"/>
          <w:szCs w:val="24"/>
        </w:rPr>
        <w:t>docetakselu</w:t>
      </w:r>
      <w:proofErr w:type="spellEnd"/>
      <w:r w:rsidR="2100169C" w:rsidRPr="00E11754">
        <w:rPr>
          <w:rFonts w:ascii="Times New Roman" w:eastAsia="Times New Roman" w:hAnsi="Times New Roman" w:cs="Times New Roman"/>
          <w:color w:val="000000" w:themeColor="text1"/>
          <w:sz w:val="24"/>
          <w:szCs w:val="24"/>
        </w:rPr>
        <w:t xml:space="preserve"> (60 mg), procent dawki leku w moczu wynosił ok. 2,5</w:t>
      </w:r>
      <w:r w:rsidR="409D4717" w:rsidRPr="00E11754">
        <w:rPr>
          <w:rFonts w:ascii="Times New Roman" w:eastAsia="Times New Roman" w:hAnsi="Times New Roman" w:cs="Times New Roman"/>
          <w:color w:val="000000" w:themeColor="text1"/>
          <w:sz w:val="24"/>
          <w:szCs w:val="24"/>
        </w:rPr>
        <w:t xml:space="preserve"> % </w:t>
      </w:r>
      <w:r w:rsidR="00ED5684">
        <w:rPr>
          <w:rFonts w:ascii="Times New Roman" w:eastAsia="Times New Roman" w:hAnsi="Times New Roman" w:cs="Times New Roman"/>
          <w:color w:val="000000" w:themeColor="text1"/>
          <w:sz w:val="24"/>
          <w:szCs w:val="24"/>
        </w:rPr>
        <w:fldChar w:fldCharType="begin" w:fldLock="1"/>
      </w:r>
      <w:r w:rsidR="003F195C">
        <w:rPr>
          <w:rFonts w:ascii="Times New Roman" w:eastAsia="Times New Roman" w:hAnsi="Times New Roman" w:cs="Times New Roman"/>
          <w:color w:val="000000" w:themeColor="text1"/>
          <w:sz w:val="24"/>
          <w:szCs w:val="24"/>
        </w:rPr>
        <w:instrText>ADDIN CSL_CITATION {"citationItems":[{"id":"ITEM-1","itemData":{"DOI":"10.1002/bmc.3021","ISSN":"02693879","PMID":"23996474","abstract":"A combined assay for the determination of paclitaxel, docetaxel and ritonavir in human feces and urine is described. The drugs were extracted from 200 μL urine or 50 mg feces followed by high-performance liquid chromatography analysis coupled with positive ionization electrospray tandem mass spectrometry. The validation program included calibration model, accuracy and precision, carry-over, dilution test, specificity and selectivity, matrix effect, recovery and stability. Acceptance criteria were according to US Food and Drug Administration guidelines on bioanalytical method validation. The validated range was 0.5-500 ng/mL for paclitaxel and docetaxel, 2-2000 ng/mL for ritonavir in urine, 2-2000 ng/mg for paclitaxel and docetaxel, and 8-8000 ng/mg for ritonavir in feces. Inter-assay accuracy and precision were tested for all analytes at four concentration levels and were within 8.5% and &lt;10.2%, respectively, in both matrices. Recovery at three concentration levels was between 77 and 94% in feces samples and between 69 and 85% in urine samples. Method development, including feces homogenization and spiking blank urine samples, are discussed. We demonstrated that each of the applied drugs could be quantified successfully in urine and feces using the described assay. The method was successfully applied for quantification of the analytes in feces and urine samples of patients. © 2013 John Wiley &amp; Sons, Ltd.","author":[{"dropping-particle":"","family":"Hendrikx","given":"Jeroen J.M.A.","non-dropping-particle":"","parse-names":false,"suffix":""},{"dropping-particle":"","family":"Rosing","given":"Hilde","non-dropping-particle":"","parse-names":false,"suffix":""},{"dropping-particle":"","family":"Schinkel","given":"Alfred H.","non-dropping-particle":"","parse-names":false,"suffix":""},{"dropping-particle":"","family":"Schellens","given":"Jan H.M.","non-dropping-particle":"","parse-names":false,"suffix":""},{"dropping-particle":"","family":"Beijnen","given":"Jos H.","non-dropping-particle":"","parse-names":false,"suffix":""}],"container-title":"Biomedical Chromatography","id":"ITEM-1","issue":"2","issued":{"date-parts":[["2013"]]},"page":"302-310","title":"Combined quantification of paclitaxel, docetaxel and ritonavir in human feces and urine using LC-MS/MS","type":"article-journal","volume":"28"},"uris":["http://www.mendeley.com/documents/?uuid=825a64c7-dee9-4b48-b2ed-286c3aab4412"]}],"mendeley":{"formattedCitation":"[121]","plainTextFormattedCitation":"[121]","previouslyFormattedCitation":"[121]"},"properties":{"noteIndex":0},"schema":"https://github.com/citation-style-language/schema/raw/master/csl-citation.json"}</w:instrText>
      </w:r>
      <w:r w:rsidR="00ED5684">
        <w:rPr>
          <w:rFonts w:ascii="Times New Roman" w:eastAsia="Times New Roman" w:hAnsi="Times New Roman" w:cs="Times New Roman"/>
          <w:color w:val="000000" w:themeColor="text1"/>
          <w:sz w:val="24"/>
          <w:szCs w:val="24"/>
        </w:rPr>
        <w:fldChar w:fldCharType="separate"/>
      </w:r>
      <w:r w:rsidR="003F195C" w:rsidRPr="003F195C">
        <w:rPr>
          <w:rFonts w:ascii="Times New Roman" w:eastAsia="Times New Roman" w:hAnsi="Times New Roman" w:cs="Times New Roman"/>
          <w:noProof/>
          <w:color w:val="000000" w:themeColor="text1"/>
          <w:sz w:val="24"/>
          <w:szCs w:val="24"/>
        </w:rPr>
        <w:t>[121]</w:t>
      </w:r>
      <w:r w:rsidR="00ED5684">
        <w:rPr>
          <w:rFonts w:ascii="Times New Roman" w:eastAsia="Times New Roman" w:hAnsi="Times New Roman" w:cs="Times New Roman"/>
          <w:color w:val="000000" w:themeColor="text1"/>
          <w:sz w:val="24"/>
          <w:szCs w:val="24"/>
        </w:rPr>
        <w:fldChar w:fldCharType="end"/>
      </w:r>
      <w:r w:rsidR="409D4717" w:rsidRPr="00E11754">
        <w:rPr>
          <w:rFonts w:ascii="Times New Roman" w:eastAsia="Times New Roman" w:hAnsi="Times New Roman" w:cs="Times New Roman"/>
          <w:color w:val="000000" w:themeColor="text1"/>
          <w:sz w:val="24"/>
          <w:szCs w:val="24"/>
        </w:rPr>
        <w:t xml:space="preserve">. Niestety, </w:t>
      </w:r>
      <w:r w:rsidR="2100169C" w:rsidRPr="00E11754">
        <w:rPr>
          <w:rFonts w:ascii="Times New Roman" w:eastAsia="Times New Roman" w:hAnsi="Times New Roman" w:cs="Times New Roman"/>
          <w:color w:val="000000" w:themeColor="text1"/>
          <w:sz w:val="24"/>
          <w:szCs w:val="24"/>
        </w:rPr>
        <w:t xml:space="preserve">brakuje danych </w:t>
      </w:r>
      <w:r w:rsidR="409D4717" w:rsidRPr="00E11754">
        <w:rPr>
          <w:rFonts w:ascii="Times New Roman" w:eastAsia="Times New Roman" w:hAnsi="Times New Roman" w:cs="Times New Roman"/>
          <w:color w:val="000000" w:themeColor="text1"/>
          <w:sz w:val="24"/>
          <w:szCs w:val="24"/>
        </w:rPr>
        <w:t>opisujących</w:t>
      </w:r>
      <w:r w:rsidR="2100169C" w:rsidRPr="00E11754">
        <w:rPr>
          <w:rFonts w:ascii="Times New Roman" w:eastAsia="Times New Roman" w:hAnsi="Times New Roman" w:cs="Times New Roman"/>
          <w:color w:val="000000" w:themeColor="text1"/>
          <w:sz w:val="24"/>
          <w:szCs w:val="24"/>
        </w:rPr>
        <w:t xml:space="preserve"> profil stężeń tego </w:t>
      </w:r>
      <w:proofErr w:type="spellStart"/>
      <w:r w:rsidR="2100169C" w:rsidRPr="00E11754">
        <w:rPr>
          <w:rFonts w:ascii="Times New Roman" w:eastAsia="Times New Roman" w:hAnsi="Times New Roman" w:cs="Times New Roman"/>
          <w:color w:val="000000" w:themeColor="text1"/>
          <w:sz w:val="24"/>
          <w:szCs w:val="24"/>
        </w:rPr>
        <w:t>cytostatyku</w:t>
      </w:r>
      <w:proofErr w:type="spellEnd"/>
      <w:r w:rsidR="2100169C" w:rsidRPr="00E11754">
        <w:rPr>
          <w:rFonts w:ascii="Times New Roman" w:eastAsia="Times New Roman" w:hAnsi="Times New Roman" w:cs="Times New Roman"/>
          <w:color w:val="000000" w:themeColor="text1"/>
          <w:sz w:val="24"/>
          <w:szCs w:val="24"/>
        </w:rPr>
        <w:t xml:space="preserve"> w </w:t>
      </w:r>
      <w:r w:rsidR="409D4717" w:rsidRPr="00E11754">
        <w:rPr>
          <w:rFonts w:ascii="Times New Roman" w:eastAsia="Times New Roman" w:hAnsi="Times New Roman" w:cs="Times New Roman"/>
          <w:color w:val="000000" w:themeColor="text1"/>
          <w:sz w:val="24"/>
          <w:szCs w:val="24"/>
        </w:rPr>
        <w:t xml:space="preserve">moczu w </w:t>
      </w:r>
      <w:r w:rsidR="2100169C" w:rsidRPr="00E11754">
        <w:rPr>
          <w:rFonts w:ascii="Times New Roman" w:eastAsia="Times New Roman" w:hAnsi="Times New Roman" w:cs="Times New Roman"/>
          <w:color w:val="000000" w:themeColor="text1"/>
          <w:sz w:val="24"/>
          <w:szCs w:val="24"/>
        </w:rPr>
        <w:t xml:space="preserve">określonych przedziałach czasowym po podaniu tego </w:t>
      </w:r>
      <w:r w:rsidR="409D4717" w:rsidRPr="00E11754">
        <w:rPr>
          <w:rFonts w:ascii="Times New Roman" w:eastAsia="Times New Roman" w:hAnsi="Times New Roman" w:cs="Times New Roman"/>
          <w:color w:val="000000" w:themeColor="text1"/>
          <w:sz w:val="24"/>
          <w:szCs w:val="24"/>
        </w:rPr>
        <w:t xml:space="preserve">leku. </w:t>
      </w:r>
      <w:r w:rsidR="2100169C" w:rsidRPr="00E11754">
        <w:rPr>
          <w:rFonts w:ascii="Times New Roman" w:eastAsia="Times New Roman" w:hAnsi="Times New Roman" w:cs="Times New Roman"/>
          <w:color w:val="000000" w:themeColor="text1"/>
          <w:sz w:val="24"/>
          <w:szCs w:val="24"/>
        </w:rPr>
        <w:t xml:space="preserve">Zatem, zgromadzone dane eksperymentalne mogą rozszerzyć naszą wiedzę w zakresie farmakokinetyki tego </w:t>
      </w:r>
      <w:proofErr w:type="spellStart"/>
      <w:r w:rsidR="2100169C" w:rsidRPr="00E11754">
        <w:rPr>
          <w:rFonts w:ascii="Times New Roman" w:eastAsia="Times New Roman" w:hAnsi="Times New Roman" w:cs="Times New Roman"/>
          <w:color w:val="000000" w:themeColor="text1"/>
          <w:sz w:val="24"/>
          <w:szCs w:val="24"/>
        </w:rPr>
        <w:t>taksanu</w:t>
      </w:r>
      <w:proofErr w:type="spellEnd"/>
      <w:r w:rsidR="2100169C" w:rsidRPr="00E11754">
        <w:rPr>
          <w:rFonts w:ascii="Times New Roman" w:eastAsia="Times New Roman" w:hAnsi="Times New Roman" w:cs="Times New Roman"/>
          <w:color w:val="000000" w:themeColor="text1"/>
          <w:sz w:val="24"/>
          <w:szCs w:val="24"/>
        </w:rPr>
        <w:t>.</w:t>
      </w:r>
    </w:p>
    <w:p w14:paraId="63A95479" w14:textId="30167031" w:rsidR="0029277C" w:rsidRPr="00E11754" w:rsidRDefault="2100169C" w:rsidP="2100169C">
      <w:pPr>
        <w:spacing w:line="360" w:lineRule="auto"/>
        <w:jc w:val="both"/>
        <w:rPr>
          <w:rFonts w:ascii="Times New Roman" w:hAnsi="Times New Roman" w:cs="Times New Roman"/>
          <w:color w:val="222222"/>
          <w:sz w:val="24"/>
          <w:szCs w:val="24"/>
          <w:shd w:val="clear" w:color="auto" w:fill="FFFFFF"/>
        </w:rPr>
      </w:pPr>
      <w:r w:rsidRPr="00E11754">
        <w:rPr>
          <w:rFonts w:ascii="Times New Roman" w:eastAsia="Times New Roman" w:hAnsi="Times New Roman" w:cs="Times New Roman"/>
          <w:b/>
          <w:bCs/>
          <w:i/>
          <w:iCs/>
          <w:color w:val="000000" w:themeColor="text1"/>
          <w:sz w:val="24"/>
          <w:szCs w:val="24"/>
        </w:rPr>
        <w:t>Wnioski</w:t>
      </w:r>
    </w:p>
    <w:p w14:paraId="5F72B582" w14:textId="29C9C808" w:rsidR="4EF80E68" w:rsidRPr="00E11754" w:rsidRDefault="02602357" w:rsidP="409D4717">
      <w:pPr>
        <w:spacing w:line="360" w:lineRule="auto"/>
        <w:ind w:firstLine="708"/>
        <w:jc w:val="both"/>
        <w:rPr>
          <w:rFonts w:ascii="Times New Roman" w:eastAsia="Times New Roman" w:hAnsi="Times New Roman" w:cs="Times New Roman"/>
          <w:sz w:val="24"/>
          <w:szCs w:val="24"/>
        </w:rPr>
      </w:pPr>
      <w:r w:rsidRPr="02602357">
        <w:rPr>
          <w:rFonts w:ascii="Times New Roman" w:eastAsia="Times New Roman" w:hAnsi="Times New Roman" w:cs="Times New Roman"/>
          <w:sz w:val="24"/>
          <w:szCs w:val="24"/>
        </w:rPr>
        <w:t xml:space="preserve">Opracowano nową metodę UA-DLLME w połączeniu z LC-MS/MS do oznaczania profili stężeń </w:t>
      </w:r>
      <w:proofErr w:type="spellStart"/>
      <w:r w:rsidRPr="02602357">
        <w:rPr>
          <w:rFonts w:ascii="Times New Roman" w:eastAsia="Times New Roman" w:hAnsi="Times New Roman" w:cs="Times New Roman"/>
          <w:sz w:val="24"/>
          <w:szCs w:val="24"/>
        </w:rPr>
        <w:t>docetakselu</w:t>
      </w:r>
      <w:proofErr w:type="spellEnd"/>
      <w:r w:rsidRPr="02602357">
        <w:rPr>
          <w:rFonts w:ascii="Times New Roman" w:eastAsia="Times New Roman" w:hAnsi="Times New Roman" w:cs="Times New Roman"/>
          <w:sz w:val="24"/>
          <w:szCs w:val="24"/>
        </w:rPr>
        <w:t xml:space="preserve"> w próbkach osocza i moczu ludzkiego, której użyteczność w praktyce klinicznej została potwierdzona w trakcie monitorowania tego </w:t>
      </w:r>
      <w:proofErr w:type="spellStart"/>
      <w:r w:rsidRPr="02602357">
        <w:rPr>
          <w:rFonts w:ascii="Times New Roman" w:eastAsia="Times New Roman" w:hAnsi="Times New Roman" w:cs="Times New Roman"/>
          <w:sz w:val="24"/>
          <w:szCs w:val="24"/>
        </w:rPr>
        <w:t>cytostatyku</w:t>
      </w:r>
      <w:proofErr w:type="spellEnd"/>
      <w:r w:rsidRPr="02602357">
        <w:rPr>
          <w:rFonts w:ascii="Times New Roman" w:eastAsia="Times New Roman" w:hAnsi="Times New Roman" w:cs="Times New Roman"/>
          <w:sz w:val="24"/>
          <w:szCs w:val="24"/>
        </w:rPr>
        <w:t xml:space="preserve"> w materiale biologicznym uzyskanym od pacjenta pediatrycznego z AS serca. Jej dużą zaletą jest zastosowanie </w:t>
      </w:r>
      <w:proofErr w:type="spellStart"/>
      <w:r w:rsidRPr="02602357">
        <w:rPr>
          <w:rFonts w:ascii="Times New Roman" w:eastAsia="Times New Roman" w:hAnsi="Times New Roman" w:cs="Times New Roman"/>
          <w:sz w:val="24"/>
          <w:szCs w:val="24"/>
        </w:rPr>
        <w:t>mikroekstrakcji</w:t>
      </w:r>
      <w:proofErr w:type="spellEnd"/>
      <w:r w:rsidRPr="02602357">
        <w:rPr>
          <w:rFonts w:ascii="Times New Roman" w:eastAsia="Times New Roman" w:hAnsi="Times New Roman" w:cs="Times New Roman"/>
          <w:sz w:val="24"/>
          <w:szCs w:val="24"/>
        </w:rPr>
        <w:t xml:space="preserve"> do izolacji </w:t>
      </w:r>
      <w:proofErr w:type="spellStart"/>
      <w:r w:rsidRPr="02602357">
        <w:rPr>
          <w:rFonts w:ascii="Times New Roman" w:eastAsia="Times New Roman" w:hAnsi="Times New Roman" w:cs="Times New Roman"/>
          <w:sz w:val="24"/>
          <w:szCs w:val="24"/>
        </w:rPr>
        <w:t>docetakselu</w:t>
      </w:r>
      <w:proofErr w:type="spellEnd"/>
      <w:r w:rsidRPr="02602357">
        <w:rPr>
          <w:rFonts w:ascii="Times New Roman" w:eastAsia="Times New Roman" w:hAnsi="Times New Roman" w:cs="Times New Roman"/>
          <w:sz w:val="24"/>
          <w:szCs w:val="24"/>
        </w:rPr>
        <w:t xml:space="preserve"> z próbek biologicznych, które po raz pierwszy zostało zaproponowane dla tego leku, jako alternatywne podejście do klasycznych procedur ekstrakcji. Uzyskane profile </w:t>
      </w:r>
      <w:proofErr w:type="spellStart"/>
      <w:r w:rsidRPr="02602357">
        <w:rPr>
          <w:rFonts w:ascii="Times New Roman" w:eastAsia="Times New Roman" w:hAnsi="Times New Roman" w:cs="Times New Roman"/>
          <w:sz w:val="24"/>
          <w:szCs w:val="24"/>
        </w:rPr>
        <w:t>docetakselu</w:t>
      </w:r>
      <w:proofErr w:type="spellEnd"/>
      <w:r w:rsidRPr="02602357">
        <w:rPr>
          <w:rFonts w:ascii="Times New Roman" w:eastAsia="Times New Roman" w:hAnsi="Times New Roman" w:cs="Times New Roman"/>
          <w:sz w:val="24"/>
          <w:szCs w:val="24"/>
        </w:rPr>
        <w:t xml:space="preserve"> w testowanych matrycach wskazują, że wyższe stężenie leku oznaczono w próbkach osocza niż moczu, a ponadto świadczą o </w:t>
      </w:r>
      <w:proofErr w:type="spellStart"/>
      <w:r w:rsidRPr="02602357">
        <w:rPr>
          <w:rFonts w:ascii="Times New Roman" w:eastAsia="Times New Roman" w:hAnsi="Times New Roman" w:cs="Times New Roman"/>
          <w:sz w:val="24"/>
          <w:szCs w:val="24"/>
        </w:rPr>
        <w:t>trójkompartmentowym</w:t>
      </w:r>
      <w:proofErr w:type="spellEnd"/>
      <w:r w:rsidRPr="02602357">
        <w:rPr>
          <w:rFonts w:ascii="Times New Roman" w:eastAsia="Times New Roman" w:hAnsi="Times New Roman" w:cs="Times New Roman"/>
          <w:sz w:val="24"/>
          <w:szCs w:val="24"/>
        </w:rPr>
        <w:t xml:space="preserve"> modelu farmakokinetycznym tego </w:t>
      </w:r>
      <w:proofErr w:type="spellStart"/>
      <w:r w:rsidRPr="02602357">
        <w:rPr>
          <w:rFonts w:ascii="Times New Roman" w:eastAsia="Times New Roman" w:hAnsi="Times New Roman" w:cs="Times New Roman"/>
          <w:sz w:val="24"/>
          <w:szCs w:val="24"/>
        </w:rPr>
        <w:t>cytostatyku</w:t>
      </w:r>
      <w:proofErr w:type="spellEnd"/>
      <w:r w:rsidRPr="02602357">
        <w:rPr>
          <w:rFonts w:ascii="Times New Roman" w:eastAsia="Times New Roman" w:hAnsi="Times New Roman" w:cs="Times New Roman"/>
          <w:sz w:val="24"/>
          <w:szCs w:val="24"/>
        </w:rPr>
        <w:t>. Opracowana metoda UA-DLLME-LC-MS/MS jest szybka, prosta, dokładna i precyzyjna i może być interesującym narzędziem analitycznym do zastosowań w TDM oraz innych badaniach farmakokinetycznych i klinicznych.</w:t>
      </w:r>
    </w:p>
    <w:p w14:paraId="576D8BF3" w14:textId="77FE750B" w:rsidR="409D4717" w:rsidRPr="00E11754" w:rsidRDefault="409D4717" w:rsidP="409D4717">
      <w:pPr>
        <w:spacing w:line="360" w:lineRule="auto"/>
        <w:ind w:firstLine="708"/>
        <w:jc w:val="both"/>
        <w:rPr>
          <w:rFonts w:ascii="Times New Roman" w:eastAsia="Times New Roman" w:hAnsi="Times New Roman" w:cs="Times New Roman"/>
          <w:sz w:val="24"/>
          <w:szCs w:val="24"/>
        </w:rPr>
      </w:pPr>
    </w:p>
    <w:p w14:paraId="6555E240" w14:textId="37F41FAD" w:rsidR="5541BBFF" w:rsidRDefault="006C6CAA" w:rsidP="0077772B">
      <w:pPr>
        <w:pStyle w:val="NAGWEK10"/>
      </w:pPr>
      <w:bookmarkStart w:id="29" w:name="_Toc135306233"/>
      <w:bookmarkStart w:id="30" w:name="_Toc137702485"/>
      <w:r w:rsidRPr="41AFFCA3">
        <w:t>Podsumowanie</w:t>
      </w:r>
      <w:bookmarkEnd w:id="29"/>
      <w:bookmarkEnd w:id="30"/>
    </w:p>
    <w:p w14:paraId="4378D81A" w14:textId="15CF16B5" w:rsidR="79DA39EF" w:rsidRDefault="79DA39EF" w:rsidP="79DA39EF">
      <w:pPr>
        <w:spacing w:line="360" w:lineRule="auto"/>
        <w:rPr>
          <w:rFonts w:ascii="Times New Roman" w:hAnsi="Times New Roman" w:cs="Times New Roman"/>
          <w:b/>
          <w:bCs/>
          <w:sz w:val="28"/>
          <w:szCs w:val="28"/>
        </w:rPr>
      </w:pPr>
    </w:p>
    <w:p w14:paraId="7B232CE6" w14:textId="091FE987" w:rsidR="00C92BAC" w:rsidRPr="00E11754" w:rsidRDefault="02602357" w:rsidP="00C92BAC">
      <w:pPr>
        <w:pStyle w:val="Akapitzlist"/>
        <w:numPr>
          <w:ilvl w:val="0"/>
          <w:numId w:val="39"/>
        </w:numPr>
        <w:spacing w:line="360" w:lineRule="auto"/>
        <w:jc w:val="both"/>
        <w:rPr>
          <w:rFonts w:ascii="Times New Roman" w:hAnsi="Times New Roman" w:cs="Times New Roman"/>
          <w:sz w:val="24"/>
          <w:szCs w:val="24"/>
        </w:rPr>
      </w:pPr>
      <w:r w:rsidRPr="02602357">
        <w:rPr>
          <w:rFonts w:ascii="Times New Roman" w:hAnsi="Times New Roman" w:cs="Times New Roman"/>
          <w:sz w:val="24"/>
          <w:szCs w:val="24"/>
        </w:rPr>
        <w:lastRenderedPageBreak/>
        <w:t xml:space="preserve">Opracowano metody oznaczania </w:t>
      </w:r>
      <w:proofErr w:type="spellStart"/>
      <w:r w:rsidRPr="02602357">
        <w:rPr>
          <w:rFonts w:ascii="Times New Roman" w:hAnsi="Times New Roman" w:cs="Times New Roman"/>
          <w:sz w:val="24"/>
          <w:szCs w:val="24"/>
        </w:rPr>
        <w:t>doksorubicyny</w:t>
      </w:r>
      <w:proofErr w:type="spellEnd"/>
      <w:r w:rsidRPr="02602357">
        <w:rPr>
          <w:rFonts w:ascii="Times New Roman" w:hAnsi="Times New Roman" w:cs="Times New Roman"/>
          <w:sz w:val="24"/>
          <w:szCs w:val="24"/>
        </w:rPr>
        <w:t xml:space="preserve">, </w:t>
      </w:r>
      <w:proofErr w:type="spellStart"/>
      <w:r w:rsidRPr="02602357">
        <w:rPr>
          <w:rFonts w:ascii="Times New Roman" w:hAnsi="Times New Roman" w:cs="Times New Roman"/>
          <w:sz w:val="24"/>
          <w:szCs w:val="24"/>
        </w:rPr>
        <w:t>epirubicyny</w:t>
      </w:r>
      <w:proofErr w:type="spellEnd"/>
      <w:r w:rsidRPr="02602357">
        <w:rPr>
          <w:rFonts w:ascii="Times New Roman" w:hAnsi="Times New Roman" w:cs="Times New Roman"/>
          <w:sz w:val="24"/>
          <w:szCs w:val="24"/>
        </w:rPr>
        <w:t xml:space="preserve"> i </w:t>
      </w:r>
      <w:proofErr w:type="spellStart"/>
      <w:r w:rsidRPr="02602357">
        <w:rPr>
          <w:rFonts w:ascii="Times New Roman" w:hAnsi="Times New Roman" w:cs="Times New Roman"/>
          <w:sz w:val="24"/>
          <w:szCs w:val="24"/>
        </w:rPr>
        <w:t>idarubicyny</w:t>
      </w:r>
      <w:proofErr w:type="spellEnd"/>
      <w:r w:rsidRPr="02602357">
        <w:rPr>
          <w:rFonts w:ascii="Times New Roman" w:hAnsi="Times New Roman" w:cs="Times New Roman"/>
          <w:sz w:val="24"/>
          <w:szCs w:val="24"/>
        </w:rPr>
        <w:t xml:space="preserve"> w moczu i osoczu krwi ludzkiej, a dla </w:t>
      </w:r>
      <w:proofErr w:type="spellStart"/>
      <w:r w:rsidRPr="02602357">
        <w:rPr>
          <w:rFonts w:ascii="Times New Roman" w:hAnsi="Times New Roman" w:cs="Times New Roman"/>
          <w:sz w:val="24"/>
          <w:szCs w:val="24"/>
        </w:rPr>
        <w:t>doksorubicyny</w:t>
      </w:r>
      <w:proofErr w:type="spellEnd"/>
      <w:r w:rsidRPr="02602357">
        <w:rPr>
          <w:rFonts w:ascii="Times New Roman" w:hAnsi="Times New Roman" w:cs="Times New Roman"/>
          <w:sz w:val="24"/>
          <w:szCs w:val="24"/>
        </w:rPr>
        <w:t xml:space="preserve"> także w tkankach zwierzęcych, techniką chromatografii cieczowej z detekcją fluorescencyjną (LC-FL),</w:t>
      </w:r>
    </w:p>
    <w:p w14:paraId="0F7E6D2B" w14:textId="666B4F8F" w:rsidR="00C92BAC" w:rsidRPr="00E11754" w:rsidRDefault="02602357" w:rsidP="00C92BAC">
      <w:pPr>
        <w:numPr>
          <w:ilvl w:val="0"/>
          <w:numId w:val="39"/>
        </w:numPr>
        <w:spacing w:line="360" w:lineRule="auto"/>
        <w:jc w:val="both"/>
        <w:rPr>
          <w:rFonts w:ascii="Times New Roman" w:hAnsi="Times New Roman" w:cs="Times New Roman"/>
          <w:sz w:val="24"/>
          <w:szCs w:val="24"/>
        </w:rPr>
      </w:pPr>
      <w:r w:rsidRPr="02602357">
        <w:rPr>
          <w:rFonts w:ascii="Times New Roman" w:hAnsi="Times New Roman" w:cs="Times New Roman"/>
          <w:sz w:val="24"/>
          <w:szCs w:val="24"/>
        </w:rPr>
        <w:t xml:space="preserve">Opracowano skuteczne procedury ekstrakcji powyższych </w:t>
      </w:r>
      <w:proofErr w:type="spellStart"/>
      <w:r w:rsidRPr="02602357">
        <w:rPr>
          <w:rFonts w:ascii="Times New Roman" w:hAnsi="Times New Roman" w:cs="Times New Roman"/>
          <w:sz w:val="24"/>
          <w:szCs w:val="24"/>
        </w:rPr>
        <w:t>analitów</w:t>
      </w:r>
      <w:proofErr w:type="spellEnd"/>
      <w:r w:rsidRPr="02602357">
        <w:rPr>
          <w:rFonts w:ascii="Times New Roman" w:hAnsi="Times New Roman" w:cs="Times New Roman"/>
          <w:sz w:val="24"/>
          <w:szCs w:val="24"/>
        </w:rPr>
        <w:t xml:space="preserve"> z wyżej wymienionych materiałów biologicznych oparte na ekstrakcji do fazy stałej (SPE) z użyciem kolumienek HLB,</w:t>
      </w:r>
    </w:p>
    <w:p w14:paraId="7AEC5105" w14:textId="6AEC20A9" w:rsidR="00C92BAC" w:rsidRPr="00E11754" w:rsidRDefault="02602357" w:rsidP="00C92BAC">
      <w:pPr>
        <w:numPr>
          <w:ilvl w:val="0"/>
          <w:numId w:val="39"/>
        </w:numPr>
        <w:spacing w:line="360" w:lineRule="auto"/>
        <w:jc w:val="both"/>
        <w:rPr>
          <w:rFonts w:ascii="Times New Roman" w:hAnsi="Times New Roman" w:cs="Times New Roman"/>
          <w:sz w:val="24"/>
          <w:szCs w:val="24"/>
        </w:rPr>
      </w:pPr>
      <w:r w:rsidRPr="02602357">
        <w:rPr>
          <w:rFonts w:ascii="Times New Roman" w:hAnsi="Times New Roman" w:cs="Times New Roman"/>
          <w:sz w:val="24"/>
          <w:szCs w:val="24"/>
        </w:rPr>
        <w:t xml:space="preserve">Powyższe metody oznaczania </w:t>
      </w:r>
      <w:proofErr w:type="spellStart"/>
      <w:r w:rsidRPr="02602357">
        <w:rPr>
          <w:rFonts w:ascii="Times New Roman" w:hAnsi="Times New Roman" w:cs="Times New Roman"/>
          <w:sz w:val="24"/>
          <w:szCs w:val="24"/>
        </w:rPr>
        <w:t>doksorubicyny</w:t>
      </w:r>
      <w:proofErr w:type="spellEnd"/>
      <w:r w:rsidRPr="02602357">
        <w:rPr>
          <w:rFonts w:ascii="Times New Roman" w:hAnsi="Times New Roman" w:cs="Times New Roman"/>
          <w:sz w:val="24"/>
          <w:szCs w:val="24"/>
        </w:rPr>
        <w:t xml:space="preserve">, </w:t>
      </w:r>
      <w:proofErr w:type="spellStart"/>
      <w:r w:rsidRPr="02602357">
        <w:rPr>
          <w:rFonts w:ascii="Times New Roman" w:hAnsi="Times New Roman" w:cs="Times New Roman"/>
          <w:sz w:val="24"/>
          <w:szCs w:val="24"/>
        </w:rPr>
        <w:t>epirubicyny</w:t>
      </w:r>
      <w:proofErr w:type="spellEnd"/>
      <w:r w:rsidRPr="02602357">
        <w:rPr>
          <w:rFonts w:ascii="Times New Roman" w:hAnsi="Times New Roman" w:cs="Times New Roman"/>
          <w:sz w:val="24"/>
          <w:szCs w:val="24"/>
        </w:rPr>
        <w:t xml:space="preserve"> i </w:t>
      </w:r>
      <w:proofErr w:type="spellStart"/>
      <w:r w:rsidRPr="02602357">
        <w:rPr>
          <w:rFonts w:ascii="Times New Roman" w:hAnsi="Times New Roman" w:cs="Times New Roman"/>
          <w:sz w:val="24"/>
          <w:szCs w:val="24"/>
        </w:rPr>
        <w:t>idarubicyny</w:t>
      </w:r>
      <w:proofErr w:type="spellEnd"/>
      <w:r w:rsidRPr="02602357">
        <w:rPr>
          <w:rFonts w:ascii="Times New Roman" w:hAnsi="Times New Roman" w:cs="Times New Roman"/>
          <w:sz w:val="24"/>
          <w:szCs w:val="24"/>
        </w:rPr>
        <w:t xml:space="preserve"> w osoczu i moczu techniką SPE-LC-FL zostały </w:t>
      </w:r>
      <w:proofErr w:type="spellStart"/>
      <w:r w:rsidRPr="02602357">
        <w:rPr>
          <w:rFonts w:ascii="Times New Roman" w:hAnsi="Times New Roman" w:cs="Times New Roman"/>
          <w:sz w:val="24"/>
          <w:szCs w:val="24"/>
        </w:rPr>
        <w:t>zwalidowane</w:t>
      </w:r>
      <w:proofErr w:type="spellEnd"/>
      <w:r w:rsidRPr="02602357">
        <w:rPr>
          <w:rFonts w:ascii="Times New Roman" w:hAnsi="Times New Roman" w:cs="Times New Roman"/>
          <w:sz w:val="24"/>
          <w:szCs w:val="24"/>
        </w:rPr>
        <w:t xml:space="preserve"> zgodnie z wymogami FDA i ICH i z powodzeniem zastosowane do monitorowania leków cytostatycznych u dzieci leczonych onkologicznie,</w:t>
      </w:r>
    </w:p>
    <w:p w14:paraId="4C64FEF0" w14:textId="54F862FF" w:rsidR="00C92BAC" w:rsidRPr="00E11754" w:rsidRDefault="2100169C" w:rsidP="00C92BAC">
      <w:pPr>
        <w:numPr>
          <w:ilvl w:val="0"/>
          <w:numId w:val="39"/>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 xml:space="preserve">Uzyskane profile stężeń odniesiono do wcześniej opublikowanych w literaturze w aspekcie efektywności i bezpieczeństwa stosowania </w:t>
      </w:r>
      <w:proofErr w:type="spellStart"/>
      <w:r w:rsidRPr="00E11754">
        <w:rPr>
          <w:rFonts w:ascii="Times New Roman" w:hAnsi="Times New Roman" w:cs="Times New Roman"/>
          <w:sz w:val="24"/>
          <w:szCs w:val="24"/>
        </w:rPr>
        <w:t>antracyklin</w:t>
      </w:r>
      <w:proofErr w:type="spellEnd"/>
      <w:r w:rsidRPr="00E11754">
        <w:rPr>
          <w:rFonts w:ascii="Times New Roman" w:hAnsi="Times New Roman" w:cs="Times New Roman"/>
          <w:sz w:val="24"/>
          <w:szCs w:val="24"/>
        </w:rPr>
        <w:t xml:space="preserve"> dla pacjenta i jego otoczenia,</w:t>
      </w:r>
    </w:p>
    <w:p w14:paraId="3B05E670" w14:textId="2BC48366" w:rsidR="00C92BAC" w:rsidRPr="00E11754" w:rsidRDefault="00C92BAC" w:rsidP="00C92BAC">
      <w:pPr>
        <w:pStyle w:val="Akapitzlist"/>
        <w:numPr>
          <w:ilvl w:val="0"/>
          <w:numId w:val="39"/>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 xml:space="preserve">Potwierdzono użyteczność opracowanej metody oznaczania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w tkankach szczurzych techniką LC-FL do potencjalnych zastosowań w badaniach </w:t>
      </w:r>
      <w:r w:rsidRPr="00E11754">
        <w:rPr>
          <w:rFonts w:ascii="Times New Roman" w:eastAsia="Times New Roman" w:hAnsi="Times New Roman" w:cs="Times New Roman"/>
          <w:sz w:val="24"/>
          <w:szCs w:val="24"/>
          <w:bdr w:val="none" w:sz="0" w:space="0" w:color="auto" w:frame="1"/>
          <w:lang w:eastAsia="pl-PL"/>
        </w:rPr>
        <w:t>klinicznych z udziałem zwierząt laboratoryjnych,</w:t>
      </w:r>
    </w:p>
    <w:p w14:paraId="27ED5661" w14:textId="30CAB1AF" w:rsidR="00C92BAC" w:rsidRPr="00E11754" w:rsidRDefault="2100169C" w:rsidP="00C92BAC">
      <w:pPr>
        <w:numPr>
          <w:ilvl w:val="0"/>
          <w:numId w:val="39"/>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 xml:space="preserve">Opracowano warunki oznaczania </w:t>
      </w:r>
      <w:proofErr w:type="spellStart"/>
      <w:r w:rsidRPr="00E11754">
        <w:rPr>
          <w:rFonts w:ascii="Times New Roman" w:hAnsi="Times New Roman" w:cs="Times New Roman"/>
          <w:sz w:val="24"/>
          <w:szCs w:val="24"/>
        </w:rPr>
        <w:t>docetakselu</w:t>
      </w:r>
      <w:proofErr w:type="spellEnd"/>
      <w:r w:rsidRPr="00E11754">
        <w:rPr>
          <w:rFonts w:ascii="Times New Roman" w:hAnsi="Times New Roman" w:cs="Times New Roman"/>
          <w:sz w:val="24"/>
          <w:szCs w:val="24"/>
        </w:rPr>
        <w:t xml:space="preserve"> w moczu i osoczu krwi ludzkiej techniką LC-MS/MS oraz skuteczną procedurę ekstrakcji tego </w:t>
      </w:r>
      <w:proofErr w:type="spellStart"/>
      <w:r w:rsidRPr="00E11754">
        <w:rPr>
          <w:rFonts w:ascii="Times New Roman" w:hAnsi="Times New Roman" w:cs="Times New Roman"/>
          <w:sz w:val="24"/>
          <w:szCs w:val="24"/>
        </w:rPr>
        <w:t>analitu</w:t>
      </w:r>
      <w:proofErr w:type="spellEnd"/>
      <w:r w:rsidRPr="00E11754">
        <w:rPr>
          <w:rFonts w:ascii="Times New Roman" w:hAnsi="Times New Roman" w:cs="Times New Roman"/>
          <w:sz w:val="24"/>
          <w:szCs w:val="24"/>
        </w:rPr>
        <w:t xml:space="preserve"> z materiału biologicznego bazującą na UA-DLLME, </w:t>
      </w:r>
    </w:p>
    <w:p w14:paraId="57179696" w14:textId="4B223B55" w:rsidR="00C92BAC" w:rsidRPr="00E11754" w:rsidRDefault="2100169C" w:rsidP="00C92BAC">
      <w:pPr>
        <w:pStyle w:val="Akapitzlist"/>
        <w:numPr>
          <w:ilvl w:val="0"/>
          <w:numId w:val="39"/>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 xml:space="preserve">Przeprowadzono walidację opracowanej metody chromatograficznej oznaczania </w:t>
      </w:r>
      <w:proofErr w:type="spellStart"/>
      <w:r w:rsidRPr="00E11754">
        <w:rPr>
          <w:rFonts w:ascii="Times New Roman" w:hAnsi="Times New Roman" w:cs="Times New Roman"/>
          <w:sz w:val="24"/>
          <w:szCs w:val="24"/>
        </w:rPr>
        <w:t>docetakselu</w:t>
      </w:r>
      <w:proofErr w:type="spellEnd"/>
      <w:r w:rsidRPr="00E11754">
        <w:rPr>
          <w:rFonts w:ascii="Times New Roman" w:hAnsi="Times New Roman" w:cs="Times New Roman"/>
          <w:sz w:val="24"/>
          <w:szCs w:val="24"/>
        </w:rPr>
        <w:t xml:space="preserve"> techniką UA-DLLME-LC-MS/MS zgodnie z wymaganiami FDA oraz ICH, </w:t>
      </w:r>
    </w:p>
    <w:p w14:paraId="3EF8E00B" w14:textId="78CE6137" w:rsidR="00C92BAC" w:rsidRPr="00E11754" w:rsidRDefault="2100169C" w:rsidP="00C92BAC">
      <w:pPr>
        <w:pStyle w:val="Akapitzlist"/>
        <w:numPr>
          <w:ilvl w:val="0"/>
          <w:numId w:val="39"/>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 xml:space="preserve">Potwierdzono użyteczność opracowanej metody UA-DLLME-LC-MS/MS w praktyce klinicznej poprzez jej zastosowanie do wyznaczenia profili stężeń </w:t>
      </w:r>
      <w:proofErr w:type="spellStart"/>
      <w:r w:rsidRPr="00E11754">
        <w:rPr>
          <w:rFonts w:ascii="Times New Roman" w:hAnsi="Times New Roman" w:cs="Times New Roman"/>
          <w:sz w:val="24"/>
          <w:szCs w:val="24"/>
        </w:rPr>
        <w:t>docetakselu</w:t>
      </w:r>
      <w:proofErr w:type="spellEnd"/>
      <w:r w:rsidRPr="00E11754">
        <w:rPr>
          <w:rFonts w:ascii="Times New Roman" w:hAnsi="Times New Roman" w:cs="Times New Roman"/>
          <w:sz w:val="24"/>
          <w:szCs w:val="24"/>
        </w:rPr>
        <w:t xml:space="preserve"> w próbkach osocza i moczu pobranych od pacjenta poddanego leczeniu onkologicznemu,</w:t>
      </w:r>
    </w:p>
    <w:p w14:paraId="6CB7E0E2" w14:textId="23B87738" w:rsidR="00B845A1" w:rsidRPr="00E11754" w:rsidRDefault="2100169C" w:rsidP="00C92BAC">
      <w:pPr>
        <w:numPr>
          <w:ilvl w:val="0"/>
          <w:numId w:val="36"/>
        </w:num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 xml:space="preserve">Opracowane metody LC-FL oraz LC-MS/MS stanowią alternatywę dla dotychczas opublikowanych technik LC oznaczania wybranych </w:t>
      </w:r>
      <w:proofErr w:type="spellStart"/>
      <w:r w:rsidRPr="00E11754">
        <w:rPr>
          <w:rFonts w:ascii="Times New Roman" w:hAnsi="Times New Roman" w:cs="Times New Roman"/>
          <w:sz w:val="24"/>
          <w:szCs w:val="24"/>
        </w:rPr>
        <w:t>antracyklin</w:t>
      </w:r>
      <w:proofErr w:type="spellEnd"/>
      <w:r w:rsidRPr="00E11754">
        <w:rPr>
          <w:rFonts w:ascii="Times New Roman" w:hAnsi="Times New Roman" w:cs="Times New Roman"/>
          <w:sz w:val="24"/>
          <w:szCs w:val="24"/>
        </w:rPr>
        <w:t xml:space="preserve"> i </w:t>
      </w:r>
      <w:proofErr w:type="spellStart"/>
      <w:r w:rsidRPr="00E11754">
        <w:rPr>
          <w:rFonts w:ascii="Times New Roman" w:hAnsi="Times New Roman" w:cs="Times New Roman"/>
          <w:sz w:val="24"/>
          <w:szCs w:val="24"/>
        </w:rPr>
        <w:t>taksanu</w:t>
      </w:r>
      <w:proofErr w:type="spellEnd"/>
      <w:r w:rsidRPr="00E11754">
        <w:rPr>
          <w:rFonts w:ascii="Times New Roman" w:hAnsi="Times New Roman" w:cs="Times New Roman"/>
          <w:sz w:val="24"/>
          <w:szCs w:val="24"/>
        </w:rPr>
        <w:t xml:space="preserve"> jako użytecznych narzędzi analitycznych w badaniach farmaceutycznych.</w:t>
      </w:r>
    </w:p>
    <w:p w14:paraId="72A16F43" w14:textId="611CB058" w:rsidR="006C6CAA" w:rsidRPr="00E11754" w:rsidRDefault="006C6CAA" w:rsidP="002308E5">
      <w:pPr>
        <w:spacing w:line="360" w:lineRule="auto"/>
        <w:jc w:val="both"/>
        <w:rPr>
          <w:rFonts w:ascii="Times New Roman" w:hAnsi="Times New Roman" w:cs="Times New Roman"/>
          <w:sz w:val="24"/>
          <w:szCs w:val="24"/>
        </w:rPr>
      </w:pPr>
    </w:p>
    <w:p w14:paraId="38F9F013" w14:textId="68024980" w:rsidR="002308E5" w:rsidRPr="00E11754" w:rsidRDefault="7918CE45" w:rsidP="7918CE45">
      <w:pPr>
        <w:pStyle w:val="Nagwek1"/>
        <w:spacing w:line="360" w:lineRule="auto"/>
        <w:rPr>
          <w:rFonts w:ascii="Times New Roman" w:eastAsia="CharisSIL" w:hAnsi="Times New Roman" w:cs="Times New Roman"/>
          <w:b/>
          <w:sz w:val="28"/>
          <w:szCs w:val="28"/>
        </w:rPr>
      </w:pPr>
      <w:bookmarkStart w:id="31" w:name="_Toc137702486"/>
      <w:r w:rsidRPr="187E21A1">
        <w:rPr>
          <w:rFonts w:ascii="Times New Roman" w:eastAsia="CharisSIL" w:hAnsi="Times New Roman" w:cs="Times New Roman"/>
          <w:b/>
          <w:sz w:val="28"/>
          <w:szCs w:val="28"/>
        </w:rPr>
        <w:lastRenderedPageBreak/>
        <w:t>Streszczenie</w:t>
      </w:r>
      <w:bookmarkEnd w:id="31"/>
      <w:r w:rsidRPr="187E21A1">
        <w:rPr>
          <w:rFonts w:ascii="Times New Roman" w:eastAsia="CharisSIL" w:hAnsi="Times New Roman" w:cs="Times New Roman"/>
          <w:b/>
          <w:sz w:val="28"/>
          <w:szCs w:val="28"/>
        </w:rPr>
        <w:t xml:space="preserve"> </w:t>
      </w:r>
    </w:p>
    <w:p w14:paraId="798A9F0E" w14:textId="474BBDF2" w:rsidR="002308E5" w:rsidRPr="00E11754" w:rsidRDefault="002308E5" w:rsidP="409D4717">
      <w:p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ab/>
        <w:t xml:space="preserve">Pomimo ciągłego rozwoju współczesnej medycy, choroby nowotworowe są w dalszym ciągu jednym z najczęstszych schorzeń na świecie, które w wielu przypadkach prowadzą do śmierci pacjenta. Z tego względu, opracowanie skutecznej terapii stanowi istotne wyzwanie dla wielu klinicystów i naukowców. Niezmiennie od lat, </w:t>
      </w:r>
      <w:r w:rsidR="2100169C" w:rsidRPr="00E11754">
        <w:rPr>
          <w:rFonts w:ascii="Times New Roman" w:hAnsi="Times New Roman" w:cs="Times New Roman"/>
          <w:sz w:val="24"/>
          <w:szCs w:val="24"/>
        </w:rPr>
        <w:t>chemioterapia</w:t>
      </w:r>
      <w:r w:rsidRPr="00E11754">
        <w:rPr>
          <w:rFonts w:ascii="Times New Roman" w:hAnsi="Times New Roman" w:cs="Times New Roman"/>
          <w:sz w:val="24"/>
          <w:szCs w:val="24"/>
        </w:rPr>
        <w:t xml:space="preserve"> jest jednym z podstawowych sposobów leczenia onkologicznego, z którą niestety wiąże się także wysokie ryzyko występowania wielu poważnych efektów ubocznych. W związku z poprawą jej skuteczności, a także potrzebą obniżenia skutków niepożądanych sugeruje się stosowanie </w:t>
      </w:r>
      <w:r w:rsidR="00F17E05" w:rsidRPr="00E11754">
        <w:rPr>
          <w:rFonts w:ascii="Times New Roman" w:hAnsi="Times New Roman" w:cs="Times New Roman"/>
          <w:sz w:val="24"/>
          <w:szCs w:val="24"/>
        </w:rPr>
        <w:t xml:space="preserve">terapii monitorowanej stężeniem leku </w:t>
      </w:r>
      <w:r w:rsidRPr="00E11754">
        <w:rPr>
          <w:rFonts w:ascii="Times New Roman" w:hAnsi="Times New Roman" w:cs="Times New Roman"/>
          <w:sz w:val="24"/>
          <w:szCs w:val="24"/>
        </w:rPr>
        <w:t xml:space="preserve">(ang. </w:t>
      </w:r>
      <w:proofErr w:type="spellStart"/>
      <w:r w:rsidRPr="00E11754">
        <w:rPr>
          <w:rFonts w:ascii="Times New Roman" w:hAnsi="Times New Roman" w:cs="Times New Roman"/>
          <w:i/>
          <w:iCs/>
          <w:sz w:val="24"/>
          <w:szCs w:val="24"/>
        </w:rPr>
        <w:t>Therapeutic</w:t>
      </w:r>
      <w:proofErr w:type="spellEnd"/>
      <w:r w:rsidRPr="00E11754">
        <w:rPr>
          <w:rFonts w:ascii="Times New Roman" w:hAnsi="Times New Roman" w:cs="Times New Roman"/>
          <w:i/>
          <w:iCs/>
          <w:sz w:val="24"/>
          <w:szCs w:val="24"/>
        </w:rPr>
        <w:t xml:space="preserve"> </w:t>
      </w:r>
      <w:proofErr w:type="spellStart"/>
      <w:r w:rsidRPr="00E11754">
        <w:rPr>
          <w:rFonts w:ascii="Times New Roman" w:hAnsi="Times New Roman" w:cs="Times New Roman"/>
          <w:i/>
          <w:iCs/>
          <w:sz w:val="24"/>
          <w:szCs w:val="24"/>
        </w:rPr>
        <w:t>Drug</w:t>
      </w:r>
      <w:proofErr w:type="spellEnd"/>
      <w:r w:rsidRPr="00E11754">
        <w:rPr>
          <w:rFonts w:ascii="Times New Roman" w:hAnsi="Times New Roman" w:cs="Times New Roman"/>
          <w:i/>
          <w:iCs/>
          <w:sz w:val="24"/>
          <w:szCs w:val="24"/>
        </w:rPr>
        <w:t xml:space="preserve"> Monitoring, </w:t>
      </w:r>
      <w:r w:rsidRPr="00E11754">
        <w:rPr>
          <w:rFonts w:ascii="Times New Roman" w:hAnsi="Times New Roman" w:cs="Times New Roman"/>
          <w:sz w:val="24"/>
          <w:szCs w:val="24"/>
        </w:rPr>
        <w:t>TDM) opartej na doborze dawki leku na podstawie wcześniej określonego stężenia oznaczonego w próbkach krwi pacjenta. Takie podejście może stanowić alternatywę dla dotychczasowego sposobu dawkowania leków cytostatycznych w oparciu o masę czy powierzchnię ciała pacjenta. Wymaga to jednak opracowywania metod pozwalających w dokładny i precyzyjny sposób określić poziom leku po jego podaniu w płynach ustrojowych pacjenta (najczęściej osocze, ale także surowica i mocz).</w:t>
      </w:r>
      <w:r w:rsidR="2100169C" w:rsidRPr="00E11754">
        <w:rPr>
          <w:rFonts w:ascii="Times New Roman" w:hAnsi="Times New Roman" w:cs="Times New Roman"/>
          <w:sz w:val="24"/>
          <w:szCs w:val="24"/>
        </w:rPr>
        <w:t xml:space="preserve"> Istotnym kierunkiem rozwoju leczenia onkologicznego jest także wprowadzanie nowych substancji o działaniu przeciwnowotworowym bądź projektowanie nowych postaci leku dla </w:t>
      </w:r>
      <w:proofErr w:type="spellStart"/>
      <w:r w:rsidR="2100169C" w:rsidRPr="00E11754">
        <w:rPr>
          <w:rFonts w:ascii="Times New Roman" w:hAnsi="Times New Roman" w:cs="Times New Roman"/>
          <w:sz w:val="24"/>
          <w:szCs w:val="24"/>
        </w:rPr>
        <w:t>cytostatyków</w:t>
      </w:r>
      <w:proofErr w:type="spellEnd"/>
      <w:r w:rsidR="2100169C" w:rsidRPr="00E11754">
        <w:rPr>
          <w:rFonts w:ascii="Times New Roman" w:hAnsi="Times New Roman" w:cs="Times New Roman"/>
          <w:sz w:val="24"/>
          <w:szCs w:val="24"/>
        </w:rPr>
        <w:t xml:space="preserve"> już dopuszczonych do lecznictwa, które charakteryzują się wyższą efektywnością terapeutyczną i niższym profilem działań niepożądanych. Jednakże, ich dopuszczenie do obrotu aptecznego wymaga przeprowadzenia szeregu badań klinicznych, w tym z udziałem zwierząt laboratoryjnych. Zatem, istnieje potrzeba opracowania metod analitycznych służących do oznaczania substancji przeciwnowotworowych w tkankach zwierzęcych. </w:t>
      </w:r>
    </w:p>
    <w:p w14:paraId="1127779B" w14:textId="4EB9969B" w:rsidR="002308E5" w:rsidRPr="00E11754" w:rsidRDefault="002308E5" w:rsidP="409D4717">
      <w:pPr>
        <w:spacing w:line="360" w:lineRule="auto"/>
        <w:ind w:firstLine="708"/>
        <w:jc w:val="both"/>
        <w:rPr>
          <w:rFonts w:ascii="Times New Roman" w:hAnsi="Times New Roman" w:cs="Times New Roman"/>
          <w:sz w:val="24"/>
          <w:szCs w:val="24"/>
        </w:rPr>
      </w:pPr>
      <w:r w:rsidRPr="00E11754">
        <w:rPr>
          <w:rFonts w:ascii="Times New Roman" w:hAnsi="Times New Roman" w:cs="Times New Roman"/>
          <w:sz w:val="24"/>
          <w:szCs w:val="24"/>
        </w:rPr>
        <w:t xml:space="preserve">Głównym celem pracy doktorskiej była optymalizacja metod umożliwiających monitorowanie stężenia </w:t>
      </w:r>
      <w:r w:rsidR="2F5BE774" w:rsidRPr="00E11754">
        <w:rPr>
          <w:rFonts w:ascii="Times New Roman" w:hAnsi="Times New Roman" w:cs="Times New Roman"/>
          <w:sz w:val="24"/>
          <w:szCs w:val="24"/>
        </w:rPr>
        <w:t>wybranych</w:t>
      </w:r>
      <w:r w:rsidRPr="00E11754">
        <w:rPr>
          <w:rFonts w:ascii="Times New Roman" w:hAnsi="Times New Roman" w:cs="Times New Roman"/>
          <w:sz w:val="24"/>
          <w:szCs w:val="24"/>
        </w:rPr>
        <w:t xml:space="preserve"> leków cytostatycznych z grupy </w:t>
      </w:r>
      <w:proofErr w:type="spellStart"/>
      <w:r w:rsidRPr="00E11754">
        <w:rPr>
          <w:rFonts w:ascii="Times New Roman" w:hAnsi="Times New Roman" w:cs="Times New Roman"/>
          <w:sz w:val="24"/>
          <w:szCs w:val="24"/>
        </w:rPr>
        <w:t>antracyklin</w:t>
      </w:r>
      <w:proofErr w:type="spellEnd"/>
      <w:r w:rsidRPr="00E11754">
        <w:rPr>
          <w:rFonts w:ascii="Times New Roman" w:hAnsi="Times New Roman" w:cs="Times New Roman"/>
          <w:sz w:val="24"/>
          <w:szCs w:val="24"/>
        </w:rPr>
        <w:t xml:space="preserve"> (</w:t>
      </w:r>
      <w:proofErr w:type="spellStart"/>
      <w:r w:rsidR="2F5BE774" w:rsidRPr="00E11754">
        <w:rPr>
          <w:rFonts w:ascii="Times New Roman" w:hAnsi="Times New Roman" w:cs="Times New Roman"/>
          <w:sz w:val="24"/>
          <w:szCs w:val="24"/>
        </w:rPr>
        <w:t>doksorubicyny</w:t>
      </w:r>
      <w:proofErr w:type="spellEnd"/>
      <w:r w:rsidR="2F5BE774" w:rsidRPr="00E11754">
        <w:rPr>
          <w:rFonts w:ascii="Times New Roman" w:hAnsi="Times New Roman" w:cs="Times New Roman"/>
          <w:sz w:val="24"/>
          <w:szCs w:val="24"/>
        </w:rPr>
        <w:t xml:space="preserve">, </w:t>
      </w:r>
      <w:proofErr w:type="spellStart"/>
      <w:r w:rsidR="2F5BE774" w:rsidRPr="00E11754">
        <w:rPr>
          <w:rFonts w:ascii="Times New Roman" w:hAnsi="Times New Roman" w:cs="Times New Roman"/>
          <w:sz w:val="24"/>
          <w:szCs w:val="24"/>
        </w:rPr>
        <w:t>epirubicyny</w:t>
      </w:r>
      <w:proofErr w:type="spellEnd"/>
      <w:r w:rsidR="2F5BE774" w:rsidRPr="00E11754">
        <w:rPr>
          <w:rFonts w:ascii="Times New Roman" w:hAnsi="Times New Roman" w:cs="Times New Roman"/>
          <w:sz w:val="24"/>
          <w:szCs w:val="24"/>
        </w:rPr>
        <w:t xml:space="preserve">, </w:t>
      </w:r>
      <w:proofErr w:type="spellStart"/>
      <w:r w:rsidR="2F5BE774" w:rsidRPr="00E11754">
        <w:rPr>
          <w:rFonts w:ascii="Times New Roman" w:hAnsi="Times New Roman" w:cs="Times New Roman"/>
          <w:sz w:val="24"/>
          <w:szCs w:val="24"/>
        </w:rPr>
        <w:t>idarubicyny</w:t>
      </w:r>
      <w:proofErr w:type="spellEnd"/>
      <w:r w:rsidRPr="00E11754">
        <w:rPr>
          <w:rFonts w:ascii="Times New Roman" w:hAnsi="Times New Roman" w:cs="Times New Roman"/>
          <w:sz w:val="24"/>
          <w:szCs w:val="24"/>
        </w:rPr>
        <w:t xml:space="preserve">) oraz </w:t>
      </w:r>
      <w:proofErr w:type="spellStart"/>
      <w:r w:rsidRPr="00E11754">
        <w:rPr>
          <w:rFonts w:ascii="Times New Roman" w:hAnsi="Times New Roman" w:cs="Times New Roman"/>
          <w:sz w:val="24"/>
          <w:szCs w:val="24"/>
        </w:rPr>
        <w:t>taksanów</w:t>
      </w:r>
      <w:proofErr w:type="spellEnd"/>
      <w:r w:rsidRPr="00E11754">
        <w:rPr>
          <w:rFonts w:ascii="Times New Roman" w:hAnsi="Times New Roman" w:cs="Times New Roman"/>
          <w:sz w:val="24"/>
          <w:szCs w:val="24"/>
        </w:rPr>
        <w:t xml:space="preserve"> (</w:t>
      </w:r>
      <w:proofErr w:type="spellStart"/>
      <w:r w:rsidR="2F5BE774" w:rsidRPr="00E11754">
        <w:rPr>
          <w:rFonts w:ascii="Times New Roman" w:hAnsi="Times New Roman" w:cs="Times New Roman"/>
          <w:sz w:val="24"/>
          <w:szCs w:val="24"/>
        </w:rPr>
        <w:t>docetakselu</w:t>
      </w:r>
      <w:proofErr w:type="spellEnd"/>
      <w:r w:rsidRPr="00E11754">
        <w:rPr>
          <w:rFonts w:ascii="Times New Roman" w:hAnsi="Times New Roman" w:cs="Times New Roman"/>
          <w:sz w:val="24"/>
          <w:szCs w:val="24"/>
        </w:rPr>
        <w:t xml:space="preserve">) w płynach ustrojowych człowieka (osocze i mocz). Ponadto, celem </w:t>
      </w:r>
      <w:r w:rsidR="2F5BE774" w:rsidRPr="00E11754">
        <w:rPr>
          <w:rFonts w:ascii="Times New Roman" w:hAnsi="Times New Roman" w:cs="Times New Roman"/>
          <w:sz w:val="24"/>
          <w:szCs w:val="24"/>
        </w:rPr>
        <w:t>badań było także</w:t>
      </w:r>
      <w:r w:rsidRPr="00E11754">
        <w:rPr>
          <w:rFonts w:ascii="Times New Roman" w:hAnsi="Times New Roman" w:cs="Times New Roman"/>
          <w:sz w:val="24"/>
          <w:szCs w:val="24"/>
        </w:rPr>
        <w:t xml:space="preserve"> rozszerzenie stosowalności metody do oznaczania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w </w:t>
      </w:r>
      <w:r w:rsidR="2F5BE774" w:rsidRPr="00E11754">
        <w:rPr>
          <w:rFonts w:ascii="Times New Roman" w:hAnsi="Times New Roman" w:cs="Times New Roman"/>
          <w:sz w:val="24"/>
          <w:szCs w:val="24"/>
        </w:rPr>
        <w:t>tkankach zwierzęcych</w:t>
      </w:r>
      <w:r w:rsidRPr="00E11754">
        <w:rPr>
          <w:rFonts w:ascii="Times New Roman" w:hAnsi="Times New Roman" w:cs="Times New Roman"/>
          <w:sz w:val="24"/>
          <w:szCs w:val="24"/>
        </w:rPr>
        <w:t>.</w:t>
      </w:r>
    </w:p>
    <w:p w14:paraId="2F18E0E5" w14:textId="59537E2A" w:rsidR="002308E5" w:rsidRPr="00E11754" w:rsidRDefault="002308E5" w:rsidP="2F5BE774">
      <w:pPr>
        <w:spacing w:line="360" w:lineRule="auto"/>
        <w:jc w:val="both"/>
        <w:rPr>
          <w:rFonts w:ascii="Times New Roman" w:hAnsi="Times New Roman" w:cs="Times New Roman"/>
          <w:sz w:val="24"/>
          <w:szCs w:val="24"/>
        </w:rPr>
      </w:pPr>
      <w:r w:rsidRPr="00E11754">
        <w:rPr>
          <w:rFonts w:ascii="Times New Roman" w:hAnsi="Times New Roman" w:cs="Times New Roman"/>
          <w:sz w:val="24"/>
          <w:szCs w:val="24"/>
        </w:rPr>
        <w:tab/>
        <w:t xml:space="preserve">W związku z powyższym, w ramach pracy doktorskiej przeprowadzono szereg eksperymentów dotyczących opracowania procedur izolacji leków z matryc biologicznych, w trakcie których testowano szereg procedur </w:t>
      </w:r>
      <w:proofErr w:type="spellStart"/>
      <w:r w:rsidRPr="00E11754">
        <w:rPr>
          <w:rFonts w:ascii="Times New Roman" w:hAnsi="Times New Roman" w:cs="Times New Roman"/>
          <w:sz w:val="24"/>
          <w:szCs w:val="24"/>
        </w:rPr>
        <w:t>deproteinizacji</w:t>
      </w:r>
      <w:proofErr w:type="spellEnd"/>
      <w:r w:rsidRPr="00E11754">
        <w:rPr>
          <w:rFonts w:ascii="Times New Roman" w:hAnsi="Times New Roman" w:cs="Times New Roman"/>
          <w:sz w:val="24"/>
          <w:szCs w:val="24"/>
        </w:rPr>
        <w:t>, LLE, SPE z użyciem kolumienek C18 i HLB, a także SPME (</w:t>
      </w:r>
      <w:proofErr w:type="spellStart"/>
      <w:r w:rsidRPr="00E11754">
        <w:rPr>
          <w:rFonts w:ascii="Times New Roman" w:hAnsi="Times New Roman" w:cs="Times New Roman"/>
          <w:sz w:val="24"/>
          <w:szCs w:val="24"/>
        </w:rPr>
        <w:t>idarubucyna</w:t>
      </w:r>
      <w:proofErr w:type="spellEnd"/>
      <w:r w:rsidRPr="00E11754">
        <w:rPr>
          <w:rFonts w:ascii="Times New Roman" w:hAnsi="Times New Roman" w:cs="Times New Roman"/>
          <w:sz w:val="24"/>
          <w:szCs w:val="24"/>
        </w:rPr>
        <w:t>) i DLLME (</w:t>
      </w:r>
      <w:proofErr w:type="spellStart"/>
      <w:r w:rsidRPr="00E11754">
        <w:rPr>
          <w:rFonts w:ascii="Times New Roman" w:hAnsi="Times New Roman" w:cs="Times New Roman"/>
          <w:sz w:val="24"/>
          <w:szCs w:val="24"/>
        </w:rPr>
        <w:t>docetaksel</w:t>
      </w:r>
      <w:proofErr w:type="spellEnd"/>
      <w:r w:rsidRPr="00E11754">
        <w:rPr>
          <w:rFonts w:ascii="Times New Roman" w:hAnsi="Times New Roman" w:cs="Times New Roman"/>
          <w:sz w:val="24"/>
          <w:szCs w:val="24"/>
        </w:rPr>
        <w:t>). P</w:t>
      </w:r>
      <w:r w:rsidR="409D4717" w:rsidRPr="00E11754">
        <w:rPr>
          <w:rFonts w:ascii="Times New Roman" w:hAnsi="Times New Roman" w:cs="Times New Roman"/>
          <w:sz w:val="24"/>
          <w:szCs w:val="24"/>
        </w:rPr>
        <w:t>orównano</w:t>
      </w:r>
      <w:r w:rsidRPr="00E11754">
        <w:rPr>
          <w:rFonts w:ascii="Times New Roman" w:hAnsi="Times New Roman" w:cs="Times New Roman"/>
          <w:sz w:val="24"/>
          <w:szCs w:val="24"/>
        </w:rPr>
        <w:t xml:space="preserve"> uzyskane wyniki ekstrakcji oraz oceniono każdą z nich wskazując na zalety i wady. Ostatecznie jako najbardziej optymalną do izolacji </w:t>
      </w:r>
      <w:proofErr w:type="spellStart"/>
      <w:r w:rsidRPr="00E11754">
        <w:rPr>
          <w:rFonts w:ascii="Times New Roman" w:hAnsi="Times New Roman" w:cs="Times New Roman"/>
          <w:sz w:val="24"/>
          <w:szCs w:val="24"/>
        </w:rPr>
        <w:t>doksorubicyny</w:t>
      </w:r>
      <w:proofErr w:type="spellEnd"/>
      <w:r w:rsidRPr="00E11754">
        <w:rPr>
          <w:rFonts w:ascii="Times New Roman" w:hAnsi="Times New Roman" w:cs="Times New Roman"/>
          <w:sz w:val="24"/>
          <w:szCs w:val="24"/>
        </w:rPr>
        <w:t xml:space="preserve">, </w:t>
      </w:r>
      <w:proofErr w:type="spellStart"/>
      <w:r w:rsidRPr="00E11754">
        <w:rPr>
          <w:rFonts w:ascii="Times New Roman" w:hAnsi="Times New Roman" w:cs="Times New Roman"/>
          <w:sz w:val="24"/>
          <w:szCs w:val="24"/>
        </w:rPr>
        <w:t>epirubicyny</w:t>
      </w:r>
      <w:proofErr w:type="spellEnd"/>
      <w:r w:rsidRPr="00E11754">
        <w:rPr>
          <w:rFonts w:ascii="Times New Roman" w:hAnsi="Times New Roman" w:cs="Times New Roman"/>
          <w:sz w:val="24"/>
          <w:szCs w:val="24"/>
        </w:rPr>
        <w:t xml:space="preserve"> i </w:t>
      </w:r>
      <w:proofErr w:type="spellStart"/>
      <w:r w:rsidRPr="00E11754">
        <w:rPr>
          <w:rFonts w:ascii="Times New Roman" w:hAnsi="Times New Roman" w:cs="Times New Roman"/>
          <w:sz w:val="24"/>
          <w:szCs w:val="24"/>
        </w:rPr>
        <w:t>idarubicyny</w:t>
      </w:r>
      <w:proofErr w:type="spellEnd"/>
      <w:r w:rsidRPr="00E11754">
        <w:rPr>
          <w:rFonts w:ascii="Times New Roman" w:hAnsi="Times New Roman" w:cs="Times New Roman"/>
          <w:sz w:val="24"/>
          <w:szCs w:val="24"/>
        </w:rPr>
        <w:t xml:space="preserve"> wytypowano </w:t>
      </w:r>
      <w:r w:rsidRPr="00E11754">
        <w:rPr>
          <w:rFonts w:ascii="Times New Roman" w:hAnsi="Times New Roman" w:cs="Times New Roman"/>
          <w:sz w:val="24"/>
          <w:szCs w:val="24"/>
        </w:rPr>
        <w:lastRenderedPageBreak/>
        <w:t>SPE ze złożem HLB.</w:t>
      </w:r>
      <w:r w:rsidRPr="00E11754">
        <w:rPr>
          <w:rFonts w:ascii="Times New Roman" w:hAnsi="Times New Roman" w:cs="Times New Roman"/>
          <w:color w:val="FF0000"/>
          <w:sz w:val="24"/>
          <w:szCs w:val="24"/>
        </w:rPr>
        <w:t xml:space="preserve"> </w:t>
      </w:r>
      <w:r w:rsidRPr="00E11754">
        <w:rPr>
          <w:rFonts w:ascii="Times New Roman" w:hAnsi="Times New Roman" w:cs="Times New Roman"/>
          <w:sz w:val="24"/>
          <w:szCs w:val="24"/>
        </w:rPr>
        <w:t xml:space="preserve">Ponadto, w przypadku </w:t>
      </w:r>
      <w:proofErr w:type="spellStart"/>
      <w:r w:rsidRPr="00E11754">
        <w:rPr>
          <w:rFonts w:ascii="Times New Roman" w:hAnsi="Times New Roman" w:cs="Times New Roman"/>
          <w:sz w:val="24"/>
          <w:szCs w:val="24"/>
        </w:rPr>
        <w:t>idarubicyny</w:t>
      </w:r>
      <w:proofErr w:type="spellEnd"/>
      <w:r w:rsidRPr="00E11754">
        <w:rPr>
          <w:rFonts w:ascii="Times New Roman" w:hAnsi="Times New Roman" w:cs="Times New Roman"/>
          <w:sz w:val="24"/>
          <w:szCs w:val="24"/>
        </w:rPr>
        <w:t xml:space="preserve"> zaproponowano procedurę SPME do izolacji tego leku, która mogłaby być stosowana do analizy próbek pacjentów otrzymujących wyższe dawki tego </w:t>
      </w:r>
      <w:proofErr w:type="spellStart"/>
      <w:r w:rsidRPr="00E11754">
        <w:rPr>
          <w:rFonts w:ascii="Times New Roman" w:hAnsi="Times New Roman" w:cs="Times New Roman"/>
          <w:sz w:val="24"/>
          <w:szCs w:val="24"/>
        </w:rPr>
        <w:t>cytostatyku</w:t>
      </w:r>
      <w:proofErr w:type="spellEnd"/>
      <w:r w:rsidRPr="00E11754">
        <w:rPr>
          <w:rFonts w:ascii="Times New Roman" w:hAnsi="Times New Roman" w:cs="Times New Roman"/>
          <w:sz w:val="24"/>
          <w:szCs w:val="24"/>
        </w:rPr>
        <w:t xml:space="preserve">. Po raz pierwszy zaproponowano także protokół UA-DLLME oparty na zastosowaniu </w:t>
      </w:r>
      <w:r w:rsidR="2F5BE774" w:rsidRPr="00E11754">
        <w:rPr>
          <w:rFonts w:ascii="Times New Roman" w:hAnsi="Times New Roman" w:cs="Times New Roman"/>
          <w:sz w:val="24"/>
          <w:szCs w:val="24"/>
        </w:rPr>
        <w:t>etanolu</w:t>
      </w:r>
      <w:r w:rsidRPr="00E11754">
        <w:rPr>
          <w:rFonts w:ascii="Times New Roman" w:hAnsi="Times New Roman" w:cs="Times New Roman"/>
          <w:sz w:val="24"/>
          <w:szCs w:val="24"/>
        </w:rPr>
        <w:t xml:space="preserve"> i chloroformu </w:t>
      </w:r>
      <w:r w:rsidR="2F5BE774" w:rsidRPr="00E11754">
        <w:rPr>
          <w:rFonts w:ascii="Times New Roman" w:hAnsi="Times New Roman" w:cs="Times New Roman"/>
          <w:sz w:val="24"/>
          <w:szCs w:val="24"/>
        </w:rPr>
        <w:t xml:space="preserve">jako rozpuszczalnika dyspergującego i </w:t>
      </w:r>
      <w:proofErr w:type="spellStart"/>
      <w:r w:rsidR="2F5BE774" w:rsidRPr="00E11754">
        <w:rPr>
          <w:rFonts w:ascii="Times New Roman" w:hAnsi="Times New Roman" w:cs="Times New Roman"/>
          <w:sz w:val="24"/>
          <w:szCs w:val="24"/>
        </w:rPr>
        <w:t>estrahującego</w:t>
      </w:r>
      <w:proofErr w:type="spellEnd"/>
      <w:r w:rsidR="2F5BE774" w:rsidRPr="00E11754">
        <w:rPr>
          <w:rFonts w:ascii="Times New Roman" w:hAnsi="Times New Roman" w:cs="Times New Roman"/>
          <w:sz w:val="24"/>
          <w:szCs w:val="24"/>
        </w:rPr>
        <w:t xml:space="preserve"> do ekstrakcji </w:t>
      </w:r>
      <w:proofErr w:type="spellStart"/>
      <w:r w:rsidR="2F5BE774" w:rsidRPr="00E11754">
        <w:rPr>
          <w:rFonts w:ascii="Times New Roman" w:hAnsi="Times New Roman" w:cs="Times New Roman"/>
          <w:sz w:val="24"/>
          <w:szCs w:val="24"/>
        </w:rPr>
        <w:t>docetakselu</w:t>
      </w:r>
      <w:proofErr w:type="spellEnd"/>
      <w:r w:rsidR="2F5BE774" w:rsidRPr="00E11754">
        <w:rPr>
          <w:rFonts w:ascii="Times New Roman" w:hAnsi="Times New Roman" w:cs="Times New Roman"/>
          <w:sz w:val="24"/>
          <w:szCs w:val="24"/>
        </w:rPr>
        <w:t xml:space="preserve"> z próbek osocza i moczu.</w:t>
      </w:r>
    </w:p>
    <w:p w14:paraId="7C6C6A54" w14:textId="3EBDFF8C" w:rsidR="002308E5" w:rsidRPr="00E11754" w:rsidRDefault="02602357" w:rsidP="7918CE45">
      <w:pPr>
        <w:spacing w:line="360" w:lineRule="auto"/>
        <w:ind w:firstLine="708"/>
        <w:jc w:val="both"/>
        <w:rPr>
          <w:rFonts w:ascii="Times New Roman" w:hAnsi="Times New Roman" w:cs="Times New Roman"/>
          <w:sz w:val="24"/>
          <w:szCs w:val="24"/>
        </w:rPr>
      </w:pPr>
      <w:r w:rsidRPr="02602357">
        <w:rPr>
          <w:rFonts w:ascii="Times New Roman" w:hAnsi="Times New Roman" w:cs="Times New Roman"/>
          <w:sz w:val="24"/>
          <w:szCs w:val="24"/>
        </w:rPr>
        <w:t xml:space="preserve">Ponadto, dla każdego </w:t>
      </w:r>
      <w:proofErr w:type="spellStart"/>
      <w:r w:rsidRPr="02602357">
        <w:rPr>
          <w:rFonts w:ascii="Times New Roman" w:hAnsi="Times New Roman" w:cs="Times New Roman"/>
          <w:sz w:val="24"/>
          <w:szCs w:val="24"/>
        </w:rPr>
        <w:t>cytostatyku</w:t>
      </w:r>
      <w:proofErr w:type="spellEnd"/>
      <w:r w:rsidRPr="02602357">
        <w:rPr>
          <w:rFonts w:ascii="Times New Roman" w:hAnsi="Times New Roman" w:cs="Times New Roman"/>
          <w:sz w:val="24"/>
          <w:szCs w:val="24"/>
        </w:rPr>
        <w:t xml:space="preserve"> zoptymalizowano warunki analizy chromatograficznej, które w przypadku </w:t>
      </w:r>
      <w:proofErr w:type="spellStart"/>
      <w:r w:rsidRPr="02602357">
        <w:rPr>
          <w:rFonts w:ascii="Times New Roman" w:hAnsi="Times New Roman" w:cs="Times New Roman"/>
          <w:sz w:val="24"/>
          <w:szCs w:val="24"/>
        </w:rPr>
        <w:t>antracyklin</w:t>
      </w:r>
      <w:proofErr w:type="spellEnd"/>
      <w:r w:rsidRPr="02602357">
        <w:rPr>
          <w:rFonts w:ascii="Times New Roman" w:hAnsi="Times New Roman" w:cs="Times New Roman"/>
          <w:sz w:val="24"/>
          <w:szCs w:val="24"/>
        </w:rPr>
        <w:t xml:space="preserve"> były prowadzone techniką LC-FL w warunkach </w:t>
      </w:r>
      <w:proofErr w:type="spellStart"/>
      <w:r w:rsidRPr="02602357">
        <w:rPr>
          <w:rFonts w:ascii="Times New Roman" w:hAnsi="Times New Roman" w:cs="Times New Roman"/>
          <w:sz w:val="24"/>
          <w:szCs w:val="24"/>
        </w:rPr>
        <w:t>elucji</w:t>
      </w:r>
      <w:proofErr w:type="spellEnd"/>
      <w:r w:rsidRPr="02602357">
        <w:rPr>
          <w:rFonts w:ascii="Times New Roman" w:hAnsi="Times New Roman" w:cs="Times New Roman"/>
          <w:sz w:val="24"/>
          <w:szCs w:val="24"/>
        </w:rPr>
        <w:t xml:space="preserve"> </w:t>
      </w:r>
      <w:proofErr w:type="spellStart"/>
      <w:r w:rsidRPr="02602357">
        <w:rPr>
          <w:rFonts w:ascii="Times New Roman" w:hAnsi="Times New Roman" w:cs="Times New Roman"/>
          <w:sz w:val="24"/>
          <w:szCs w:val="24"/>
        </w:rPr>
        <w:t>izokratycznej</w:t>
      </w:r>
      <w:proofErr w:type="spellEnd"/>
      <w:r w:rsidRPr="02602357">
        <w:rPr>
          <w:rFonts w:ascii="Times New Roman" w:hAnsi="Times New Roman" w:cs="Times New Roman"/>
          <w:sz w:val="24"/>
          <w:szCs w:val="24"/>
        </w:rPr>
        <w:t xml:space="preserve">, podczas gdy do separacji </w:t>
      </w:r>
      <w:proofErr w:type="spellStart"/>
      <w:r w:rsidRPr="02602357">
        <w:rPr>
          <w:rFonts w:ascii="Times New Roman" w:hAnsi="Times New Roman" w:cs="Times New Roman"/>
          <w:sz w:val="24"/>
          <w:szCs w:val="24"/>
        </w:rPr>
        <w:t>docetakselu</w:t>
      </w:r>
      <w:proofErr w:type="spellEnd"/>
      <w:r w:rsidRPr="02602357">
        <w:rPr>
          <w:rFonts w:ascii="Times New Roman" w:hAnsi="Times New Roman" w:cs="Times New Roman"/>
          <w:sz w:val="24"/>
          <w:szCs w:val="24"/>
        </w:rPr>
        <w:t xml:space="preserve"> użyto LC-MS/MS z </w:t>
      </w:r>
      <w:proofErr w:type="spellStart"/>
      <w:r w:rsidRPr="02602357">
        <w:rPr>
          <w:rFonts w:ascii="Times New Roman" w:hAnsi="Times New Roman" w:cs="Times New Roman"/>
          <w:sz w:val="24"/>
          <w:szCs w:val="24"/>
        </w:rPr>
        <w:t>elucją</w:t>
      </w:r>
      <w:proofErr w:type="spellEnd"/>
      <w:r w:rsidRPr="02602357">
        <w:rPr>
          <w:rFonts w:ascii="Times New Roman" w:hAnsi="Times New Roman" w:cs="Times New Roman"/>
          <w:sz w:val="24"/>
          <w:szCs w:val="24"/>
        </w:rPr>
        <w:t xml:space="preserve"> gradientową fazy ruchomej. Opracowane protokoły analityczne SPE-LC-FL i UA-DLLME-LC-MS/MS poddano walidacji zgodnie z kryteriami FDA i ICH stosując metodę wzorca wewnętrznego, gdzie jako IS użyto </w:t>
      </w:r>
      <w:proofErr w:type="spellStart"/>
      <w:r w:rsidRPr="02602357">
        <w:rPr>
          <w:rFonts w:ascii="Times New Roman" w:hAnsi="Times New Roman" w:cs="Times New Roman"/>
          <w:sz w:val="24"/>
          <w:szCs w:val="24"/>
        </w:rPr>
        <w:t>danunorubicynę</w:t>
      </w:r>
      <w:proofErr w:type="spellEnd"/>
      <w:r w:rsidRPr="02602357">
        <w:rPr>
          <w:rFonts w:ascii="Times New Roman" w:hAnsi="Times New Roman" w:cs="Times New Roman"/>
          <w:sz w:val="24"/>
          <w:szCs w:val="24"/>
        </w:rPr>
        <w:t xml:space="preserve"> bądź </w:t>
      </w:r>
      <w:proofErr w:type="spellStart"/>
      <w:r w:rsidRPr="02602357">
        <w:rPr>
          <w:rFonts w:ascii="Times New Roman" w:hAnsi="Times New Roman" w:cs="Times New Roman"/>
          <w:sz w:val="24"/>
          <w:szCs w:val="24"/>
        </w:rPr>
        <w:t>paklitaksel</w:t>
      </w:r>
      <w:proofErr w:type="spellEnd"/>
      <w:r w:rsidRPr="02602357">
        <w:rPr>
          <w:rFonts w:ascii="Times New Roman" w:hAnsi="Times New Roman" w:cs="Times New Roman"/>
          <w:sz w:val="24"/>
          <w:szCs w:val="24"/>
        </w:rPr>
        <w:t xml:space="preserve">. Uzyskane wyniki potwierdziły, że wszystkie metody spełniają kryteria precyzji i dokładności oraz liniowości w testowanych zakresach stężeń, a parametry LOD i LOQ są niższe bądź porównywalne w odniesieniu do parametrów określonych dla metod już opublikowanych w literaturze. Następnie, dla potwierdzenia użyteczności opracowanych procedur analitycznych w praktyce klinicznej zastosowano je do oznaczeń </w:t>
      </w:r>
      <w:proofErr w:type="spellStart"/>
      <w:r w:rsidRPr="02602357">
        <w:rPr>
          <w:rFonts w:ascii="Times New Roman" w:hAnsi="Times New Roman" w:cs="Times New Roman"/>
          <w:sz w:val="24"/>
          <w:szCs w:val="24"/>
        </w:rPr>
        <w:t>cytostatyków</w:t>
      </w:r>
      <w:proofErr w:type="spellEnd"/>
      <w:r w:rsidRPr="02602357">
        <w:rPr>
          <w:rFonts w:ascii="Times New Roman" w:hAnsi="Times New Roman" w:cs="Times New Roman"/>
          <w:sz w:val="24"/>
          <w:szCs w:val="24"/>
        </w:rPr>
        <w:t xml:space="preserve"> w rzeczywistych próbkach materiału biologicznego otrzymanych od pacjentów ze zdiagnozowaną chorobą nowotworową, którzy podlegali różnorodnym protokołom chemioterapeutycznym. Wynikiem tych badań było otrzymanie profili stężeń oznaczanych </w:t>
      </w:r>
      <w:proofErr w:type="spellStart"/>
      <w:r w:rsidRPr="02602357">
        <w:rPr>
          <w:rFonts w:ascii="Times New Roman" w:hAnsi="Times New Roman" w:cs="Times New Roman"/>
          <w:sz w:val="24"/>
          <w:szCs w:val="24"/>
        </w:rPr>
        <w:t>cytostatyków</w:t>
      </w:r>
      <w:proofErr w:type="spellEnd"/>
      <w:r w:rsidRPr="02602357">
        <w:rPr>
          <w:rFonts w:ascii="Times New Roman" w:hAnsi="Times New Roman" w:cs="Times New Roman"/>
          <w:sz w:val="24"/>
          <w:szCs w:val="24"/>
        </w:rPr>
        <w:t xml:space="preserve"> w osoczu i moczu. W przypadku </w:t>
      </w:r>
      <w:proofErr w:type="spellStart"/>
      <w:r w:rsidRPr="02602357">
        <w:rPr>
          <w:rFonts w:ascii="Times New Roman" w:hAnsi="Times New Roman" w:cs="Times New Roman"/>
          <w:sz w:val="24"/>
          <w:szCs w:val="24"/>
        </w:rPr>
        <w:t>antracyklin</w:t>
      </w:r>
      <w:proofErr w:type="spellEnd"/>
      <w:r w:rsidRPr="02602357">
        <w:rPr>
          <w:rFonts w:ascii="Times New Roman" w:hAnsi="Times New Roman" w:cs="Times New Roman"/>
          <w:sz w:val="24"/>
          <w:szCs w:val="24"/>
        </w:rPr>
        <w:t xml:space="preserve">, profile w osoczu były porównywalne do wcześniej opublikowanych w literaturze. Ponadto, stężenia tych </w:t>
      </w:r>
      <w:proofErr w:type="spellStart"/>
      <w:r w:rsidRPr="02602357">
        <w:rPr>
          <w:rFonts w:ascii="Times New Roman" w:hAnsi="Times New Roman" w:cs="Times New Roman"/>
          <w:sz w:val="24"/>
          <w:szCs w:val="24"/>
        </w:rPr>
        <w:t>cytostatyków</w:t>
      </w:r>
      <w:proofErr w:type="spellEnd"/>
      <w:r w:rsidRPr="02602357">
        <w:rPr>
          <w:rFonts w:ascii="Times New Roman" w:hAnsi="Times New Roman" w:cs="Times New Roman"/>
          <w:sz w:val="24"/>
          <w:szCs w:val="24"/>
        </w:rPr>
        <w:t xml:space="preserve"> w moczu były znacząco wyższe, co sugerowało potencjalne ryzyko narażenia personelu medycznego oraz opiekunów pacjenta na działanie </w:t>
      </w:r>
      <w:proofErr w:type="spellStart"/>
      <w:r w:rsidRPr="02602357">
        <w:rPr>
          <w:rFonts w:ascii="Times New Roman" w:hAnsi="Times New Roman" w:cs="Times New Roman"/>
          <w:sz w:val="24"/>
          <w:szCs w:val="24"/>
        </w:rPr>
        <w:t>antracyklin</w:t>
      </w:r>
      <w:proofErr w:type="spellEnd"/>
      <w:r w:rsidRPr="02602357">
        <w:rPr>
          <w:rFonts w:ascii="Times New Roman" w:hAnsi="Times New Roman" w:cs="Times New Roman"/>
          <w:sz w:val="24"/>
          <w:szCs w:val="24"/>
        </w:rPr>
        <w:t xml:space="preserve"> w kontakcie z moczem pacjenta, szczególnie w trakcie podawania leku i w najbliższych godzinach po zakończeniu jego aplikacji. Wyniki badań potwierdziły także, że uzyskane poziomy </w:t>
      </w:r>
      <w:proofErr w:type="spellStart"/>
      <w:r w:rsidRPr="02602357">
        <w:rPr>
          <w:rFonts w:ascii="Times New Roman" w:hAnsi="Times New Roman" w:cs="Times New Roman"/>
          <w:sz w:val="24"/>
          <w:szCs w:val="24"/>
        </w:rPr>
        <w:t>docetakselu</w:t>
      </w:r>
      <w:proofErr w:type="spellEnd"/>
      <w:r w:rsidRPr="02602357">
        <w:rPr>
          <w:rFonts w:ascii="Times New Roman" w:hAnsi="Times New Roman" w:cs="Times New Roman"/>
          <w:sz w:val="24"/>
          <w:szCs w:val="24"/>
        </w:rPr>
        <w:t xml:space="preserve"> w osoczu były wyższe niż wcześniej opublikowane w literaturze. To dowodzi, że farmakokinetyka tego leku wykazuje dużą zmienność osobniczą, co już sygnalizowano w literaturze. W przypadku tkanek zwierzęcych użyteczność opracowanej metody SPE-LC-FL potwierdzono pod kątem przydatności do oznaczeń poziomów </w:t>
      </w:r>
      <w:proofErr w:type="spellStart"/>
      <w:r w:rsidRPr="02602357">
        <w:rPr>
          <w:rFonts w:ascii="Times New Roman" w:hAnsi="Times New Roman" w:cs="Times New Roman"/>
          <w:sz w:val="24"/>
          <w:szCs w:val="24"/>
        </w:rPr>
        <w:t>doksorubicyny</w:t>
      </w:r>
      <w:proofErr w:type="spellEnd"/>
      <w:r w:rsidRPr="02602357">
        <w:rPr>
          <w:rFonts w:ascii="Times New Roman" w:hAnsi="Times New Roman" w:cs="Times New Roman"/>
          <w:sz w:val="24"/>
          <w:szCs w:val="24"/>
        </w:rPr>
        <w:t xml:space="preserve"> w sześciu rodzajach tkanek szczura (wątroba, nerki, żołądek, płuca, serce oraz śledziona). Ta metoda może być z powodzeniem zastosowana do badań farmakokinetycznych i aplikacji klinicznych. </w:t>
      </w:r>
    </w:p>
    <w:p w14:paraId="32E3DA2C" w14:textId="302494DB" w:rsidR="002308E5" w:rsidRPr="00E11754" w:rsidRDefault="02602357" w:rsidP="2100169C">
      <w:pPr>
        <w:spacing w:line="360" w:lineRule="auto"/>
        <w:ind w:firstLine="708"/>
        <w:jc w:val="both"/>
        <w:rPr>
          <w:rFonts w:ascii="Times New Roman" w:hAnsi="Times New Roman" w:cs="Times New Roman"/>
          <w:sz w:val="24"/>
          <w:szCs w:val="24"/>
        </w:rPr>
      </w:pPr>
      <w:r w:rsidRPr="02602357">
        <w:rPr>
          <w:rFonts w:ascii="Times New Roman" w:hAnsi="Times New Roman" w:cs="Times New Roman"/>
          <w:sz w:val="24"/>
          <w:szCs w:val="24"/>
        </w:rPr>
        <w:t xml:space="preserve">Podsumowując wyniki badań realizowane w ramach pracy doktorskiej, które zaprezentowano w formie cyklu pięciu publikacji oryginalnych można przyjąć, że ich efektem </w:t>
      </w:r>
      <w:r w:rsidRPr="02602357">
        <w:rPr>
          <w:rFonts w:ascii="Times New Roman" w:hAnsi="Times New Roman" w:cs="Times New Roman"/>
          <w:sz w:val="24"/>
          <w:szCs w:val="24"/>
        </w:rPr>
        <w:lastRenderedPageBreak/>
        <w:t>było opracowanie szeregu alternatywnych metod chromatograficznych w porównaniu do już istniejących metodyk oznaczania leków cytostatycznych w materiałach biologicznych. Metody te mogą być z powodzeniem stosowane w praktyce klinicznej, w tym w TDM, umożliwiając dostarczanie cennych informacji podczas prowadzenia badań farmakokinetycznych oraz klinicznych.</w:t>
      </w:r>
    </w:p>
    <w:p w14:paraId="4F7DEDFE" w14:textId="77777777" w:rsidR="002308E5" w:rsidRPr="00E11754" w:rsidRDefault="002308E5" w:rsidP="008E281A">
      <w:pPr>
        <w:rPr>
          <w:rFonts w:ascii="Times New Roman" w:hAnsi="Times New Roman" w:cs="Times New Roman"/>
          <w:sz w:val="24"/>
          <w:szCs w:val="24"/>
        </w:rPr>
      </w:pPr>
    </w:p>
    <w:p w14:paraId="346D57E8" w14:textId="5117CF77" w:rsidR="002C3B14" w:rsidRPr="002C3B14" w:rsidRDefault="7918CE45" w:rsidP="002C3B14">
      <w:pPr>
        <w:pStyle w:val="Nagwek1"/>
        <w:spacing w:before="120" w:after="120"/>
        <w:rPr>
          <w:rFonts w:ascii="Times New Roman" w:hAnsi="Times New Roman" w:cs="Times New Roman"/>
          <w:b/>
          <w:sz w:val="28"/>
          <w:szCs w:val="28"/>
          <w:lang w:val="en-GB"/>
        </w:rPr>
      </w:pPr>
      <w:bookmarkStart w:id="32" w:name="_Toc135306235"/>
      <w:bookmarkStart w:id="33" w:name="_Toc137702487"/>
      <w:r w:rsidRPr="053B71C9">
        <w:rPr>
          <w:rFonts w:ascii="Times New Roman" w:hAnsi="Times New Roman" w:cs="Times New Roman"/>
          <w:b/>
          <w:sz w:val="28"/>
          <w:szCs w:val="28"/>
          <w:lang w:val="en-GB"/>
        </w:rPr>
        <w:t>Summary</w:t>
      </w:r>
      <w:bookmarkEnd w:id="32"/>
      <w:bookmarkEnd w:id="33"/>
    </w:p>
    <w:p w14:paraId="5BAB8C0C" w14:textId="14775EB6" w:rsidR="315CBC56" w:rsidRPr="006F252E" w:rsidRDefault="02602357" w:rsidP="315CBC56">
      <w:pPr>
        <w:spacing w:line="360" w:lineRule="auto"/>
        <w:ind w:firstLine="705"/>
        <w:jc w:val="both"/>
        <w:rPr>
          <w:lang w:val="en-GB"/>
        </w:rPr>
      </w:pPr>
      <w:r w:rsidRPr="02602357">
        <w:rPr>
          <w:rFonts w:ascii="Times New Roman" w:eastAsia="Times New Roman" w:hAnsi="Times New Roman" w:cs="Times New Roman"/>
          <w:sz w:val="24"/>
          <w:szCs w:val="24"/>
          <w:lang w:val="en-GB"/>
        </w:rPr>
        <w:t xml:space="preserve">Despite the continuous development of modern medicine, cancers are the one of the most common diseases worldwide, which in many cases lead to the patient’s death. For this reason, determination of an effective therapy poses a very relevant challenge for many </w:t>
      </w:r>
      <w:proofErr w:type="spellStart"/>
      <w:r w:rsidRPr="02602357">
        <w:rPr>
          <w:rFonts w:ascii="Times New Roman" w:eastAsia="Times New Roman" w:hAnsi="Times New Roman" w:cs="Times New Roman"/>
          <w:sz w:val="24"/>
          <w:szCs w:val="24"/>
          <w:lang w:val="en-GB"/>
        </w:rPr>
        <w:t>clinicists</w:t>
      </w:r>
      <w:proofErr w:type="spellEnd"/>
      <w:r w:rsidRPr="02602357">
        <w:rPr>
          <w:rFonts w:ascii="Times New Roman" w:eastAsia="Times New Roman" w:hAnsi="Times New Roman" w:cs="Times New Roman"/>
          <w:sz w:val="24"/>
          <w:szCs w:val="24"/>
          <w:lang w:val="en-GB"/>
        </w:rPr>
        <w:t xml:space="preserve"> and researchers. For years, chemotherapy has been one of the fundamental methods of oncologic treatment, but unfortunately it is also associated with a high risk of many side effects. In connection with the improvement of its effectiveness and the need to decrease side effects, it is suggested to use the therapeutic drug monitoring (TDM) based on selecting a proper dose of the drug according to the previously determined concentration measured in the patient's blood samples. This approach may be used as an alternative to the currently most common method of anticancer dosage based on patient`s weight or surface area of their body. However, it requires the development of methods which will precisely and accurately show the concentration levels of drug after its administration in biofluids (most often plasma, but also serum and urine). An important direction in the development of oncologic treatment is also the introduction of new substances with anticancer activity, or design of new drug forms for </w:t>
      </w:r>
      <w:proofErr w:type="spellStart"/>
      <w:r w:rsidRPr="02602357">
        <w:rPr>
          <w:rFonts w:ascii="Times New Roman" w:eastAsia="Times New Roman" w:hAnsi="Times New Roman" w:cs="Times New Roman"/>
          <w:sz w:val="24"/>
          <w:szCs w:val="24"/>
          <w:lang w:val="en-GB"/>
        </w:rPr>
        <w:t>cytostatics</w:t>
      </w:r>
      <w:proofErr w:type="spellEnd"/>
      <w:r w:rsidRPr="02602357">
        <w:rPr>
          <w:rFonts w:ascii="Times New Roman" w:eastAsia="Times New Roman" w:hAnsi="Times New Roman" w:cs="Times New Roman"/>
          <w:sz w:val="24"/>
          <w:szCs w:val="24"/>
          <w:lang w:val="en-GB"/>
        </w:rPr>
        <w:t xml:space="preserve"> that have been already approved for treatment, but in new drug formulation characterise by higher therapeutic effectiveness and a lower incidence of adverse effects. However, admission to pharmacy turnover requires carrying out a wide range of clinical studies including those involving laboratory animals. Hence, there is a need to develop analytical methods which will be used to determine anticancer substances in animal tissues. </w:t>
      </w:r>
    </w:p>
    <w:p w14:paraId="18F3DA7A" w14:textId="5A1A5FAC" w:rsidR="315CBC56" w:rsidRPr="006F252E" w:rsidRDefault="315CBC56" w:rsidP="315CBC56">
      <w:pPr>
        <w:spacing w:line="360" w:lineRule="auto"/>
        <w:ind w:firstLine="705"/>
        <w:jc w:val="both"/>
        <w:rPr>
          <w:lang w:val="en-GB"/>
        </w:rPr>
      </w:pPr>
      <w:r w:rsidRPr="315CBC56">
        <w:rPr>
          <w:rFonts w:ascii="Times New Roman" w:eastAsia="Times New Roman" w:hAnsi="Times New Roman" w:cs="Times New Roman"/>
          <w:sz w:val="24"/>
          <w:szCs w:val="24"/>
          <w:lang w:val="en-GB"/>
        </w:rPr>
        <w:t xml:space="preserve">The main aim of this dissertation was the optimization of methods which are used for monitoring the concentration levels of selected cytostatic drugs of the anthracycline groups (doxorubicin, </w:t>
      </w:r>
      <w:proofErr w:type="spellStart"/>
      <w:r w:rsidRPr="315CBC56">
        <w:rPr>
          <w:rFonts w:ascii="Times New Roman" w:eastAsia="Times New Roman" w:hAnsi="Times New Roman" w:cs="Times New Roman"/>
          <w:sz w:val="24"/>
          <w:szCs w:val="24"/>
          <w:lang w:val="en-GB"/>
        </w:rPr>
        <w:t>epirubicin</w:t>
      </w:r>
      <w:proofErr w:type="spellEnd"/>
      <w:r w:rsidRPr="315CBC56">
        <w:rPr>
          <w:rFonts w:ascii="Times New Roman" w:eastAsia="Times New Roman" w:hAnsi="Times New Roman" w:cs="Times New Roman"/>
          <w:sz w:val="24"/>
          <w:szCs w:val="24"/>
          <w:lang w:val="en-GB"/>
        </w:rPr>
        <w:t xml:space="preserve">, idarubicin) and </w:t>
      </w:r>
      <w:proofErr w:type="spellStart"/>
      <w:r w:rsidRPr="315CBC56">
        <w:rPr>
          <w:rFonts w:ascii="Times New Roman" w:eastAsia="Times New Roman" w:hAnsi="Times New Roman" w:cs="Times New Roman"/>
          <w:sz w:val="24"/>
          <w:szCs w:val="24"/>
          <w:lang w:val="en-GB"/>
        </w:rPr>
        <w:t>taxanes</w:t>
      </w:r>
      <w:proofErr w:type="spellEnd"/>
      <w:r w:rsidRPr="315CBC56">
        <w:rPr>
          <w:rFonts w:ascii="Times New Roman" w:eastAsia="Times New Roman" w:hAnsi="Times New Roman" w:cs="Times New Roman"/>
          <w:sz w:val="24"/>
          <w:szCs w:val="24"/>
          <w:lang w:val="en-GB"/>
        </w:rPr>
        <w:t xml:space="preserve"> (docetaxel) in human body fluids (plasma and urine). In addition, the aim of this study was also extension of the method's applicability for the determination of doxorubicin in animal tissues.  </w:t>
      </w:r>
    </w:p>
    <w:p w14:paraId="5141F64D" w14:textId="391C88CC" w:rsidR="315CBC56" w:rsidRPr="006F252E" w:rsidRDefault="02602357" w:rsidP="315CBC56">
      <w:pPr>
        <w:spacing w:line="360" w:lineRule="auto"/>
        <w:ind w:firstLine="705"/>
        <w:jc w:val="both"/>
        <w:rPr>
          <w:lang w:val="en-GB"/>
        </w:rPr>
      </w:pPr>
      <w:r w:rsidRPr="02602357">
        <w:rPr>
          <w:rFonts w:ascii="Times New Roman" w:eastAsia="Times New Roman" w:hAnsi="Times New Roman" w:cs="Times New Roman"/>
          <w:sz w:val="24"/>
          <w:szCs w:val="24"/>
          <w:lang w:val="en-GB"/>
        </w:rPr>
        <w:lastRenderedPageBreak/>
        <w:t xml:space="preserve">Accordingly, a wide range of experiments was carried out within this study which included the optimization of drug isolation procedures from biological matrices, during which different procedures of deproteinization, LLE and SPE with columns of C18 and HLB, as well as SPME (idarubicin) and DLLME (docetaxel) were tested. Then, the obtained results of extraction were compared and each of them was evaluated for advantages and disadvantages. Finally, for the isolation of doxorubicin, </w:t>
      </w:r>
      <w:proofErr w:type="spellStart"/>
      <w:r w:rsidRPr="02602357">
        <w:rPr>
          <w:rFonts w:ascii="Times New Roman" w:eastAsia="Times New Roman" w:hAnsi="Times New Roman" w:cs="Times New Roman"/>
          <w:sz w:val="24"/>
          <w:szCs w:val="24"/>
          <w:lang w:val="en-GB"/>
        </w:rPr>
        <w:t>epirubicin</w:t>
      </w:r>
      <w:proofErr w:type="spellEnd"/>
      <w:r w:rsidRPr="02602357">
        <w:rPr>
          <w:rFonts w:ascii="Times New Roman" w:eastAsia="Times New Roman" w:hAnsi="Times New Roman" w:cs="Times New Roman"/>
          <w:sz w:val="24"/>
          <w:szCs w:val="24"/>
          <w:lang w:val="en-GB"/>
        </w:rPr>
        <w:t xml:space="preserve"> and idarubicin SPE with HLB cartridges was chosen as the most optimal procedure. Additionally, in the case of idarubicin, SPME procedures were proposed which could be used to analyse samples obtained from patients being administrated a higher dose of this cytostatic. The UA-DLLME protocol, based on using ethanol and chloroform as disperser and extracting solvent, was proposed for the first time for the extraction of docetaxel from plasma and urine samples.</w:t>
      </w:r>
    </w:p>
    <w:p w14:paraId="4EF04E7A" w14:textId="6FA2ACE7" w:rsidR="315CBC56" w:rsidRPr="006F252E" w:rsidRDefault="02602357" w:rsidP="315CBC56">
      <w:pPr>
        <w:spacing w:line="360" w:lineRule="auto"/>
        <w:jc w:val="both"/>
        <w:rPr>
          <w:lang w:val="en-GB"/>
        </w:rPr>
      </w:pPr>
      <w:r w:rsidRPr="02602357">
        <w:rPr>
          <w:rFonts w:ascii="Times New Roman" w:eastAsia="Times New Roman" w:hAnsi="Times New Roman" w:cs="Times New Roman"/>
          <w:sz w:val="24"/>
          <w:szCs w:val="24"/>
          <w:lang w:val="en-GB"/>
        </w:rPr>
        <w:t xml:space="preserve">Moreover, for each cytostatic the chromatographic conditions were optimized which in case of anthracycline was based on LC-FL technique with isocratic elution, while for the separation of docetaxel LC-MS/MS with gradient elution was used. The determined analytical protocols SPE-LC-FL and UA-DLLME-LC-MS/MS were validated as required by FDA and ICH criteria using the internal pattern method, where daunorubicin or paclitaxel were used as IS. The obtained results confirmed that all methods fulfilled the criteria within the range of accuracy, precision, linearity in tested concentration ranges, and LOD and LOQ parameters which were lower or comparable in reference to the specified parameters in earlier literature data. Next, to confirm the usability of the developed analytical procedures in clinical practice, they were used for the determination of cytostatic in real samples of biological material obtained from patients diagnosed with cancer, who were subjects to various chemotherapy regimens. The result of these studies provided profiles of the drug concentrations in plasma and urine. In the case of anthracyclines, the profiles in plasma samples were comparable to those previously published in literature. On the other hand, the concentration of these cytostatic in urine were significantly higher, which may suggest the potential risk of exposure of medical personnel and caregivers of patients to </w:t>
      </w:r>
      <w:proofErr w:type="spellStart"/>
      <w:r w:rsidRPr="02602357">
        <w:rPr>
          <w:rFonts w:ascii="Times New Roman" w:eastAsia="Times New Roman" w:hAnsi="Times New Roman" w:cs="Times New Roman"/>
          <w:sz w:val="24"/>
          <w:szCs w:val="24"/>
          <w:lang w:val="en-GB"/>
        </w:rPr>
        <w:t>anthracyclin</w:t>
      </w:r>
      <w:proofErr w:type="spellEnd"/>
      <w:r w:rsidRPr="02602357">
        <w:rPr>
          <w:rFonts w:ascii="Times New Roman" w:eastAsia="Times New Roman" w:hAnsi="Times New Roman" w:cs="Times New Roman"/>
          <w:sz w:val="24"/>
          <w:szCs w:val="24"/>
          <w:lang w:val="en-GB"/>
        </w:rPr>
        <w:t xml:space="preserve"> activity in contact with patients’ urine, especially during administration of drug and also in the first hours after its application. The results confirmed that obtained levels of docetaxel in plasma were higher than those previously published in literature. This proves that the pharmacokinetics of this drug shows a great variability between patients which was also indicated in the literature. In the case of animal tissue, the usefulness of the developed SPE-LC-FL method was confirmed </w:t>
      </w:r>
      <w:r w:rsidRPr="02602357">
        <w:rPr>
          <w:rFonts w:ascii="Times New Roman" w:eastAsia="Times New Roman" w:hAnsi="Times New Roman" w:cs="Times New Roman"/>
          <w:sz w:val="24"/>
          <w:szCs w:val="24"/>
          <w:lang w:val="en-GB"/>
        </w:rPr>
        <w:lastRenderedPageBreak/>
        <w:t xml:space="preserve">for determining the levels of doxorubicin in six types of rat tissues (liver, kidneys, stomach, lungs, heart, spleen) in pharmacokinetic and clinical applications. </w:t>
      </w:r>
    </w:p>
    <w:p w14:paraId="43573384" w14:textId="5E5B4EB4" w:rsidR="315CBC56" w:rsidRPr="006F252E" w:rsidRDefault="02602357" w:rsidP="315CBC56">
      <w:pPr>
        <w:spacing w:line="360" w:lineRule="auto"/>
        <w:ind w:firstLine="720"/>
        <w:jc w:val="both"/>
        <w:rPr>
          <w:lang w:val="en-GB"/>
        </w:rPr>
      </w:pPr>
      <w:r w:rsidRPr="02602357">
        <w:rPr>
          <w:rFonts w:ascii="Times New Roman" w:eastAsia="Times New Roman" w:hAnsi="Times New Roman" w:cs="Times New Roman"/>
          <w:sz w:val="24"/>
          <w:szCs w:val="24"/>
          <w:lang w:val="en-GB"/>
        </w:rPr>
        <w:t xml:space="preserve"> To summarize the results of the research conducted as part of the doctoral thesis, which were presented in the form of a series of five original publications, it can be concluded that the outcome was the development of a range of alternative chromatographic methods compared to the existing methodologies for the determination of cytostatic drugs in biological materials. These methods could be used in clinical practice, including TDM, enabling the provision of valuable information during pharmacokinetic and clinical studies.</w:t>
      </w:r>
    </w:p>
    <w:p w14:paraId="20685DCC" w14:textId="2DF478A2" w:rsidR="7918CE45" w:rsidRPr="008255EE" w:rsidRDefault="7918CE45" w:rsidP="7918CE45">
      <w:pPr>
        <w:rPr>
          <w:lang w:val="en-GB"/>
        </w:rPr>
      </w:pPr>
    </w:p>
    <w:p w14:paraId="4A155794" w14:textId="6BB002DC" w:rsidR="00955318" w:rsidRDefault="00955318" w:rsidP="00FE1B13">
      <w:pPr>
        <w:pStyle w:val="Nagwek1"/>
        <w:rPr>
          <w:rFonts w:ascii="Times New Roman" w:hAnsi="Times New Roman" w:cs="Times New Roman"/>
          <w:b/>
          <w:bCs/>
          <w:sz w:val="24"/>
          <w:szCs w:val="24"/>
          <w:lang w:val="en-GB"/>
        </w:rPr>
      </w:pPr>
      <w:bookmarkStart w:id="34" w:name="_Toc137702488"/>
      <w:proofErr w:type="spellStart"/>
      <w:r w:rsidRPr="001C2796">
        <w:rPr>
          <w:rFonts w:ascii="Times New Roman" w:hAnsi="Times New Roman" w:cs="Times New Roman"/>
          <w:b/>
          <w:bCs/>
          <w:sz w:val="24"/>
          <w:szCs w:val="24"/>
          <w:lang w:val="en-GB"/>
        </w:rPr>
        <w:t>Referencje</w:t>
      </w:r>
      <w:bookmarkEnd w:id="34"/>
      <w:proofErr w:type="spellEnd"/>
    </w:p>
    <w:p w14:paraId="3750EC1A" w14:textId="77777777" w:rsidR="002C68B9" w:rsidRDefault="002C68B9" w:rsidP="002C68B9">
      <w:pPr>
        <w:rPr>
          <w:lang w:val="en-GB"/>
        </w:rPr>
      </w:pPr>
    </w:p>
    <w:p w14:paraId="771A2903" w14:textId="48017FB8" w:rsidR="002C68B9" w:rsidRPr="002C68B9" w:rsidRDefault="002C68B9" w:rsidP="002C68B9">
      <w:pPr>
        <w:rPr>
          <w:lang w:val="en-GB"/>
        </w:rPr>
      </w:pPr>
    </w:p>
    <w:p w14:paraId="4F626613" w14:textId="49758A2F" w:rsidR="7F2F7994" w:rsidRPr="001C2796" w:rsidRDefault="7F2F7994" w:rsidP="7F2F7994">
      <w:pPr>
        <w:rPr>
          <w:lang w:val="en-GB"/>
        </w:rPr>
      </w:pPr>
    </w:p>
    <w:p w14:paraId="34AA849E" w14:textId="620D852D" w:rsidR="00C5503B" w:rsidRPr="00C32263" w:rsidRDefault="00955318"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E11754">
        <w:rPr>
          <w:rFonts w:ascii="Times New Roman" w:hAnsi="Times New Roman" w:cs="Times New Roman"/>
          <w:b/>
          <w:sz w:val="24"/>
          <w:szCs w:val="24"/>
        </w:rPr>
        <w:fldChar w:fldCharType="begin" w:fldLock="1"/>
      </w:r>
      <w:r w:rsidRPr="00E11754">
        <w:rPr>
          <w:rFonts w:ascii="Times New Roman" w:hAnsi="Times New Roman" w:cs="Times New Roman"/>
          <w:b/>
          <w:sz w:val="24"/>
          <w:szCs w:val="24"/>
          <w:lang w:val="en-GB"/>
        </w:rPr>
        <w:instrText xml:space="preserve">ADDIN Mendeley Bibliography CSL_BIBLIOGRAPHY </w:instrText>
      </w:r>
      <w:r w:rsidRPr="00E11754">
        <w:rPr>
          <w:rFonts w:ascii="Times New Roman" w:hAnsi="Times New Roman" w:cs="Times New Roman"/>
          <w:b/>
          <w:sz w:val="24"/>
          <w:szCs w:val="24"/>
        </w:rPr>
        <w:fldChar w:fldCharType="separate"/>
      </w:r>
      <w:r w:rsidR="00C5503B" w:rsidRPr="00C32263">
        <w:rPr>
          <w:rFonts w:ascii="Times New Roman" w:hAnsi="Times New Roman" w:cs="Times New Roman"/>
          <w:noProof/>
          <w:sz w:val="24"/>
          <w:szCs w:val="24"/>
          <w:lang w:val="en-GB"/>
        </w:rPr>
        <w:t>[1]</w:t>
      </w:r>
      <w:r w:rsidR="00C5503B" w:rsidRPr="00C32263">
        <w:rPr>
          <w:rFonts w:ascii="Times New Roman" w:hAnsi="Times New Roman" w:cs="Times New Roman"/>
          <w:noProof/>
          <w:sz w:val="24"/>
          <w:szCs w:val="24"/>
          <w:lang w:val="en-GB"/>
        </w:rPr>
        <w:tab/>
        <w:t xml:space="preserve">International Agency for Research on-World Health Organization, </w:t>
      </w:r>
      <w:r w:rsidR="00C5503B" w:rsidRPr="00C32263">
        <w:rPr>
          <w:rFonts w:ascii="Times New Roman" w:hAnsi="Times New Roman" w:cs="Times New Roman"/>
          <w:i/>
          <w:iCs/>
          <w:noProof/>
          <w:sz w:val="24"/>
          <w:szCs w:val="24"/>
          <w:lang w:val="en-GB"/>
        </w:rPr>
        <w:t>World CanCer report 2008. Cancer research for cancer prevention</w:t>
      </w:r>
      <w:r w:rsidR="00C5503B" w:rsidRPr="00C32263">
        <w:rPr>
          <w:rFonts w:ascii="Times New Roman" w:hAnsi="Times New Roman" w:cs="Times New Roman"/>
          <w:noProof/>
          <w:sz w:val="24"/>
          <w:szCs w:val="24"/>
          <w:lang w:val="en-GB"/>
        </w:rPr>
        <w:t>, vol. 199. 2020.</w:t>
      </w:r>
    </w:p>
    <w:p w14:paraId="0CAE81AF" w14:textId="6EEE9B3C"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rPr>
      </w:pPr>
      <w:r w:rsidRPr="00C32263">
        <w:rPr>
          <w:rFonts w:ascii="Times New Roman" w:hAnsi="Times New Roman" w:cs="Times New Roman"/>
          <w:noProof/>
          <w:sz w:val="24"/>
          <w:szCs w:val="24"/>
          <w:lang w:val="en-GB"/>
        </w:rPr>
        <w:t>[2]</w:t>
      </w:r>
      <w:r w:rsidRPr="00C32263">
        <w:rPr>
          <w:rFonts w:ascii="Times New Roman" w:hAnsi="Times New Roman" w:cs="Times New Roman"/>
          <w:noProof/>
          <w:sz w:val="24"/>
          <w:szCs w:val="24"/>
          <w:lang w:val="en-GB"/>
        </w:rPr>
        <w:tab/>
        <w:t>H. Sung</w:t>
      </w:r>
      <w:r w:rsidR="00B43C90" w:rsidRPr="00C32263">
        <w:rPr>
          <w:rFonts w:ascii="Times New Roman" w:hAnsi="Times New Roman" w:cs="Times New Roman"/>
          <w:noProof/>
          <w:sz w:val="24"/>
          <w:szCs w:val="24"/>
          <w:lang w:val="en-GB"/>
        </w:rPr>
        <w:t xml:space="preserve"> J. Ferlay, R. L. Siegel, M. Laversanne, I. Soerjomataram, A. Jemal, F. Bray</w:t>
      </w:r>
      <w:r w:rsidRPr="00C32263">
        <w:rPr>
          <w:rFonts w:ascii="Times New Roman" w:hAnsi="Times New Roman" w:cs="Times New Roman"/>
          <w:noProof/>
          <w:sz w:val="24"/>
          <w:szCs w:val="24"/>
          <w:lang w:val="en-GB"/>
        </w:rPr>
        <w:t xml:space="preserve"> “Global Cancer Statistics 2020: GLOBOCAN Estimates of Incidence and Mortality Worldwide for 36 Cancers in 185 Countries,” </w:t>
      </w:r>
      <w:r w:rsidRPr="00C32263">
        <w:rPr>
          <w:rFonts w:ascii="Times New Roman" w:hAnsi="Times New Roman" w:cs="Times New Roman"/>
          <w:i/>
          <w:iCs/>
          <w:noProof/>
          <w:sz w:val="24"/>
          <w:szCs w:val="24"/>
          <w:lang w:val="en-GB"/>
        </w:rPr>
        <w:t xml:space="preserve">CA. </w:t>
      </w:r>
      <w:r w:rsidRPr="00C5503B">
        <w:rPr>
          <w:rFonts w:ascii="Times New Roman" w:hAnsi="Times New Roman" w:cs="Times New Roman"/>
          <w:i/>
          <w:iCs/>
          <w:noProof/>
          <w:sz w:val="24"/>
          <w:szCs w:val="24"/>
        </w:rPr>
        <w:t>Cancer J. Clin.</w:t>
      </w:r>
      <w:r w:rsidRPr="00C5503B">
        <w:rPr>
          <w:rFonts w:ascii="Times New Roman" w:hAnsi="Times New Roman" w:cs="Times New Roman"/>
          <w:noProof/>
          <w:sz w:val="24"/>
          <w:szCs w:val="24"/>
        </w:rPr>
        <w:t>, vol. 71, no. 3, pp. 209–249, 2021, doi: 10.3322/caac.21660.</w:t>
      </w:r>
    </w:p>
    <w:p w14:paraId="1DB1D9B6" w14:textId="77777777"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rPr>
      </w:pPr>
      <w:r w:rsidRPr="00C5503B">
        <w:rPr>
          <w:rFonts w:ascii="Times New Roman" w:hAnsi="Times New Roman" w:cs="Times New Roman"/>
          <w:noProof/>
          <w:sz w:val="24"/>
          <w:szCs w:val="24"/>
        </w:rPr>
        <w:t>[3]</w:t>
      </w:r>
      <w:r w:rsidRPr="00C5503B">
        <w:rPr>
          <w:rFonts w:ascii="Times New Roman" w:hAnsi="Times New Roman" w:cs="Times New Roman"/>
          <w:noProof/>
          <w:sz w:val="24"/>
          <w:szCs w:val="24"/>
        </w:rPr>
        <w:tab/>
        <w:t xml:space="preserve">O. P. Wojciechowska U., Barańska K., Michałek I. and M. M., “, Didkowska J. A.: Nowotwory złośliwe w Polsce w 2020 roku, Narodowy Instytut Onkologii im. Marii Skłodowskiej-Curie Państwowy Instytut Badawczy, Krajowy rejestr nowotworów, 2022, 5-90,” </w:t>
      </w:r>
      <w:r w:rsidRPr="00C5503B">
        <w:rPr>
          <w:rFonts w:ascii="Times New Roman" w:hAnsi="Times New Roman" w:cs="Times New Roman"/>
          <w:i/>
          <w:iCs/>
          <w:noProof/>
          <w:sz w:val="24"/>
          <w:szCs w:val="24"/>
        </w:rPr>
        <w:t>Nar. Inst. Onkol. im. Marii Skłodowskiej-Curie Państwowy Inst. Badaw. Kraj. rejestr nowotworów</w:t>
      </w:r>
      <w:r w:rsidRPr="00C5503B">
        <w:rPr>
          <w:rFonts w:ascii="Times New Roman" w:hAnsi="Times New Roman" w:cs="Times New Roman"/>
          <w:noProof/>
          <w:sz w:val="24"/>
          <w:szCs w:val="24"/>
        </w:rPr>
        <w:t>, pp. 5–90, 2022.</w:t>
      </w:r>
    </w:p>
    <w:p w14:paraId="4AF9EB5D"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w:t>
      </w:r>
      <w:r w:rsidRPr="00C32263">
        <w:rPr>
          <w:rFonts w:ascii="Times New Roman" w:hAnsi="Times New Roman" w:cs="Times New Roman"/>
          <w:noProof/>
          <w:sz w:val="24"/>
          <w:szCs w:val="24"/>
          <w:lang w:val="en-GB"/>
        </w:rPr>
        <w:tab/>
        <w:t xml:space="preserve">WHO, </w:t>
      </w:r>
      <w:r w:rsidRPr="00C32263">
        <w:rPr>
          <w:rFonts w:ascii="Times New Roman" w:hAnsi="Times New Roman" w:cs="Times New Roman"/>
          <w:i/>
          <w:iCs/>
          <w:noProof/>
          <w:sz w:val="24"/>
          <w:szCs w:val="24"/>
          <w:lang w:val="en-GB"/>
        </w:rPr>
        <w:t>World Health Statistics 2022. Monitoring health for the SDGs Sustainable Development Goals</w:t>
      </w:r>
      <w:r w:rsidRPr="00C32263">
        <w:rPr>
          <w:rFonts w:ascii="Times New Roman" w:hAnsi="Times New Roman" w:cs="Times New Roman"/>
          <w:noProof/>
          <w:sz w:val="24"/>
          <w:szCs w:val="24"/>
          <w:lang w:val="en-GB"/>
        </w:rPr>
        <w:t>. 2022.</w:t>
      </w:r>
    </w:p>
    <w:p w14:paraId="70C73D3A" w14:textId="1FD15EAD"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[5]</w:t>
      </w:r>
      <w:r w:rsidRPr="00C32263">
        <w:rPr>
          <w:rFonts w:ascii="Times New Roman" w:hAnsi="Times New Roman" w:cs="Times New Roman"/>
          <w:noProof/>
          <w:sz w:val="24"/>
          <w:szCs w:val="24"/>
          <w:lang w:val="en-GB"/>
        </w:rPr>
        <w:tab/>
        <w:t xml:space="preserve">S. Chen, </w:t>
      </w:r>
      <w:r w:rsidR="00C07430" w:rsidRPr="00C32263">
        <w:rPr>
          <w:rFonts w:ascii="Times New Roman" w:hAnsi="Times New Roman" w:cs="Times New Roman"/>
          <w:noProof/>
          <w:sz w:val="24"/>
          <w:szCs w:val="24"/>
          <w:lang w:val="en-GB"/>
        </w:rPr>
        <w:t>Z. Cao, K. Prettner, M. Kuhn, J. Yang, L. Jiao, Z. Wang, W. Li, P</w:t>
      </w:r>
      <w:r w:rsidR="00771D60" w:rsidRPr="00C32263">
        <w:rPr>
          <w:rFonts w:ascii="Times New Roman" w:hAnsi="Times New Roman" w:cs="Times New Roman"/>
          <w:noProof/>
          <w:sz w:val="24"/>
          <w:szCs w:val="24"/>
          <w:lang w:val="en-GB"/>
        </w:rPr>
        <w:t>.</w:t>
      </w:r>
      <w:r w:rsidR="00C07430" w:rsidRPr="00C32263">
        <w:rPr>
          <w:rFonts w:ascii="Times New Roman" w:hAnsi="Times New Roman" w:cs="Times New Roman"/>
          <w:noProof/>
          <w:sz w:val="24"/>
          <w:szCs w:val="24"/>
          <w:lang w:val="en-GB"/>
        </w:rPr>
        <w:t xml:space="preserve"> Geldsetzer, T</w:t>
      </w:r>
      <w:r w:rsidR="00771D60" w:rsidRPr="00C32263">
        <w:rPr>
          <w:rFonts w:ascii="Times New Roman" w:hAnsi="Times New Roman" w:cs="Times New Roman"/>
          <w:noProof/>
          <w:sz w:val="24"/>
          <w:szCs w:val="24"/>
          <w:lang w:val="en-GB"/>
        </w:rPr>
        <w:t>.</w:t>
      </w:r>
      <w:r w:rsidR="00C07430" w:rsidRPr="00C32263">
        <w:rPr>
          <w:rFonts w:ascii="Times New Roman" w:hAnsi="Times New Roman" w:cs="Times New Roman"/>
          <w:noProof/>
          <w:sz w:val="24"/>
          <w:szCs w:val="24"/>
          <w:lang w:val="en-GB"/>
        </w:rPr>
        <w:t xml:space="preserve"> Bärnighausen, D</w:t>
      </w:r>
      <w:r w:rsidR="00771D60" w:rsidRPr="00C32263">
        <w:rPr>
          <w:rFonts w:ascii="Times New Roman" w:hAnsi="Times New Roman" w:cs="Times New Roman"/>
          <w:noProof/>
          <w:sz w:val="24"/>
          <w:szCs w:val="24"/>
          <w:lang w:val="en-GB"/>
        </w:rPr>
        <w:t>.</w:t>
      </w:r>
      <w:r w:rsidR="00C07430" w:rsidRPr="00C32263">
        <w:rPr>
          <w:rFonts w:ascii="Times New Roman" w:hAnsi="Times New Roman" w:cs="Times New Roman"/>
          <w:noProof/>
          <w:sz w:val="24"/>
          <w:szCs w:val="24"/>
          <w:lang w:val="en-GB"/>
        </w:rPr>
        <w:t xml:space="preserve"> E. Bloom, C</w:t>
      </w:r>
      <w:r w:rsidR="00771D60" w:rsidRPr="00C32263">
        <w:rPr>
          <w:rFonts w:ascii="Times New Roman" w:hAnsi="Times New Roman" w:cs="Times New Roman"/>
          <w:noProof/>
          <w:sz w:val="24"/>
          <w:szCs w:val="24"/>
          <w:lang w:val="en-GB"/>
        </w:rPr>
        <w:t xml:space="preserve">. </w:t>
      </w:r>
      <w:r w:rsidR="00C07430" w:rsidRPr="00C32263">
        <w:rPr>
          <w:rFonts w:ascii="Times New Roman" w:hAnsi="Times New Roman" w:cs="Times New Roman"/>
          <w:noProof/>
          <w:sz w:val="24"/>
          <w:szCs w:val="24"/>
          <w:lang w:val="en-GB"/>
        </w:rPr>
        <w:t>Wang</w:t>
      </w:r>
      <w:r w:rsidR="00771D60" w:rsidRPr="00C32263">
        <w:rPr>
          <w:rFonts w:ascii="Times New Roman" w:hAnsi="Times New Roman" w:cs="Times New Roman"/>
          <w:noProof/>
          <w:sz w:val="24"/>
          <w:szCs w:val="24"/>
          <w:lang w:val="en-GB"/>
        </w:rPr>
        <w:t xml:space="preserve"> </w:t>
      </w:r>
      <w:r w:rsidRPr="00C32263">
        <w:rPr>
          <w:rFonts w:ascii="Times New Roman" w:hAnsi="Times New Roman" w:cs="Times New Roman"/>
          <w:noProof/>
          <w:sz w:val="24"/>
          <w:szCs w:val="24"/>
          <w:lang w:val="en-GB"/>
        </w:rPr>
        <w:t xml:space="preserve">“Estimates and Projections of the Global Economic Cost of 29 Cancers in 204 Countries and Territories From 2020 to 2050,” </w:t>
      </w:r>
      <w:r w:rsidRPr="00C32263">
        <w:rPr>
          <w:rFonts w:ascii="Times New Roman" w:hAnsi="Times New Roman" w:cs="Times New Roman"/>
          <w:i/>
          <w:iCs/>
          <w:noProof/>
          <w:sz w:val="24"/>
          <w:szCs w:val="24"/>
          <w:lang w:val="en-GB"/>
        </w:rPr>
        <w:t>JAMA Oncol.</w:t>
      </w:r>
      <w:r w:rsidRPr="00C32263">
        <w:rPr>
          <w:rFonts w:ascii="Times New Roman" w:hAnsi="Times New Roman" w:cs="Times New Roman"/>
          <w:noProof/>
          <w:sz w:val="24"/>
          <w:szCs w:val="24"/>
          <w:lang w:val="en-GB"/>
        </w:rPr>
        <w:t>, pp. 1–9, 2023, doi: 10.1001/jamaoncol.2022.7826.</w:t>
      </w:r>
    </w:p>
    <w:p w14:paraId="2684D03C" w14:textId="485440EC"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[6]</w:t>
      </w:r>
      <w:r w:rsidRPr="00C32263">
        <w:rPr>
          <w:rFonts w:ascii="Times New Roman" w:hAnsi="Times New Roman" w:cs="Times New Roman"/>
          <w:noProof/>
          <w:sz w:val="24"/>
          <w:szCs w:val="24"/>
          <w:lang w:val="en-GB"/>
        </w:rPr>
        <w:tab/>
        <w:t>P. Anand</w:t>
      </w:r>
      <w:r w:rsidR="00F23C47" w:rsidRPr="00C32263">
        <w:rPr>
          <w:rFonts w:ascii="Times New Roman" w:hAnsi="Times New Roman" w:cs="Times New Roman"/>
          <w:noProof/>
          <w:sz w:val="24"/>
          <w:szCs w:val="24"/>
          <w:lang w:val="en-GB"/>
        </w:rPr>
        <w:t>,</w:t>
      </w:r>
      <w:r w:rsidR="00F23C47" w:rsidRPr="00C32263">
        <w:rPr>
          <w:rFonts w:ascii="Times New Roman" w:hAnsi="Times New Roman" w:cs="Times New Roman"/>
          <w:i/>
          <w:iCs/>
          <w:noProof/>
          <w:sz w:val="24"/>
          <w:szCs w:val="24"/>
          <w:lang w:val="en-GB"/>
        </w:rPr>
        <w:t xml:space="preserve"> </w:t>
      </w:r>
      <w:r w:rsidR="00F23C47" w:rsidRPr="00C32263">
        <w:rPr>
          <w:rFonts w:ascii="Times New Roman" w:hAnsi="Times New Roman" w:cs="Times New Roman"/>
          <w:noProof/>
          <w:sz w:val="24"/>
          <w:szCs w:val="24"/>
          <w:lang w:val="en-GB"/>
        </w:rPr>
        <w:t xml:space="preserve">A. B. Kunnumakara, C. Sundaram, K. B. Harikumar, S. T. Tharakan, </w:t>
      </w:r>
      <w:r w:rsidR="00F23C47" w:rsidRPr="00C32263">
        <w:rPr>
          <w:rFonts w:ascii="Times New Roman" w:hAnsi="Times New Roman" w:cs="Times New Roman"/>
          <w:noProof/>
          <w:sz w:val="24"/>
          <w:szCs w:val="24"/>
          <w:lang w:val="en-GB"/>
        </w:rPr>
        <w:lastRenderedPageBreak/>
        <w:t>O. S. Lai, B. Sung, B. B. Aggarwal</w:t>
      </w:r>
      <w:r w:rsidRPr="00C32263">
        <w:rPr>
          <w:rFonts w:ascii="Times New Roman" w:hAnsi="Times New Roman" w:cs="Times New Roman"/>
          <w:noProof/>
          <w:sz w:val="24"/>
          <w:szCs w:val="24"/>
          <w:lang w:val="en-GB"/>
        </w:rPr>
        <w:t xml:space="preserve">, “Cancer is a preventable disease that requires major lifestyle changes,” </w:t>
      </w:r>
      <w:r w:rsidRPr="00C32263">
        <w:rPr>
          <w:rFonts w:ascii="Times New Roman" w:hAnsi="Times New Roman" w:cs="Times New Roman"/>
          <w:i/>
          <w:iCs/>
          <w:noProof/>
          <w:sz w:val="24"/>
          <w:szCs w:val="24"/>
          <w:lang w:val="en-GB"/>
        </w:rPr>
        <w:t>Pharm. Res.</w:t>
      </w:r>
      <w:r w:rsidRPr="00C32263">
        <w:rPr>
          <w:rFonts w:ascii="Times New Roman" w:hAnsi="Times New Roman" w:cs="Times New Roman"/>
          <w:noProof/>
          <w:sz w:val="24"/>
          <w:szCs w:val="24"/>
          <w:lang w:val="en-GB"/>
        </w:rPr>
        <w:t>, vol. 25, no. 9, pp. 2097–2116, 2008, doi: 10.1007/s11095-008-9661-9.</w:t>
      </w:r>
    </w:p>
    <w:p w14:paraId="50355281"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w:t>
      </w:r>
      <w:r w:rsidRPr="00C32263">
        <w:rPr>
          <w:rFonts w:ascii="Times New Roman" w:hAnsi="Times New Roman" w:cs="Times New Roman"/>
          <w:noProof/>
          <w:sz w:val="24"/>
          <w:szCs w:val="24"/>
          <w:lang w:val="en-GB"/>
        </w:rPr>
        <w:tab/>
        <w:t xml:space="preserve">R. A. Hiatt and N. Beyeler, “Cancer and climate change,” </w:t>
      </w:r>
      <w:r w:rsidRPr="00C32263">
        <w:rPr>
          <w:rFonts w:ascii="Times New Roman" w:hAnsi="Times New Roman" w:cs="Times New Roman"/>
          <w:i/>
          <w:iCs/>
          <w:noProof/>
          <w:sz w:val="24"/>
          <w:szCs w:val="24"/>
          <w:lang w:val="en-GB"/>
        </w:rPr>
        <w:t>Lancet Oncol.</w:t>
      </w:r>
      <w:r w:rsidRPr="00C32263">
        <w:rPr>
          <w:rFonts w:ascii="Times New Roman" w:hAnsi="Times New Roman" w:cs="Times New Roman"/>
          <w:noProof/>
          <w:sz w:val="24"/>
          <w:szCs w:val="24"/>
          <w:lang w:val="en-GB"/>
        </w:rPr>
        <w:t>, vol. 21, no. 11, pp. e519–e527, 2020, doi: 10.1016/S1470-2045(20)30448-4.</w:t>
      </w:r>
    </w:p>
    <w:p w14:paraId="28AB0E5C" w14:textId="72B286E5"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rPr>
      </w:pPr>
      <w:r w:rsidRPr="00C32263">
        <w:rPr>
          <w:rFonts w:ascii="Times New Roman" w:hAnsi="Times New Roman" w:cs="Times New Roman"/>
          <w:noProof/>
          <w:sz w:val="24"/>
          <w:szCs w:val="24"/>
          <w:lang w:val="en-GB"/>
        </w:rPr>
        <w:t>[8]</w:t>
      </w:r>
      <w:r w:rsidRPr="00C32263">
        <w:rPr>
          <w:rFonts w:ascii="Times New Roman" w:hAnsi="Times New Roman" w:cs="Times New Roman"/>
          <w:noProof/>
          <w:sz w:val="24"/>
          <w:szCs w:val="24"/>
          <w:lang w:val="en-GB"/>
        </w:rPr>
        <w:tab/>
        <w:t>J. Schüz</w:t>
      </w:r>
      <w:r w:rsidR="00031735" w:rsidRPr="00C32263">
        <w:rPr>
          <w:rFonts w:ascii="Times New Roman" w:hAnsi="Times New Roman" w:cs="Times New Roman"/>
          <w:i/>
          <w:iCs/>
          <w:noProof/>
          <w:sz w:val="24"/>
          <w:szCs w:val="24"/>
          <w:lang w:val="en-GB"/>
        </w:rPr>
        <w:t xml:space="preserve">, </w:t>
      </w:r>
      <w:r w:rsidR="00031735" w:rsidRPr="00C32263">
        <w:rPr>
          <w:rFonts w:ascii="Times New Roman" w:hAnsi="Times New Roman" w:cs="Times New Roman"/>
          <w:noProof/>
          <w:sz w:val="24"/>
          <w:szCs w:val="24"/>
          <w:lang w:val="en-GB"/>
        </w:rPr>
        <w:t>C. Espina, P. Villain, R. Herrero, M. E. Leon, S. Minozzi, I. Romieu, N. Segnan, J. Wardle, M. Wiseman, F. Belardelli, D. Bettcher, F. Cavalli, G Galea, G. Lenoir, J. M. Martin-Moreno, F. A. Nicula, J. H. Olsen, J. Patnickm, M. Primic-Zakelj, P Puska, F. E. van Leeuwen, O. Wiestler, W. Zatonski; Working Groups of Scientific Experts</w:t>
      </w:r>
      <w:r w:rsidRPr="00C32263">
        <w:rPr>
          <w:rFonts w:ascii="Times New Roman" w:hAnsi="Times New Roman" w:cs="Times New Roman"/>
          <w:noProof/>
          <w:sz w:val="24"/>
          <w:szCs w:val="24"/>
          <w:lang w:val="en-GB"/>
        </w:rPr>
        <w:t xml:space="preserve">., “European code against cancer 4th edition: 12 ways to reduce your cancer risk,” </w:t>
      </w:r>
      <w:r w:rsidRPr="00C32263">
        <w:rPr>
          <w:rFonts w:ascii="Times New Roman" w:hAnsi="Times New Roman" w:cs="Times New Roman"/>
          <w:i/>
          <w:iCs/>
          <w:noProof/>
          <w:sz w:val="24"/>
          <w:szCs w:val="24"/>
          <w:lang w:val="en-GB"/>
        </w:rPr>
        <w:t>Cancer Epidemiol.</w:t>
      </w:r>
      <w:r w:rsidRPr="00C32263">
        <w:rPr>
          <w:rFonts w:ascii="Times New Roman" w:hAnsi="Times New Roman" w:cs="Times New Roman"/>
          <w:noProof/>
          <w:sz w:val="24"/>
          <w:szCs w:val="24"/>
          <w:lang w:val="en-GB"/>
        </w:rPr>
        <w:t xml:space="preserve">, vol. 39, pp. </w:t>
      </w:r>
      <w:r w:rsidRPr="00C5503B">
        <w:rPr>
          <w:rFonts w:ascii="Times New Roman" w:hAnsi="Times New Roman" w:cs="Times New Roman"/>
          <w:noProof/>
          <w:sz w:val="24"/>
          <w:szCs w:val="24"/>
        </w:rPr>
        <w:t>S1–S10, 2015, doi: 10.1016/j.canep.2015.05.009.</w:t>
      </w:r>
    </w:p>
    <w:p w14:paraId="45529DB0" w14:textId="77777777"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rPr>
      </w:pPr>
      <w:r w:rsidRPr="00C5503B">
        <w:rPr>
          <w:rFonts w:ascii="Times New Roman" w:hAnsi="Times New Roman" w:cs="Times New Roman"/>
          <w:noProof/>
          <w:sz w:val="24"/>
          <w:szCs w:val="24"/>
        </w:rPr>
        <w:t>[9]</w:t>
      </w:r>
      <w:r w:rsidRPr="00C5503B">
        <w:rPr>
          <w:rFonts w:ascii="Times New Roman" w:hAnsi="Times New Roman" w:cs="Times New Roman"/>
          <w:noProof/>
          <w:sz w:val="24"/>
          <w:szCs w:val="24"/>
        </w:rPr>
        <w:tab/>
        <w:t xml:space="preserve">E. K. Walki, </w:t>
      </w:r>
      <w:r w:rsidRPr="00C5503B">
        <w:rPr>
          <w:rFonts w:ascii="Times New Roman" w:hAnsi="Times New Roman" w:cs="Times New Roman"/>
          <w:i/>
          <w:iCs/>
          <w:noProof/>
          <w:sz w:val="24"/>
          <w:szCs w:val="24"/>
        </w:rPr>
        <w:t>12 Sposobów Na Zdrowie</w:t>
      </w:r>
      <w:r w:rsidRPr="00C5503B">
        <w:rPr>
          <w:rFonts w:ascii="Times New Roman" w:hAnsi="Times New Roman" w:cs="Times New Roman"/>
          <w:noProof/>
          <w:sz w:val="24"/>
          <w:szCs w:val="24"/>
        </w:rPr>
        <w:t xml:space="preserve">. </w:t>
      </w:r>
    </w:p>
    <w:p w14:paraId="0D78409B" w14:textId="77777777"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rPr>
      </w:pPr>
      <w:r w:rsidRPr="00C5503B">
        <w:rPr>
          <w:rFonts w:ascii="Times New Roman" w:hAnsi="Times New Roman" w:cs="Times New Roman"/>
          <w:noProof/>
          <w:sz w:val="24"/>
          <w:szCs w:val="24"/>
        </w:rPr>
        <w:t>[10]</w:t>
      </w:r>
      <w:r w:rsidRPr="00C5503B">
        <w:rPr>
          <w:rFonts w:ascii="Times New Roman" w:hAnsi="Times New Roman" w:cs="Times New Roman"/>
          <w:noProof/>
          <w:sz w:val="24"/>
          <w:szCs w:val="24"/>
        </w:rPr>
        <w:tab/>
        <w:t xml:space="preserve">“https://www.cancer.gov/about-cancer/understanding/what-is-cancer#definition ,” </w:t>
      </w:r>
      <w:r w:rsidRPr="00C5503B">
        <w:rPr>
          <w:rFonts w:ascii="Times New Roman" w:hAnsi="Times New Roman" w:cs="Times New Roman"/>
          <w:i/>
          <w:iCs/>
          <w:noProof/>
          <w:sz w:val="24"/>
          <w:szCs w:val="24"/>
        </w:rPr>
        <w:t>data dostępu 07.06.2023</w:t>
      </w:r>
      <w:r w:rsidRPr="00C5503B">
        <w:rPr>
          <w:rFonts w:ascii="Times New Roman" w:hAnsi="Times New Roman" w:cs="Times New Roman"/>
          <w:noProof/>
          <w:sz w:val="24"/>
          <w:szCs w:val="24"/>
        </w:rPr>
        <w:t>, doi: 10.1016/S0140-6736(02)16666-9.</w:t>
      </w:r>
    </w:p>
    <w:p w14:paraId="595341B7"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w:t>
      </w:r>
      <w:r w:rsidRPr="00C32263">
        <w:rPr>
          <w:rFonts w:ascii="Times New Roman" w:hAnsi="Times New Roman" w:cs="Times New Roman"/>
          <w:noProof/>
          <w:sz w:val="24"/>
          <w:szCs w:val="24"/>
          <w:lang w:val="en-GB"/>
        </w:rPr>
        <w:tab/>
        <w:t xml:space="preserve">WHO, “https://www.who.int/health-topics/cancer#tab=tab_1,” </w:t>
      </w:r>
      <w:r w:rsidRPr="00C32263">
        <w:rPr>
          <w:rFonts w:ascii="Times New Roman" w:hAnsi="Times New Roman" w:cs="Times New Roman"/>
          <w:i/>
          <w:iCs/>
          <w:noProof/>
          <w:sz w:val="24"/>
          <w:szCs w:val="24"/>
          <w:lang w:val="en-GB"/>
        </w:rPr>
        <w:t>World Heal. Organ.</w:t>
      </w:r>
      <w:r w:rsidRPr="00C32263">
        <w:rPr>
          <w:rFonts w:ascii="Times New Roman" w:hAnsi="Times New Roman" w:cs="Times New Roman"/>
          <w:noProof/>
          <w:sz w:val="24"/>
          <w:szCs w:val="24"/>
          <w:lang w:val="en-GB"/>
        </w:rPr>
        <w:t>, p. https://www.who.int/health-topics/cancer#tab=tab_1.</w:t>
      </w:r>
    </w:p>
    <w:p w14:paraId="6A0CE74A"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[12]</w:t>
      </w:r>
      <w:r w:rsidRPr="00C32263">
        <w:rPr>
          <w:rFonts w:ascii="Times New Roman" w:hAnsi="Times New Roman" w:cs="Times New Roman"/>
          <w:noProof/>
          <w:sz w:val="24"/>
          <w:szCs w:val="24"/>
          <w:lang w:val="en-GB"/>
        </w:rPr>
        <w:tab/>
        <w:t xml:space="preserve">A. Patel, “Benign vs Malignant Tumors,” </w:t>
      </w:r>
      <w:r w:rsidRPr="00C32263">
        <w:rPr>
          <w:rFonts w:ascii="Times New Roman" w:hAnsi="Times New Roman" w:cs="Times New Roman"/>
          <w:i/>
          <w:iCs/>
          <w:noProof/>
          <w:sz w:val="24"/>
          <w:szCs w:val="24"/>
          <w:lang w:val="en-GB"/>
        </w:rPr>
        <w:t>JAMA Oncol.</w:t>
      </w:r>
      <w:r w:rsidRPr="00C32263">
        <w:rPr>
          <w:rFonts w:ascii="Times New Roman" w:hAnsi="Times New Roman" w:cs="Times New Roman"/>
          <w:noProof/>
          <w:sz w:val="24"/>
          <w:szCs w:val="24"/>
          <w:lang w:val="en-GB"/>
        </w:rPr>
        <w:t>, vol. 6, no. 9, p. 1488, 2020, doi: 10.1001/jamaoncol.2020.2592.</w:t>
      </w:r>
    </w:p>
    <w:p w14:paraId="0C11EB9C" w14:textId="3B5215DC" w:rsidR="00C5503B" w:rsidRPr="00C32263" w:rsidRDefault="00C5503B" w:rsidP="00A822FE">
      <w:pPr>
        <w:pStyle w:val="NormalnyWeb"/>
        <w:spacing w:before="0" w:beforeAutospacing="0" w:after="0" w:afterAutospacing="0" w:line="360" w:lineRule="auto"/>
        <w:ind w:left="851" w:hanging="851"/>
        <w:jc w:val="both"/>
        <w:rPr>
          <w:noProof/>
          <w:lang w:val="en-GB"/>
        </w:rPr>
      </w:pPr>
      <w:r w:rsidRPr="00C32263">
        <w:rPr>
          <w:noProof/>
          <w:lang w:val="en-GB"/>
        </w:rPr>
        <w:t>[13]</w:t>
      </w:r>
      <w:r w:rsidRPr="00C32263">
        <w:rPr>
          <w:noProof/>
          <w:lang w:val="en-GB"/>
        </w:rPr>
        <w:tab/>
      </w:r>
      <w:r w:rsidRPr="00C32263">
        <w:rPr>
          <w:lang w:val="en-GB"/>
        </w:rPr>
        <w:t>E. N. Kontomanolis</w:t>
      </w:r>
      <w:r w:rsidR="00CF4B3D" w:rsidRPr="00C32263">
        <w:rPr>
          <w:lang w:val="en-GB"/>
        </w:rPr>
        <w:t>, A.</w:t>
      </w:r>
      <w:r w:rsidR="00CA34B3" w:rsidRPr="00C32263">
        <w:rPr>
          <w:lang w:val="en-GB"/>
        </w:rPr>
        <w:t xml:space="preserve"> </w:t>
      </w:r>
      <w:r w:rsidR="00CA34B3" w:rsidRPr="00CA34B3">
        <w:rPr>
          <w:lang w:val="en-GB"/>
        </w:rPr>
        <w:t>Koutras, A</w:t>
      </w:r>
      <w:r w:rsidR="008F0222">
        <w:rPr>
          <w:lang w:val="en-GB"/>
        </w:rPr>
        <w:t xml:space="preserve">. </w:t>
      </w:r>
      <w:r w:rsidR="00CA34B3" w:rsidRPr="00CA34B3">
        <w:rPr>
          <w:lang w:val="en-GB"/>
        </w:rPr>
        <w:t>Syllaios, A</w:t>
      </w:r>
      <w:r w:rsidR="008F0222">
        <w:rPr>
          <w:lang w:val="en-GB"/>
        </w:rPr>
        <w:t>.</w:t>
      </w:r>
      <w:r w:rsidR="00CA34B3" w:rsidRPr="00C32263">
        <w:rPr>
          <w:lang w:val="en-GB"/>
        </w:rPr>
        <w:t xml:space="preserve"> </w:t>
      </w:r>
      <w:r w:rsidR="00CA34B3" w:rsidRPr="00CA34B3">
        <w:rPr>
          <w:lang w:val="en-GB"/>
        </w:rPr>
        <w:t>Schizas, D</w:t>
      </w:r>
      <w:r w:rsidR="008F0222">
        <w:rPr>
          <w:lang w:val="en-GB"/>
        </w:rPr>
        <w:t>.</w:t>
      </w:r>
      <w:r w:rsidR="00CA34B3" w:rsidRPr="00C32263">
        <w:rPr>
          <w:lang w:val="en-GB"/>
        </w:rPr>
        <w:t xml:space="preserve"> </w:t>
      </w:r>
      <w:r w:rsidR="00CA34B3" w:rsidRPr="00CA34B3">
        <w:rPr>
          <w:lang w:val="en-GB"/>
        </w:rPr>
        <w:t>Mastoraki, A</w:t>
      </w:r>
      <w:r w:rsidR="008F0222">
        <w:rPr>
          <w:lang w:val="en-GB"/>
        </w:rPr>
        <w:t>.</w:t>
      </w:r>
      <w:r w:rsidR="00CA34B3" w:rsidRPr="00C32263">
        <w:rPr>
          <w:lang w:val="en-GB"/>
        </w:rPr>
        <w:t xml:space="preserve"> </w:t>
      </w:r>
      <w:r w:rsidR="00CA34B3" w:rsidRPr="00CA34B3">
        <w:rPr>
          <w:lang w:val="en-GB"/>
        </w:rPr>
        <w:t>Garmpis, N</w:t>
      </w:r>
      <w:r w:rsidR="008F0222">
        <w:rPr>
          <w:lang w:val="en-GB"/>
        </w:rPr>
        <w:t>.</w:t>
      </w:r>
      <w:r w:rsidR="00CA34B3" w:rsidRPr="00C32263">
        <w:rPr>
          <w:lang w:val="en-GB"/>
        </w:rPr>
        <w:t xml:space="preserve"> </w:t>
      </w:r>
      <w:r w:rsidR="00CA34B3" w:rsidRPr="00CA34B3">
        <w:rPr>
          <w:lang w:val="en-GB"/>
        </w:rPr>
        <w:t>Diakosavvas, M</w:t>
      </w:r>
      <w:r w:rsidR="008F0222">
        <w:rPr>
          <w:lang w:val="en-GB"/>
        </w:rPr>
        <w:t>.</w:t>
      </w:r>
      <w:r w:rsidR="00CA34B3" w:rsidRPr="00C32263">
        <w:rPr>
          <w:lang w:val="en-GB"/>
        </w:rPr>
        <w:t xml:space="preserve"> </w:t>
      </w:r>
      <w:r w:rsidR="00CA34B3" w:rsidRPr="00CA34B3">
        <w:rPr>
          <w:lang w:val="en-GB"/>
        </w:rPr>
        <w:t>Angelou, K</w:t>
      </w:r>
      <w:r w:rsidR="008F0222">
        <w:rPr>
          <w:lang w:val="en-GB"/>
        </w:rPr>
        <w:t>.</w:t>
      </w:r>
      <w:r w:rsidR="00CA34B3" w:rsidRPr="00C32263">
        <w:rPr>
          <w:lang w:val="en-GB"/>
        </w:rPr>
        <w:t xml:space="preserve"> </w:t>
      </w:r>
      <w:r w:rsidR="00CA34B3" w:rsidRPr="00CA34B3">
        <w:rPr>
          <w:lang w:val="en-GB"/>
        </w:rPr>
        <w:t>Tsatsaris, G</w:t>
      </w:r>
      <w:r w:rsidR="008F0222">
        <w:rPr>
          <w:lang w:val="en-GB"/>
        </w:rPr>
        <w:t>.</w:t>
      </w:r>
      <w:r w:rsidR="00CA34B3" w:rsidRPr="00C32263">
        <w:rPr>
          <w:lang w:val="en-GB"/>
        </w:rPr>
        <w:t xml:space="preserve"> </w:t>
      </w:r>
      <w:r w:rsidR="00CA34B3" w:rsidRPr="00CA34B3">
        <w:rPr>
          <w:lang w:val="en-GB"/>
        </w:rPr>
        <w:t xml:space="preserve">Pagkalos, </w:t>
      </w:r>
      <w:r w:rsidR="00023123">
        <w:rPr>
          <w:lang w:val="en-GB"/>
        </w:rPr>
        <w:t>T</w:t>
      </w:r>
      <w:r w:rsidR="008F0222">
        <w:rPr>
          <w:lang w:val="en-GB"/>
        </w:rPr>
        <w:t>.</w:t>
      </w:r>
      <w:r w:rsidR="00CA34B3" w:rsidRPr="00C32263">
        <w:rPr>
          <w:lang w:val="en-GB"/>
        </w:rPr>
        <w:t xml:space="preserve"> </w:t>
      </w:r>
      <w:r w:rsidR="00CA34B3" w:rsidRPr="00CA34B3">
        <w:rPr>
          <w:lang w:val="en-GB"/>
        </w:rPr>
        <w:t>Ntounis</w:t>
      </w:r>
      <w:r w:rsidR="00023123">
        <w:rPr>
          <w:lang w:val="en-GB"/>
        </w:rPr>
        <w:t>,</w:t>
      </w:r>
      <w:r w:rsidR="00023123" w:rsidRPr="00C32263">
        <w:rPr>
          <w:lang w:val="en-GB"/>
        </w:rPr>
        <w:t xml:space="preserve">Z. </w:t>
      </w:r>
      <w:r w:rsidR="00CA34B3" w:rsidRPr="00C32263">
        <w:rPr>
          <w:lang w:val="en-GB"/>
        </w:rPr>
        <w:t>Fasoulakis</w:t>
      </w:r>
      <w:r w:rsidRPr="00C32263">
        <w:rPr>
          <w:lang w:val="en-GB"/>
        </w:rPr>
        <w:t xml:space="preserve"> “Role of oncogenes and tumor-suppressor genes in carcinogenesis: A review,” Anticancer Res., vol. 40, no. 11, pp. 6009–6015, 2020, doi: 10.21873/anticanres.14622.</w:t>
      </w:r>
    </w:p>
    <w:p w14:paraId="26887E77"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[14]</w:t>
      </w:r>
      <w:r w:rsidRPr="00C32263">
        <w:rPr>
          <w:rFonts w:ascii="Times New Roman" w:hAnsi="Times New Roman" w:cs="Times New Roman"/>
          <w:noProof/>
          <w:sz w:val="24"/>
          <w:szCs w:val="24"/>
          <w:lang w:val="en-GB"/>
        </w:rPr>
        <w:tab/>
        <w:t xml:space="preserve">E. Dickens and S. Ahmed, “Principles of cancer treatment by chemotherapy,” </w:t>
      </w:r>
      <w:r w:rsidRPr="00C32263">
        <w:rPr>
          <w:rFonts w:ascii="Times New Roman" w:hAnsi="Times New Roman" w:cs="Times New Roman"/>
          <w:i/>
          <w:iCs/>
          <w:noProof/>
          <w:sz w:val="24"/>
          <w:szCs w:val="24"/>
          <w:lang w:val="en-GB"/>
        </w:rPr>
        <w:t>Surg. (United Kingdom)</w:t>
      </w:r>
      <w:r w:rsidRPr="00C32263">
        <w:rPr>
          <w:rFonts w:ascii="Times New Roman" w:hAnsi="Times New Roman" w:cs="Times New Roman"/>
          <w:noProof/>
          <w:sz w:val="24"/>
          <w:szCs w:val="24"/>
          <w:lang w:val="en-GB"/>
        </w:rPr>
        <w:t>, vol. 36, no. 3, pp. 134–138, 2018, doi: 10.1016/j.mpsur.2017.12.002.</w:t>
      </w:r>
    </w:p>
    <w:p w14:paraId="5D6856F2"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[15]</w:t>
      </w:r>
      <w:r w:rsidRPr="00C32263">
        <w:rPr>
          <w:rFonts w:ascii="Times New Roman" w:hAnsi="Times New Roman" w:cs="Times New Roman"/>
          <w:noProof/>
          <w:sz w:val="24"/>
          <w:szCs w:val="24"/>
          <w:lang w:val="en-GB"/>
        </w:rPr>
        <w:tab/>
        <w:t xml:space="preserve">J. L. Barnes, M. Zubair, K. John, M. C. Poirier, and F. L. Martin, “Carcinogens and DNA damage,” </w:t>
      </w:r>
      <w:r w:rsidRPr="00C32263">
        <w:rPr>
          <w:rFonts w:ascii="Times New Roman" w:hAnsi="Times New Roman" w:cs="Times New Roman"/>
          <w:i/>
          <w:iCs/>
          <w:noProof/>
          <w:sz w:val="24"/>
          <w:szCs w:val="24"/>
          <w:lang w:val="en-GB"/>
        </w:rPr>
        <w:t>Biochem. Soc. Trans.</w:t>
      </w:r>
      <w:r w:rsidRPr="00C32263">
        <w:rPr>
          <w:rFonts w:ascii="Times New Roman" w:hAnsi="Times New Roman" w:cs="Times New Roman"/>
          <w:noProof/>
          <w:sz w:val="24"/>
          <w:szCs w:val="24"/>
          <w:lang w:val="en-GB"/>
        </w:rPr>
        <w:t>, vol. 46, no. 5, pp. 1213–1224, 2018, doi: 10.1042/BST20180519.</w:t>
      </w:r>
    </w:p>
    <w:p w14:paraId="06DC7934"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lastRenderedPageBreak/>
        <w:t>[16]</w:t>
      </w:r>
      <w:r w:rsidRPr="00C32263">
        <w:rPr>
          <w:rFonts w:ascii="Times New Roman" w:hAnsi="Times New Roman" w:cs="Times New Roman"/>
          <w:noProof/>
          <w:sz w:val="24"/>
          <w:szCs w:val="24"/>
          <w:lang w:val="en-GB"/>
        </w:rPr>
        <w:tab/>
        <w:t xml:space="preserve">A. Carbone, “Cancer classification at the crossroads,” </w:t>
      </w:r>
      <w:r w:rsidRPr="00C32263">
        <w:rPr>
          <w:rFonts w:ascii="Times New Roman" w:hAnsi="Times New Roman" w:cs="Times New Roman"/>
          <w:i/>
          <w:iCs/>
          <w:noProof/>
          <w:sz w:val="24"/>
          <w:szCs w:val="24"/>
          <w:lang w:val="en-GB"/>
        </w:rPr>
        <w:t>Cancers (Basel).</w:t>
      </w:r>
      <w:r w:rsidRPr="00C32263">
        <w:rPr>
          <w:rFonts w:ascii="Times New Roman" w:hAnsi="Times New Roman" w:cs="Times New Roman"/>
          <w:noProof/>
          <w:sz w:val="24"/>
          <w:szCs w:val="24"/>
          <w:lang w:val="en-GB"/>
        </w:rPr>
        <w:t>, vol. 12, no. 4, pp. 10–15, 2020, doi: 10.3390/cancers12040980.</w:t>
      </w:r>
    </w:p>
    <w:p w14:paraId="532279F6" w14:textId="77777777"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rPr>
      </w:pPr>
      <w:r w:rsidRPr="00C32263">
        <w:rPr>
          <w:rFonts w:ascii="Times New Roman" w:hAnsi="Times New Roman" w:cs="Times New Roman"/>
          <w:noProof/>
          <w:sz w:val="24"/>
          <w:szCs w:val="24"/>
          <w:lang w:val="en-GB"/>
        </w:rPr>
        <w:t>[17]</w:t>
      </w:r>
      <w:r w:rsidRPr="00C32263">
        <w:rPr>
          <w:rFonts w:ascii="Times New Roman" w:hAnsi="Times New Roman" w:cs="Times New Roman"/>
          <w:noProof/>
          <w:sz w:val="24"/>
          <w:szCs w:val="24"/>
          <w:lang w:val="en-GB"/>
        </w:rPr>
        <w:tab/>
        <w:t xml:space="preserve">M. Sawaki, T. Shien, and H. Iwata, “TNM classification of malignant tumors (Breast Cancer Study Group),” </w:t>
      </w:r>
      <w:r w:rsidRPr="00C32263">
        <w:rPr>
          <w:rFonts w:ascii="Times New Roman" w:hAnsi="Times New Roman" w:cs="Times New Roman"/>
          <w:i/>
          <w:iCs/>
          <w:noProof/>
          <w:sz w:val="24"/>
          <w:szCs w:val="24"/>
          <w:lang w:val="en-GB"/>
        </w:rPr>
        <w:t xml:space="preserve">Jpn. J. Clin. </w:t>
      </w:r>
      <w:r w:rsidRPr="00C5503B">
        <w:rPr>
          <w:rFonts w:ascii="Times New Roman" w:hAnsi="Times New Roman" w:cs="Times New Roman"/>
          <w:i/>
          <w:iCs/>
          <w:noProof/>
          <w:sz w:val="24"/>
          <w:szCs w:val="24"/>
        </w:rPr>
        <w:t>Oncol.</w:t>
      </w:r>
      <w:r w:rsidRPr="00C5503B">
        <w:rPr>
          <w:rFonts w:ascii="Times New Roman" w:hAnsi="Times New Roman" w:cs="Times New Roman"/>
          <w:noProof/>
          <w:sz w:val="24"/>
          <w:szCs w:val="24"/>
        </w:rPr>
        <w:t>, vol. 49, no. 3, pp. 228–231, 2019, doi: 10.1093/jjco/hyy182.</w:t>
      </w:r>
    </w:p>
    <w:p w14:paraId="6CADA370"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5503B">
        <w:rPr>
          <w:rFonts w:ascii="Times New Roman" w:hAnsi="Times New Roman" w:cs="Times New Roman"/>
          <w:noProof/>
          <w:sz w:val="24"/>
          <w:szCs w:val="24"/>
        </w:rPr>
        <w:t>[18]</w:t>
      </w:r>
      <w:r w:rsidRPr="00C5503B">
        <w:rPr>
          <w:rFonts w:ascii="Times New Roman" w:hAnsi="Times New Roman" w:cs="Times New Roman"/>
          <w:noProof/>
          <w:sz w:val="24"/>
          <w:szCs w:val="24"/>
        </w:rPr>
        <w:tab/>
        <w:t xml:space="preserve">WHO, “Międzynarodowa Statystyczna Klasyfikacja Chorób i Problemów Zdrowotnych – X Rewizja, Tom I. wydanie 2008,” </w:t>
      </w:r>
      <w:r w:rsidRPr="00C5503B">
        <w:rPr>
          <w:rFonts w:ascii="Times New Roman" w:hAnsi="Times New Roman" w:cs="Times New Roman"/>
          <w:i/>
          <w:iCs/>
          <w:noProof/>
          <w:sz w:val="24"/>
          <w:szCs w:val="24"/>
        </w:rPr>
        <w:t>Międzynarodowa Stat. Klasyf. Chorób i Probl. Zdrowotnych – X Rewiz. Tom I. Wyd. 2008</w:t>
      </w:r>
      <w:r w:rsidRPr="00C5503B">
        <w:rPr>
          <w:rFonts w:ascii="Times New Roman" w:hAnsi="Times New Roman" w:cs="Times New Roman"/>
          <w:noProof/>
          <w:sz w:val="24"/>
          <w:szCs w:val="24"/>
        </w:rPr>
        <w:t xml:space="preserve">, pp. 222–228, 2009, [Online]. </w:t>
      </w:r>
      <w:r w:rsidRPr="00C32263">
        <w:rPr>
          <w:rFonts w:ascii="Times New Roman" w:hAnsi="Times New Roman" w:cs="Times New Roman"/>
          <w:noProof/>
          <w:sz w:val="24"/>
          <w:szCs w:val="24"/>
          <w:lang w:val="en-GB"/>
        </w:rPr>
        <w:t>Available: https://cez.gov.pl/fileadmin/user_upload/Wytyczne/statystyka/icd10tomi_56a8f5a554a18.pdf</w:t>
      </w:r>
    </w:p>
    <w:p w14:paraId="5C63EE0E" w14:textId="701AB0E6"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rPr>
      </w:pPr>
      <w:r w:rsidRPr="00C32263">
        <w:rPr>
          <w:rFonts w:ascii="Times New Roman" w:hAnsi="Times New Roman" w:cs="Times New Roman"/>
          <w:noProof/>
          <w:sz w:val="24"/>
          <w:szCs w:val="24"/>
          <w:lang w:val="en-GB"/>
        </w:rPr>
        <w:t>[19]</w:t>
      </w:r>
      <w:r w:rsidRPr="00C32263">
        <w:rPr>
          <w:rFonts w:ascii="Times New Roman" w:hAnsi="Times New Roman" w:cs="Times New Roman"/>
          <w:noProof/>
          <w:sz w:val="24"/>
          <w:szCs w:val="24"/>
          <w:lang w:val="en-GB"/>
        </w:rPr>
        <w:tab/>
        <w:t>J. Huang</w:t>
      </w:r>
      <w:r w:rsidR="007B13FB"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B5792F" w:rsidRPr="00C32263">
        <w:rPr>
          <w:rFonts w:ascii="Times New Roman" w:hAnsi="Times New Roman" w:cs="Times New Roman"/>
          <w:noProof/>
          <w:sz w:val="24"/>
          <w:szCs w:val="24"/>
          <w:lang w:val="en-GB"/>
        </w:rPr>
        <w:t>W. S. Pang, V. Lok, L. Zhang, D. E. Lucero‑Prisno, W. X</w:t>
      </w:r>
      <w:r w:rsidR="007B13FB" w:rsidRPr="00C32263">
        <w:rPr>
          <w:rFonts w:ascii="Times New Roman" w:hAnsi="Times New Roman" w:cs="Times New Roman"/>
          <w:noProof/>
          <w:sz w:val="24"/>
          <w:szCs w:val="24"/>
          <w:lang w:val="en-GB"/>
        </w:rPr>
        <w:t>u</w:t>
      </w:r>
      <w:r w:rsidR="00B5792F" w:rsidRPr="00C32263">
        <w:rPr>
          <w:rFonts w:ascii="Times New Roman" w:hAnsi="Times New Roman" w:cs="Times New Roman"/>
          <w:noProof/>
          <w:sz w:val="24"/>
          <w:szCs w:val="24"/>
          <w:lang w:val="en-GB"/>
        </w:rPr>
        <w:t>, Z</w:t>
      </w:r>
      <w:r w:rsidR="007B13FB" w:rsidRPr="00C32263">
        <w:rPr>
          <w:rFonts w:ascii="Times New Roman" w:hAnsi="Times New Roman" w:cs="Times New Roman"/>
          <w:noProof/>
          <w:sz w:val="24"/>
          <w:szCs w:val="24"/>
          <w:lang w:val="en-GB"/>
        </w:rPr>
        <w:t>.</w:t>
      </w:r>
      <w:r w:rsidR="00B5792F" w:rsidRPr="00C32263">
        <w:rPr>
          <w:rFonts w:ascii="Times New Roman" w:hAnsi="Times New Roman" w:cs="Times New Roman"/>
          <w:noProof/>
          <w:sz w:val="24"/>
          <w:szCs w:val="24"/>
          <w:lang w:val="en-GB"/>
        </w:rPr>
        <w:t>‑J</w:t>
      </w:r>
      <w:r w:rsidR="007B13FB" w:rsidRPr="00C32263">
        <w:rPr>
          <w:rFonts w:ascii="Times New Roman" w:hAnsi="Times New Roman" w:cs="Times New Roman"/>
          <w:noProof/>
          <w:sz w:val="24"/>
          <w:szCs w:val="24"/>
          <w:lang w:val="en-GB"/>
        </w:rPr>
        <w:t>.</w:t>
      </w:r>
      <w:r w:rsidR="00B5792F" w:rsidRPr="00C32263">
        <w:rPr>
          <w:rFonts w:ascii="Times New Roman" w:hAnsi="Times New Roman" w:cs="Times New Roman"/>
          <w:noProof/>
          <w:sz w:val="24"/>
          <w:szCs w:val="24"/>
          <w:lang w:val="en-GB"/>
        </w:rPr>
        <w:t xml:space="preserve"> Zheng, E</w:t>
      </w:r>
      <w:r w:rsidR="007B13FB" w:rsidRPr="00C32263">
        <w:rPr>
          <w:rFonts w:ascii="Times New Roman" w:hAnsi="Times New Roman" w:cs="Times New Roman"/>
          <w:noProof/>
          <w:sz w:val="24"/>
          <w:szCs w:val="24"/>
          <w:lang w:val="en-GB"/>
        </w:rPr>
        <w:t xml:space="preserve">. </w:t>
      </w:r>
      <w:r w:rsidR="00B5792F" w:rsidRPr="00C32263">
        <w:rPr>
          <w:rFonts w:ascii="Times New Roman" w:hAnsi="Times New Roman" w:cs="Times New Roman"/>
          <w:noProof/>
          <w:sz w:val="24"/>
          <w:szCs w:val="24"/>
          <w:lang w:val="en-GB"/>
        </w:rPr>
        <w:t>Elcarte, M</w:t>
      </w:r>
      <w:r w:rsidR="007B13FB" w:rsidRPr="00C32263">
        <w:rPr>
          <w:rFonts w:ascii="Times New Roman" w:hAnsi="Times New Roman" w:cs="Times New Roman"/>
          <w:noProof/>
          <w:sz w:val="24"/>
          <w:szCs w:val="24"/>
          <w:lang w:val="en-GB"/>
        </w:rPr>
        <w:t>.</w:t>
      </w:r>
      <w:r w:rsidR="00B5792F" w:rsidRPr="00C32263">
        <w:rPr>
          <w:rFonts w:ascii="Times New Roman" w:hAnsi="Times New Roman" w:cs="Times New Roman"/>
          <w:noProof/>
          <w:sz w:val="24"/>
          <w:szCs w:val="24"/>
          <w:lang w:val="en-GB"/>
        </w:rPr>
        <w:t xml:space="preserve"> Withers, M</w:t>
      </w:r>
      <w:r w:rsidR="007B13FB" w:rsidRPr="00C32263">
        <w:rPr>
          <w:rFonts w:ascii="Times New Roman" w:hAnsi="Times New Roman" w:cs="Times New Roman"/>
          <w:noProof/>
          <w:sz w:val="24"/>
          <w:szCs w:val="24"/>
          <w:lang w:val="en-GB"/>
        </w:rPr>
        <w:t>.</w:t>
      </w:r>
      <w:r w:rsidR="00B5792F" w:rsidRPr="00C32263">
        <w:rPr>
          <w:rFonts w:ascii="Times New Roman" w:hAnsi="Times New Roman" w:cs="Times New Roman"/>
          <w:noProof/>
          <w:sz w:val="24"/>
          <w:szCs w:val="24"/>
          <w:lang w:val="en-GB"/>
        </w:rPr>
        <w:t xml:space="preserve"> C. S. Wong</w:t>
      </w:r>
      <w:r w:rsidR="007B13FB" w:rsidRPr="00C32263">
        <w:rPr>
          <w:rFonts w:ascii="Times New Roman" w:hAnsi="Times New Roman" w:cs="Times New Roman"/>
          <w:noProof/>
          <w:sz w:val="24"/>
          <w:szCs w:val="24"/>
          <w:lang w:val="en-GB"/>
        </w:rPr>
        <w:t xml:space="preserve">, </w:t>
      </w:r>
      <w:r w:rsidR="00B5792F" w:rsidRPr="00C32263">
        <w:rPr>
          <w:rFonts w:ascii="Times New Roman" w:hAnsi="Times New Roman" w:cs="Times New Roman"/>
          <w:noProof/>
          <w:sz w:val="24"/>
          <w:szCs w:val="24"/>
          <w:lang w:val="en-GB"/>
        </w:rPr>
        <w:t>NCD Global Health Research Group, Association of Pacific Rim Universities (APRU)</w:t>
      </w:r>
      <w:r w:rsidRPr="00C32263">
        <w:rPr>
          <w:rFonts w:ascii="Times New Roman" w:hAnsi="Times New Roman" w:cs="Times New Roman"/>
          <w:noProof/>
          <w:sz w:val="24"/>
          <w:szCs w:val="24"/>
          <w:lang w:val="en-GB"/>
        </w:rPr>
        <w:t xml:space="preserve">, “Incidence, mortality, risk factors, and trends for Hodgkin lymphoma: a global data analysis,” </w:t>
      </w:r>
      <w:r w:rsidRPr="00C32263">
        <w:rPr>
          <w:rFonts w:ascii="Times New Roman" w:hAnsi="Times New Roman" w:cs="Times New Roman"/>
          <w:i/>
          <w:iCs/>
          <w:noProof/>
          <w:sz w:val="24"/>
          <w:szCs w:val="24"/>
          <w:lang w:val="en-GB"/>
        </w:rPr>
        <w:t xml:space="preserve">J. Hematol. </w:t>
      </w:r>
      <w:r w:rsidRPr="00C5503B">
        <w:rPr>
          <w:rFonts w:ascii="Times New Roman" w:hAnsi="Times New Roman" w:cs="Times New Roman"/>
          <w:i/>
          <w:iCs/>
          <w:noProof/>
          <w:sz w:val="24"/>
          <w:szCs w:val="24"/>
        </w:rPr>
        <w:t>Oncol.</w:t>
      </w:r>
      <w:r w:rsidRPr="00C5503B">
        <w:rPr>
          <w:rFonts w:ascii="Times New Roman" w:hAnsi="Times New Roman" w:cs="Times New Roman"/>
          <w:noProof/>
          <w:sz w:val="24"/>
          <w:szCs w:val="24"/>
        </w:rPr>
        <w:t>, vol. 15, no. 1, pp. 1–11, 2022, doi: 10.1186/s13045-022-01281-9.</w:t>
      </w:r>
    </w:p>
    <w:p w14:paraId="00B07E5C" w14:textId="77777777"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rPr>
      </w:pPr>
      <w:r w:rsidRPr="00C5503B">
        <w:rPr>
          <w:rFonts w:ascii="Times New Roman" w:hAnsi="Times New Roman" w:cs="Times New Roman"/>
          <w:noProof/>
          <w:sz w:val="24"/>
          <w:szCs w:val="24"/>
        </w:rPr>
        <w:t>[20]</w:t>
      </w:r>
      <w:r w:rsidRPr="00C5503B">
        <w:rPr>
          <w:rFonts w:ascii="Times New Roman" w:hAnsi="Times New Roman" w:cs="Times New Roman"/>
          <w:noProof/>
          <w:sz w:val="24"/>
          <w:szCs w:val="24"/>
        </w:rPr>
        <w:tab/>
        <w:t xml:space="preserve">K. M. Katarzyna Kryszczyszyn-Musialik1, 2, Grzegorz Słomian1, “Mnogie stany ropne utrudniające rozpoznanie , wikłające przebieg i leczenie chłoniaka Hodgkina u 29-letniego mężczyzny — opis przypadku,” </w:t>
      </w:r>
      <w:r w:rsidRPr="00C5503B">
        <w:rPr>
          <w:rFonts w:ascii="Times New Roman" w:hAnsi="Times New Roman" w:cs="Times New Roman"/>
          <w:i/>
          <w:iCs/>
          <w:noProof/>
          <w:sz w:val="24"/>
          <w:szCs w:val="24"/>
        </w:rPr>
        <w:t>Via Medica</w:t>
      </w:r>
      <w:r w:rsidRPr="00C5503B">
        <w:rPr>
          <w:rFonts w:ascii="Times New Roman" w:hAnsi="Times New Roman" w:cs="Times New Roman"/>
          <w:noProof/>
          <w:sz w:val="24"/>
          <w:szCs w:val="24"/>
        </w:rPr>
        <w:t>, no. 3, pp. 280–285, 2019, doi: 10.5603/OCP.2019.0028.Nale.</w:t>
      </w:r>
    </w:p>
    <w:p w14:paraId="0DEC38C9"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5503B">
        <w:rPr>
          <w:rFonts w:ascii="Times New Roman" w:hAnsi="Times New Roman" w:cs="Times New Roman"/>
          <w:noProof/>
          <w:sz w:val="24"/>
          <w:szCs w:val="24"/>
        </w:rPr>
        <w:t>[21]</w:t>
      </w:r>
      <w:r w:rsidRPr="00C5503B">
        <w:rPr>
          <w:rFonts w:ascii="Times New Roman" w:hAnsi="Times New Roman" w:cs="Times New Roman"/>
          <w:noProof/>
          <w:sz w:val="24"/>
          <w:szCs w:val="24"/>
        </w:rPr>
        <w:tab/>
        <w:t xml:space="preserve">B. K. Alicja Chybicka, Krystyna Sawicz-Birkowska, “Onkologia i hematologia dziecięca Tom 1,” </w:t>
      </w:r>
      <w:r w:rsidRPr="00C5503B">
        <w:rPr>
          <w:rFonts w:ascii="Times New Roman" w:hAnsi="Times New Roman" w:cs="Times New Roman"/>
          <w:i/>
          <w:iCs/>
          <w:noProof/>
          <w:sz w:val="24"/>
          <w:szCs w:val="24"/>
        </w:rPr>
        <w:t xml:space="preserve">PZWL Wydaw. </w:t>
      </w:r>
      <w:r w:rsidRPr="00C32263">
        <w:rPr>
          <w:rFonts w:ascii="Times New Roman" w:hAnsi="Times New Roman" w:cs="Times New Roman"/>
          <w:i/>
          <w:iCs/>
          <w:noProof/>
          <w:sz w:val="24"/>
          <w:szCs w:val="24"/>
          <w:lang w:val="en-GB"/>
        </w:rPr>
        <w:t>Lek.</w:t>
      </w:r>
      <w:r w:rsidRPr="00C32263">
        <w:rPr>
          <w:rFonts w:ascii="Times New Roman" w:hAnsi="Times New Roman" w:cs="Times New Roman"/>
          <w:noProof/>
          <w:sz w:val="24"/>
          <w:szCs w:val="24"/>
          <w:lang w:val="en-GB"/>
        </w:rPr>
        <w:t>, no. wyd. 2, 2021, 2021.</w:t>
      </w:r>
    </w:p>
    <w:p w14:paraId="3A4B34B0"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[22]</w:t>
      </w:r>
      <w:r w:rsidRPr="00C32263">
        <w:rPr>
          <w:rFonts w:ascii="Times New Roman" w:hAnsi="Times New Roman" w:cs="Times New Roman"/>
          <w:noProof/>
          <w:sz w:val="24"/>
          <w:szCs w:val="24"/>
          <w:lang w:val="en-GB"/>
        </w:rPr>
        <w:tab/>
        <w:t xml:space="preserve">J. Momotow, S. Borchmann, D. A. Eichenauer, A. Engert, and S. Sasse, “Hodgkin lymphoma—review on pathogenesis, diagnosis, current and future treatment approaches for adult patients,” </w:t>
      </w:r>
      <w:r w:rsidRPr="00C32263">
        <w:rPr>
          <w:rFonts w:ascii="Times New Roman" w:hAnsi="Times New Roman" w:cs="Times New Roman"/>
          <w:i/>
          <w:iCs/>
          <w:noProof/>
          <w:sz w:val="24"/>
          <w:szCs w:val="24"/>
          <w:lang w:val="en-GB"/>
        </w:rPr>
        <w:t>J. Clin. Med.</w:t>
      </w:r>
      <w:r w:rsidRPr="00C32263">
        <w:rPr>
          <w:rFonts w:ascii="Times New Roman" w:hAnsi="Times New Roman" w:cs="Times New Roman"/>
          <w:noProof/>
          <w:sz w:val="24"/>
          <w:szCs w:val="24"/>
          <w:lang w:val="en-GB"/>
        </w:rPr>
        <w:t>, vol. 10, no. 5, pp. 1–17, 2021, doi: 10.3390/jcm10051125.</w:t>
      </w:r>
    </w:p>
    <w:p w14:paraId="723115B8"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5503B">
        <w:rPr>
          <w:rFonts w:ascii="Times New Roman" w:hAnsi="Times New Roman" w:cs="Times New Roman"/>
          <w:noProof/>
          <w:sz w:val="24"/>
          <w:szCs w:val="24"/>
        </w:rPr>
        <w:t>[23]</w:t>
      </w:r>
      <w:r w:rsidRPr="00C5503B">
        <w:rPr>
          <w:rFonts w:ascii="Times New Roman" w:hAnsi="Times New Roman" w:cs="Times New Roman"/>
          <w:noProof/>
          <w:sz w:val="24"/>
          <w:szCs w:val="24"/>
        </w:rPr>
        <w:tab/>
        <w:t xml:space="preserve">Z. Kojs, M. Jankiewicz, E. Kojs-Pasińska, and J. Jaszczyński, “Miȩśniakomiȩsak prążkowanokomórkowy o typie pȩcherzykowym okolicy okołocewkowej - Opis przypadku i przegląd literatury,” </w:t>
      </w:r>
      <w:r w:rsidRPr="00C5503B">
        <w:rPr>
          <w:rFonts w:ascii="Times New Roman" w:hAnsi="Times New Roman" w:cs="Times New Roman"/>
          <w:i/>
          <w:iCs/>
          <w:noProof/>
          <w:sz w:val="24"/>
          <w:szCs w:val="24"/>
        </w:rPr>
        <w:t xml:space="preserve">Curr. </w:t>
      </w:r>
      <w:r w:rsidRPr="00C32263">
        <w:rPr>
          <w:rFonts w:ascii="Times New Roman" w:hAnsi="Times New Roman" w:cs="Times New Roman"/>
          <w:i/>
          <w:iCs/>
          <w:noProof/>
          <w:sz w:val="24"/>
          <w:szCs w:val="24"/>
          <w:lang w:val="en-GB"/>
        </w:rPr>
        <w:t>Gynecol. Oncol.</w:t>
      </w:r>
      <w:r w:rsidRPr="00C32263">
        <w:rPr>
          <w:rFonts w:ascii="Times New Roman" w:hAnsi="Times New Roman" w:cs="Times New Roman"/>
          <w:noProof/>
          <w:sz w:val="24"/>
          <w:szCs w:val="24"/>
          <w:lang w:val="en-GB"/>
        </w:rPr>
        <w:t>, vol. 13, no. 1, pp. 51–58, 2015, doi: 10.15557/CGO.2015.0006.</w:t>
      </w:r>
    </w:p>
    <w:p w14:paraId="601B2AD4"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lastRenderedPageBreak/>
        <w:t>[24]</w:t>
      </w:r>
      <w:r w:rsidRPr="00C32263">
        <w:rPr>
          <w:rFonts w:ascii="Times New Roman" w:hAnsi="Times New Roman" w:cs="Times New Roman"/>
          <w:noProof/>
          <w:sz w:val="24"/>
          <w:szCs w:val="24"/>
          <w:lang w:val="en-GB"/>
        </w:rPr>
        <w:tab/>
        <w:t xml:space="preserve">S. Miwa, N. Yamamoto, K. Hayashi, A. Takeuchi, K. Igarashi, and H. Tsuchiya, “Recent advances and challenges in the treatment of rhabdomyosarcoma,” </w:t>
      </w:r>
      <w:r w:rsidRPr="00C32263">
        <w:rPr>
          <w:rFonts w:ascii="Times New Roman" w:hAnsi="Times New Roman" w:cs="Times New Roman"/>
          <w:i/>
          <w:iCs/>
          <w:noProof/>
          <w:sz w:val="24"/>
          <w:szCs w:val="24"/>
          <w:lang w:val="en-GB"/>
        </w:rPr>
        <w:t>Cancers (Basel).</w:t>
      </w:r>
      <w:r w:rsidRPr="00C32263">
        <w:rPr>
          <w:rFonts w:ascii="Times New Roman" w:hAnsi="Times New Roman" w:cs="Times New Roman"/>
          <w:noProof/>
          <w:sz w:val="24"/>
          <w:szCs w:val="24"/>
          <w:lang w:val="en-GB"/>
        </w:rPr>
        <w:t>, vol. 12, no. 7, pp. 1–18, 2020, doi: 10.3390/cancers12071758.</w:t>
      </w:r>
    </w:p>
    <w:p w14:paraId="0D46F1F1" w14:textId="5ED8B99E"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[25]</w:t>
      </w:r>
      <w:r w:rsidRPr="00C32263">
        <w:rPr>
          <w:rFonts w:ascii="Times New Roman" w:hAnsi="Times New Roman" w:cs="Times New Roman"/>
          <w:noProof/>
          <w:sz w:val="24"/>
          <w:szCs w:val="24"/>
          <w:lang w:val="en-GB"/>
        </w:rPr>
        <w:tab/>
        <w:t>E. Bien</w:t>
      </w:r>
      <w:r w:rsidR="00CD3759" w:rsidRPr="00C32263">
        <w:rPr>
          <w:rFonts w:ascii="Times New Roman" w:hAnsi="Times New Roman" w:cs="Times New Roman"/>
          <w:noProof/>
          <w:sz w:val="24"/>
          <w:szCs w:val="24"/>
          <w:lang w:val="en-GB"/>
        </w:rPr>
        <w:t xml:space="preserve">, </w:t>
      </w:r>
      <w:r w:rsidR="00083685" w:rsidRPr="00C32263">
        <w:rPr>
          <w:rFonts w:ascii="Times New Roman" w:hAnsi="Times New Roman" w:cs="Times New Roman"/>
          <w:noProof/>
          <w:sz w:val="24"/>
          <w:szCs w:val="24"/>
          <w:lang w:val="en-GB"/>
        </w:rPr>
        <w:t>T</w:t>
      </w:r>
      <w:r w:rsidR="00CD3759" w:rsidRPr="00C32263">
        <w:rPr>
          <w:rFonts w:ascii="Times New Roman" w:hAnsi="Times New Roman" w:cs="Times New Roman"/>
          <w:noProof/>
          <w:sz w:val="24"/>
          <w:szCs w:val="24"/>
          <w:lang w:val="en-GB"/>
        </w:rPr>
        <w:t xml:space="preserve">. Stachowicz -Stencel, </w:t>
      </w:r>
      <w:r w:rsidR="00083685" w:rsidRPr="00C32263">
        <w:rPr>
          <w:rFonts w:ascii="Times New Roman" w:hAnsi="Times New Roman" w:cs="Times New Roman"/>
          <w:noProof/>
          <w:sz w:val="24"/>
          <w:szCs w:val="24"/>
          <w:lang w:val="en-GB"/>
        </w:rPr>
        <w:t>A. Balcerska, J. Godzinski</w:t>
      </w:r>
      <w:r w:rsidR="001D1C6A" w:rsidRPr="00C32263">
        <w:rPr>
          <w:rFonts w:ascii="Times New Roman" w:hAnsi="Times New Roman" w:cs="Times New Roman"/>
          <w:noProof/>
          <w:sz w:val="24"/>
          <w:szCs w:val="24"/>
          <w:lang w:val="en-GB"/>
        </w:rPr>
        <w:t xml:space="preserve">, B. Kazanowska, M. Perek-Polnik, W. Madziara, A. Rybczyńska, </w:t>
      </w:r>
      <w:r w:rsidR="009055FB" w:rsidRPr="00C32263">
        <w:rPr>
          <w:rFonts w:ascii="Times New Roman" w:hAnsi="Times New Roman" w:cs="Times New Roman"/>
          <w:noProof/>
          <w:sz w:val="24"/>
          <w:szCs w:val="24"/>
          <w:lang w:val="en-GB"/>
        </w:rPr>
        <w:t xml:space="preserve">A. Kurylak, B. Zalewska-Szewczyk, </w:t>
      </w:r>
      <w:r w:rsidR="00F56206" w:rsidRPr="00C32263">
        <w:rPr>
          <w:rFonts w:ascii="Times New Roman" w:hAnsi="Times New Roman" w:cs="Times New Roman"/>
          <w:noProof/>
          <w:sz w:val="24"/>
          <w:szCs w:val="24"/>
          <w:lang w:val="en-GB"/>
        </w:rPr>
        <w:t>J. Peregud- Pogorzelski</w:t>
      </w:r>
      <w:r w:rsidRPr="00C32263">
        <w:rPr>
          <w:rFonts w:ascii="Times New Roman" w:hAnsi="Times New Roman" w:cs="Times New Roman"/>
          <w:noProof/>
          <w:sz w:val="24"/>
          <w:szCs w:val="24"/>
          <w:lang w:val="en-GB"/>
        </w:rPr>
        <w:t xml:space="preserve"> “Angiosarcoma in children still uncontrollable oncological problem. the report of the Polish Paediatric Rare Tumours Study,” </w:t>
      </w:r>
      <w:r w:rsidRPr="00C32263">
        <w:rPr>
          <w:rFonts w:ascii="Times New Roman" w:hAnsi="Times New Roman" w:cs="Times New Roman"/>
          <w:i/>
          <w:iCs/>
          <w:noProof/>
          <w:sz w:val="24"/>
          <w:szCs w:val="24"/>
          <w:lang w:val="en-GB"/>
        </w:rPr>
        <w:t>Eur. J. Cancer Care (Engl).</w:t>
      </w:r>
      <w:r w:rsidRPr="00C32263">
        <w:rPr>
          <w:rFonts w:ascii="Times New Roman" w:hAnsi="Times New Roman" w:cs="Times New Roman"/>
          <w:noProof/>
          <w:sz w:val="24"/>
          <w:szCs w:val="24"/>
          <w:lang w:val="en-GB"/>
        </w:rPr>
        <w:t>, vol. 18, no. 4, pp. 411–420, 2009, doi: 10.1111/j.1365-2354.2008.01063.x.</w:t>
      </w:r>
    </w:p>
    <w:p w14:paraId="75BC65BE"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[26]</w:t>
      </w:r>
      <w:r w:rsidRPr="00C32263">
        <w:rPr>
          <w:rFonts w:ascii="Times New Roman" w:hAnsi="Times New Roman" w:cs="Times New Roman"/>
          <w:noProof/>
          <w:sz w:val="24"/>
          <w:szCs w:val="24"/>
          <w:lang w:val="en-GB"/>
        </w:rPr>
        <w:tab/>
        <w:t xml:space="preserve">S. Ostrowski, A. Marcinkiewicz, A. Kośmider, and R. Jaszewski, “Sarcomas of the heart as a difficult interdisciplinary problem,” </w:t>
      </w:r>
      <w:r w:rsidRPr="00C32263">
        <w:rPr>
          <w:rFonts w:ascii="Times New Roman" w:hAnsi="Times New Roman" w:cs="Times New Roman"/>
          <w:i/>
          <w:iCs/>
          <w:noProof/>
          <w:sz w:val="24"/>
          <w:szCs w:val="24"/>
          <w:lang w:val="en-GB"/>
        </w:rPr>
        <w:t>Arch. Med. Sci.</w:t>
      </w:r>
      <w:r w:rsidRPr="00C32263">
        <w:rPr>
          <w:rFonts w:ascii="Times New Roman" w:hAnsi="Times New Roman" w:cs="Times New Roman"/>
          <w:noProof/>
          <w:sz w:val="24"/>
          <w:szCs w:val="24"/>
          <w:lang w:val="en-GB"/>
        </w:rPr>
        <w:t>, vol. 10, no. 1, pp. 135–148, 2014, doi: 10.5114/aoms.2014.40741.</w:t>
      </w:r>
    </w:p>
    <w:p w14:paraId="579816E5"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[27]</w:t>
      </w:r>
      <w:r w:rsidRPr="00C32263">
        <w:rPr>
          <w:rFonts w:ascii="Times New Roman" w:hAnsi="Times New Roman" w:cs="Times New Roman"/>
          <w:noProof/>
          <w:sz w:val="24"/>
          <w:szCs w:val="24"/>
          <w:lang w:val="en-GB"/>
        </w:rPr>
        <w:tab/>
        <w:t xml:space="preserve">H. H. W. Chen and M. T. Kuo, “Improving radiotherapy in cancer treatment: Promises and challenges,” </w:t>
      </w:r>
      <w:r w:rsidRPr="00C32263">
        <w:rPr>
          <w:rFonts w:ascii="Times New Roman" w:hAnsi="Times New Roman" w:cs="Times New Roman"/>
          <w:i/>
          <w:iCs/>
          <w:noProof/>
          <w:sz w:val="24"/>
          <w:szCs w:val="24"/>
          <w:lang w:val="en-GB"/>
        </w:rPr>
        <w:t>Oncotarget</w:t>
      </w:r>
      <w:r w:rsidRPr="00C32263">
        <w:rPr>
          <w:rFonts w:ascii="Times New Roman" w:hAnsi="Times New Roman" w:cs="Times New Roman"/>
          <w:noProof/>
          <w:sz w:val="24"/>
          <w:szCs w:val="24"/>
          <w:lang w:val="en-GB"/>
        </w:rPr>
        <w:t>, vol. 8, no. 37, pp. 62742–62758, 2017, doi: 10.18632/oncotarget.18409.</w:t>
      </w:r>
    </w:p>
    <w:p w14:paraId="00B32630"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[28]</w:t>
      </w:r>
      <w:r w:rsidRPr="00C32263">
        <w:rPr>
          <w:rFonts w:ascii="Times New Roman" w:hAnsi="Times New Roman" w:cs="Times New Roman"/>
          <w:noProof/>
          <w:sz w:val="24"/>
          <w:szCs w:val="24"/>
          <w:lang w:val="en-GB"/>
        </w:rPr>
        <w:tab/>
        <w:t xml:space="preserve">J. Warguła, “Outline of the history of drug synthesis with particular emphasis on anticancer and antibacterial drugs,” </w:t>
      </w:r>
      <w:r w:rsidRPr="00C32263">
        <w:rPr>
          <w:rFonts w:ascii="Times New Roman" w:hAnsi="Times New Roman" w:cs="Times New Roman"/>
          <w:i/>
          <w:iCs/>
          <w:noProof/>
          <w:sz w:val="24"/>
          <w:szCs w:val="24"/>
          <w:lang w:val="en-GB"/>
        </w:rPr>
        <w:t>Prospect. Pharm. Sci.</w:t>
      </w:r>
      <w:r w:rsidRPr="00C32263">
        <w:rPr>
          <w:rFonts w:ascii="Times New Roman" w:hAnsi="Times New Roman" w:cs="Times New Roman"/>
          <w:noProof/>
          <w:sz w:val="24"/>
          <w:szCs w:val="24"/>
          <w:lang w:val="en-GB"/>
        </w:rPr>
        <w:t>, vol. 20, no. 3, pp. 1–10, 2022.</w:t>
      </w:r>
    </w:p>
    <w:p w14:paraId="73CCAE7D"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[29]</w:t>
      </w:r>
      <w:r w:rsidRPr="00C32263">
        <w:rPr>
          <w:rFonts w:ascii="Times New Roman" w:hAnsi="Times New Roman" w:cs="Times New Roman"/>
          <w:noProof/>
          <w:sz w:val="24"/>
          <w:szCs w:val="24"/>
          <w:lang w:val="en-GB"/>
        </w:rPr>
        <w:tab/>
        <w:t xml:space="preserve">G. Minotti, P. Menna, E. Salvatorelli, G. Cairo, and L. Gianni, “Anthracyclines: Molecular advances and pharmacologie developments in antitumor activity and cardiotoxicity,” </w:t>
      </w:r>
      <w:r w:rsidRPr="00C32263">
        <w:rPr>
          <w:rFonts w:ascii="Times New Roman" w:hAnsi="Times New Roman" w:cs="Times New Roman"/>
          <w:i/>
          <w:iCs/>
          <w:noProof/>
          <w:sz w:val="24"/>
          <w:szCs w:val="24"/>
          <w:lang w:val="en-GB"/>
        </w:rPr>
        <w:t>Pharmacol. Rev.</w:t>
      </w:r>
      <w:r w:rsidRPr="00C32263">
        <w:rPr>
          <w:rFonts w:ascii="Times New Roman" w:hAnsi="Times New Roman" w:cs="Times New Roman"/>
          <w:noProof/>
          <w:sz w:val="24"/>
          <w:szCs w:val="24"/>
          <w:lang w:val="en-GB"/>
        </w:rPr>
        <w:t>, vol. 56, no. 2, pp. 185–229, 2004, doi: 10.1124/pr.56.2.6.</w:t>
      </w:r>
    </w:p>
    <w:p w14:paraId="0E4EF450"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[30]</w:t>
      </w:r>
      <w:r w:rsidRPr="00C32263">
        <w:rPr>
          <w:rFonts w:ascii="Times New Roman" w:hAnsi="Times New Roman" w:cs="Times New Roman"/>
          <w:noProof/>
          <w:sz w:val="24"/>
          <w:szCs w:val="24"/>
          <w:lang w:val="en-GB"/>
        </w:rPr>
        <w:tab/>
        <w:t xml:space="preserve">M. Gramatyka, “Kardiotoksyczność jako niepożądane działanie w terapii raka piersi * Cardiotoxicity as undesired side effect in the treatment of breast cancer,” </w:t>
      </w:r>
      <w:r w:rsidRPr="00C32263">
        <w:rPr>
          <w:rFonts w:ascii="Times New Roman" w:hAnsi="Times New Roman" w:cs="Times New Roman"/>
          <w:i/>
          <w:iCs/>
          <w:noProof/>
          <w:sz w:val="24"/>
          <w:szCs w:val="24"/>
          <w:lang w:val="en-GB"/>
        </w:rPr>
        <w:t>Postep. hig med dosw</w:t>
      </w:r>
      <w:r w:rsidRPr="00C32263">
        <w:rPr>
          <w:rFonts w:ascii="Times New Roman" w:hAnsi="Times New Roman" w:cs="Times New Roman"/>
          <w:noProof/>
          <w:sz w:val="24"/>
          <w:szCs w:val="24"/>
          <w:lang w:val="en-GB"/>
        </w:rPr>
        <w:t>, pp. 483–497, 2014.</w:t>
      </w:r>
    </w:p>
    <w:p w14:paraId="05FF6CAB"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[31]</w:t>
      </w:r>
      <w:r w:rsidRPr="00C32263">
        <w:rPr>
          <w:rFonts w:ascii="Times New Roman" w:hAnsi="Times New Roman" w:cs="Times New Roman"/>
          <w:noProof/>
          <w:sz w:val="24"/>
          <w:szCs w:val="24"/>
          <w:lang w:val="en-GB"/>
        </w:rPr>
        <w:tab/>
        <w:t xml:space="preserve">A. Pedrycz and A. Kramkowska, “Adriamycin - efficacy and possible adverse effects,” </w:t>
      </w:r>
      <w:r w:rsidRPr="00C32263">
        <w:rPr>
          <w:rFonts w:ascii="Times New Roman" w:hAnsi="Times New Roman" w:cs="Times New Roman"/>
          <w:i/>
          <w:iCs/>
          <w:noProof/>
          <w:sz w:val="24"/>
          <w:szCs w:val="24"/>
          <w:lang w:val="en-GB"/>
        </w:rPr>
        <w:t>Curr. Probl. Psychiatry</w:t>
      </w:r>
      <w:r w:rsidRPr="00C32263">
        <w:rPr>
          <w:rFonts w:ascii="Times New Roman" w:hAnsi="Times New Roman" w:cs="Times New Roman"/>
          <w:noProof/>
          <w:sz w:val="24"/>
          <w:szCs w:val="24"/>
          <w:lang w:val="en-GB"/>
        </w:rPr>
        <w:t>, vol. 17, no. 1, pp. 38–46, 2016, doi: 10.1515/cpp-2016-0006.</w:t>
      </w:r>
    </w:p>
    <w:p w14:paraId="32F89A2A" w14:textId="7E1315AC"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[32]</w:t>
      </w:r>
      <w:r w:rsidRPr="00C32263">
        <w:rPr>
          <w:rFonts w:ascii="Times New Roman" w:hAnsi="Times New Roman" w:cs="Times New Roman"/>
          <w:noProof/>
          <w:sz w:val="24"/>
          <w:szCs w:val="24"/>
          <w:lang w:val="en-GB"/>
        </w:rPr>
        <w:tab/>
        <w:t xml:space="preserve">C. Urla </w:t>
      </w:r>
      <w:r w:rsidR="000A18EA" w:rsidRPr="00C32263">
        <w:rPr>
          <w:rFonts w:ascii="Times New Roman" w:hAnsi="Times New Roman" w:cs="Times New Roman"/>
          <w:i/>
          <w:iCs/>
          <w:noProof/>
          <w:sz w:val="24"/>
          <w:szCs w:val="24"/>
          <w:lang w:val="en-GB"/>
        </w:rPr>
        <w:t>S</w:t>
      </w:r>
      <w:r w:rsidR="00CD3326" w:rsidRPr="00C32263">
        <w:rPr>
          <w:rFonts w:ascii="Times New Roman" w:hAnsi="Times New Roman" w:cs="Times New Roman"/>
          <w:i/>
          <w:iCs/>
          <w:noProof/>
          <w:sz w:val="24"/>
          <w:szCs w:val="24"/>
          <w:lang w:val="en-GB"/>
        </w:rPr>
        <w:t>.</w:t>
      </w:r>
      <w:r w:rsidR="000A18EA" w:rsidRPr="00C32263">
        <w:rPr>
          <w:rFonts w:ascii="Times New Roman" w:hAnsi="Times New Roman" w:cs="Times New Roman"/>
          <w:i/>
          <w:iCs/>
          <w:noProof/>
          <w:sz w:val="24"/>
          <w:szCs w:val="24"/>
          <w:lang w:val="en-GB"/>
        </w:rPr>
        <w:t xml:space="preserve"> </w:t>
      </w:r>
      <w:r w:rsidR="000A18EA" w:rsidRPr="00C32263">
        <w:rPr>
          <w:rFonts w:ascii="Times New Roman" w:hAnsi="Times New Roman" w:cs="Times New Roman"/>
          <w:noProof/>
          <w:sz w:val="24"/>
          <w:szCs w:val="24"/>
          <w:lang w:val="en-GB"/>
        </w:rPr>
        <w:t>W. Warmann, M</w:t>
      </w:r>
      <w:r w:rsidR="00CD3326" w:rsidRPr="00C32263">
        <w:rPr>
          <w:rFonts w:ascii="Times New Roman" w:hAnsi="Times New Roman" w:cs="Times New Roman"/>
          <w:noProof/>
          <w:sz w:val="24"/>
          <w:szCs w:val="24"/>
          <w:lang w:val="en-GB"/>
        </w:rPr>
        <w:t>.</w:t>
      </w:r>
      <w:r w:rsidR="000A18EA" w:rsidRPr="00C32263">
        <w:rPr>
          <w:rFonts w:ascii="Times New Roman" w:hAnsi="Times New Roman" w:cs="Times New Roman"/>
          <w:noProof/>
          <w:sz w:val="24"/>
          <w:szCs w:val="24"/>
          <w:lang w:val="en-GB"/>
        </w:rPr>
        <w:t xml:space="preserve"> Sparber-Sauer, A</w:t>
      </w:r>
      <w:r w:rsidR="00CD3326" w:rsidRPr="00C32263">
        <w:rPr>
          <w:rFonts w:ascii="Times New Roman" w:hAnsi="Times New Roman" w:cs="Times New Roman"/>
          <w:noProof/>
          <w:sz w:val="24"/>
          <w:szCs w:val="24"/>
          <w:lang w:val="en-GB"/>
        </w:rPr>
        <w:t>.</w:t>
      </w:r>
      <w:r w:rsidR="000A18EA" w:rsidRPr="00C32263">
        <w:rPr>
          <w:rFonts w:ascii="Times New Roman" w:hAnsi="Times New Roman" w:cs="Times New Roman"/>
          <w:noProof/>
          <w:sz w:val="24"/>
          <w:szCs w:val="24"/>
          <w:lang w:val="en-GB"/>
        </w:rPr>
        <w:t xml:space="preserve"> Schuck, I</w:t>
      </w:r>
      <w:r w:rsidR="00CD3326" w:rsidRPr="00C32263">
        <w:rPr>
          <w:rFonts w:ascii="Times New Roman" w:hAnsi="Times New Roman" w:cs="Times New Roman"/>
          <w:noProof/>
          <w:sz w:val="24"/>
          <w:szCs w:val="24"/>
          <w:lang w:val="en-GB"/>
        </w:rPr>
        <w:t>.</w:t>
      </w:r>
      <w:r w:rsidR="000A18EA" w:rsidRPr="00C32263">
        <w:rPr>
          <w:rFonts w:ascii="Times New Roman" w:hAnsi="Times New Roman" w:cs="Times New Roman"/>
          <w:noProof/>
          <w:sz w:val="24"/>
          <w:szCs w:val="24"/>
          <w:lang w:val="en-GB"/>
        </w:rPr>
        <w:t xml:space="preserve"> Leuschner, T</w:t>
      </w:r>
      <w:r w:rsidR="00CD3326" w:rsidRPr="00C32263">
        <w:rPr>
          <w:rFonts w:ascii="Times New Roman" w:hAnsi="Times New Roman" w:cs="Times New Roman"/>
          <w:noProof/>
          <w:sz w:val="24"/>
          <w:szCs w:val="24"/>
          <w:lang w:val="en-GB"/>
        </w:rPr>
        <w:t>.</w:t>
      </w:r>
      <w:r w:rsidR="000A18EA" w:rsidRPr="00C32263">
        <w:rPr>
          <w:rFonts w:ascii="Times New Roman" w:hAnsi="Times New Roman" w:cs="Times New Roman"/>
          <w:noProof/>
          <w:sz w:val="24"/>
          <w:szCs w:val="24"/>
          <w:lang w:val="en-GB"/>
        </w:rPr>
        <w:t xml:space="preserve"> Klingebiel, G</w:t>
      </w:r>
      <w:r w:rsidR="00CD3326" w:rsidRPr="00C32263">
        <w:rPr>
          <w:rFonts w:ascii="Times New Roman" w:hAnsi="Times New Roman" w:cs="Times New Roman"/>
          <w:noProof/>
          <w:sz w:val="24"/>
          <w:szCs w:val="24"/>
          <w:lang w:val="en-GB"/>
        </w:rPr>
        <w:t>.</w:t>
      </w:r>
      <w:r w:rsidR="000A18EA" w:rsidRPr="00C32263">
        <w:rPr>
          <w:rFonts w:ascii="Times New Roman" w:hAnsi="Times New Roman" w:cs="Times New Roman"/>
          <w:noProof/>
          <w:sz w:val="24"/>
          <w:szCs w:val="24"/>
          <w:lang w:val="en-GB"/>
        </w:rPr>
        <w:t xml:space="preserve"> Blumenstock, G</w:t>
      </w:r>
      <w:r w:rsidR="00CD3326" w:rsidRPr="00C32263">
        <w:rPr>
          <w:rFonts w:ascii="Times New Roman" w:hAnsi="Times New Roman" w:cs="Times New Roman"/>
          <w:noProof/>
          <w:sz w:val="24"/>
          <w:szCs w:val="24"/>
          <w:lang w:val="en-GB"/>
        </w:rPr>
        <w:t>.</w:t>
      </w:r>
      <w:r w:rsidR="000A18EA" w:rsidRPr="00C32263">
        <w:rPr>
          <w:rFonts w:ascii="Times New Roman" w:hAnsi="Times New Roman" w:cs="Times New Roman"/>
          <w:noProof/>
          <w:sz w:val="24"/>
          <w:szCs w:val="24"/>
          <w:lang w:val="en-GB"/>
        </w:rPr>
        <w:t xml:space="preserve"> Seitz, E</w:t>
      </w:r>
      <w:r w:rsidR="00CD3326" w:rsidRPr="00C32263">
        <w:rPr>
          <w:rFonts w:ascii="Times New Roman" w:hAnsi="Times New Roman" w:cs="Times New Roman"/>
          <w:noProof/>
          <w:sz w:val="24"/>
          <w:szCs w:val="24"/>
          <w:lang w:val="en-GB"/>
        </w:rPr>
        <w:t>.</w:t>
      </w:r>
      <w:r w:rsidR="000A18EA" w:rsidRPr="00C32263">
        <w:rPr>
          <w:rFonts w:ascii="Times New Roman" w:hAnsi="Times New Roman" w:cs="Times New Roman"/>
          <w:noProof/>
          <w:sz w:val="24"/>
          <w:szCs w:val="24"/>
          <w:lang w:val="en-GB"/>
        </w:rPr>
        <w:t xml:space="preserve"> Koscielniak</w:t>
      </w:r>
      <w:r w:rsidR="00CD3326" w:rsidRPr="00C32263">
        <w:rPr>
          <w:rFonts w:ascii="Times New Roman" w:hAnsi="Times New Roman" w:cs="Times New Roman"/>
          <w:noProof/>
          <w:sz w:val="24"/>
          <w:szCs w:val="24"/>
          <w:lang w:val="en-GB"/>
        </w:rPr>
        <w:t>,</w:t>
      </w:r>
      <w:r w:rsidR="000A18EA" w:rsidRPr="00C32263">
        <w:rPr>
          <w:rFonts w:ascii="Times New Roman" w:hAnsi="Times New Roman" w:cs="Times New Roman"/>
          <w:noProof/>
          <w:sz w:val="24"/>
          <w:szCs w:val="24"/>
          <w:lang w:val="en-GB"/>
        </w:rPr>
        <w:t xml:space="preserve"> J</w:t>
      </w:r>
      <w:r w:rsidR="00CD3326" w:rsidRPr="00C32263">
        <w:rPr>
          <w:rFonts w:ascii="Times New Roman" w:hAnsi="Times New Roman" w:cs="Times New Roman"/>
          <w:noProof/>
          <w:sz w:val="24"/>
          <w:szCs w:val="24"/>
          <w:lang w:val="en-GB"/>
        </w:rPr>
        <w:t>.</w:t>
      </w:r>
      <w:r w:rsidR="000A18EA" w:rsidRPr="00C32263">
        <w:rPr>
          <w:rFonts w:ascii="Times New Roman" w:hAnsi="Times New Roman" w:cs="Times New Roman"/>
          <w:noProof/>
          <w:sz w:val="24"/>
          <w:szCs w:val="24"/>
          <w:lang w:val="en-GB"/>
        </w:rPr>
        <w:t xml:space="preserve"> Fuchs</w:t>
      </w:r>
      <w:r w:rsidRPr="00C32263">
        <w:rPr>
          <w:rFonts w:ascii="Times New Roman" w:hAnsi="Times New Roman" w:cs="Times New Roman"/>
          <w:noProof/>
          <w:sz w:val="24"/>
          <w:szCs w:val="24"/>
          <w:lang w:val="en-GB"/>
        </w:rPr>
        <w:t xml:space="preserve">, “Treatment and outcome of the patients with rhabdomyosarcoma of the biliary tree: Experience of </w:t>
      </w:r>
      <w:r w:rsidRPr="00C32263">
        <w:rPr>
          <w:rFonts w:ascii="Times New Roman" w:hAnsi="Times New Roman" w:cs="Times New Roman"/>
          <w:noProof/>
          <w:sz w:val="24"/>
          <w:szCs w:val="24"/>
          <w:lang w:val="en-GB"/>
        </w:rPr>
        <w:lastRenderedPageBreak/>
        <w:t xml:space="preserve">the Cooperative Weichteilsarkom Studiengruppe (CWS),” </w:t>
      </w:r>
      <w:r w:rsidRPr="00C32263">
        <w:rPr>
          <w:rFonts w:ascii="Times New Roman" w:hAnsi="Times New Roman" w:cs="Times New Roman"/>
          <w:i/>
          <w:iCs/>
          <w:noProof/>
          <w:sz w:val="24"/>
          <w:szCs w:val="24"/>
          <w:lang w:val="en-GB"/>
        </w:rPr>
        <w:t>BMC Cancer</w:t>
      </w:r>
      <w:r w:rsidRPr="00C32263">
        <w:rPr>
          <w:rFonts w:ascii="Times New Roman" w:hAnsi="Times New Roman" w:cs="Times New Roman"/>
          <w:noProof/>
          <w:sz w:val="24"/>
          <w:szCs w:val="24"/>
          <w:lang w:val="en-GB"/>
        </w:rPr>
        <w:t>, vol. 19, no. 1, pp. 1–8, 2019, doi: 10.1186/s12885-019-6172-5.</w:t>
      </w:r>
    </w:p>
    <w:p w14:paraId="063F0006" w14:textId="03CEF293"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[33]</w:t>
      </w:r>
      <w:r w:rsidRPr="00C32263">
        <w:rPr>
          <w:rFonts w:ascii="Times New Roman" w:hAnsi="Times New Roman" w:cs="Times New Roman"/>
          <w:noProof/>
          <w:sz w:val="24"/>
          <w:szCs w:val="24"/>
          <w:lang w:val="en-GB"/>
        </w:rPr>
        <w:tab/>
        <w:t>O. Maliszewska</w:t>
      </w:r>
      <w:r w:rsidR="00597888"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597888" w:rsidRPr="00C32263">
        <w:rPr>
          <w:rFonts w:ascii="Times New Roman" w:hAnsi="Times New Roman" w:cs="Times New Roman"/>
          <w:noProof/>
          <w:sz w:val="24"/>
          <w:szCs w:val="24"/>
          <w:lang w:val="en-GB"/>
        </w:rPr>
        <w:t>A. Plenis, I. Olędzka, P. Kowalski, N. Miekus, E. Bień, M. A. Krawczyk, E</w:t>
      </w:r>
      <w:r w:rsidR="00501AEF" w:rsidRPr="00C32263">
        <w:rPr>
          <w:rFonts w:ascii="Times New Roman" w:hAnsi="Times New Roman" w:cs="Times New Roman"/>
          <w:noProof/>
          <w:sz w:val="24"/>
          <w:szCs w:val="24"/>
          <w:lang w:val="en-GB"/>
        </w:rPr>
        <w:t>.</w:t>
      </w:r>
      <w:r w:rsidR="00597888" w:rsidRPr="00C32263">
        <w:rPr>
          <w:rFonts w:ascii="Times New Roman" w:hAnsi="Times New Roman" w:cs="Times New Roman"/>
          <w:noProof/>
          <w:sz w:val="24"/>
          <w:szCs w:val="24"/>
          <w:lang w:val="en-GB"/>
        </w:rPr>
        <w:t xml:space="preserve"> Adamkiewicz-Drożynska, Tomasz Bączek</w:t>
      </w:r>
      <w:r w:rsidRPr="00C32263">
        <w:rPr>
          <w:rFonts w:ascii="Times New Roman" w:hAnsi="Times New Roman" w:cs="Times New Roman"/>
          <w:noProof/>
          <w:sz w:val="24"/>
          <w:szCs w:val="24"/>
          <w:lang w:val="en-GB"/>
        </w:rPr>
        <w:t xml:space="preserve">, “Optimization of LC method for the quantification of doxorubicin in plasma and urine samples in view of pharmacokinetic, biomedical and drug monitoring therapy studies,” </w:t>
      </w:r>
      <w:r w:rsidRPr="00C32263">
        <w:rPr>
          <w:rFonts w:ascii="Times New Roman" w:hAnsi="Times New Roman" w:cs="Times New Roman"/>
          <w:i/>
          <w:iCs/>
          <w:noProof/>
          <w:sz w:val="24"/>
          <w:szCs w:val="24"/>
          <w:lang w:val="en-GB"/>
        </w:rPr>
        <w:t>J. Pharm. Biomed. Anal.</w:t>
      </w:r>
      <w:r w:rsidRPr="00C32263">
        <w:rPr>
          <w:rFonts w:ascii="Times New Roman" w:hAnsi="Times New Roman" w:cs="Times New Roman"/>
          <w:noProof/>
          <w:sz w:val="24"/>
          <w:szCs w:val="24"/>
          <w:lang w:val="en-GB"/>
        </w:rPr>
        <w:t>, vol. 158, pp. 376–385, 2018, doi: 10.1016/j.jpba.2018.06.031.</w:t>
      </w:r>
    </w:p>
    <w:p w14:paraId="39F09396" w14:textId="369A299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[34]</w:t>
      </w:r>
      <w:r w:rsidRPr="00C32263">
        <w:rPr>
          <w:rFonts w:ascii="Times New Roman" w:hAnsi="Times New Roman" w:cs="Times New Roman"/>
          <w:noProof/>
          <w:sz w:val="24"/>
          <w:szCs w:val="24"/>
          <w:lang w:val="en-GB"/>
        </w:rPr>
        <w:tab/>
        <w:t>N. Treder</w:t>
      </w:r>
      <w:r w:rsidR="00501AEF"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501AEF" w:rsidRPr="00C32263">
        <w:rPr>
          <w:rFonts w:ascii="Times New Roman" w:hAnsi="Times New Roman" w:cs="Times New Roman"/>
          <w:noProof/>
          <w:sz w:val="24"/>
          <w:szCs w:val="24"/>
          <w:lang w:val="en-GB"/>
        </w:rPr>
        <w:t>O. Maliszewska, I. Olędzka, P Kowalski, Natalia Miękus, Tomasz Bączek, Ewa Bień, M.A. Krawczyk, E. Adamkiewicz-Drożynska, A. Plenis</w:t>
      </w:r>
      <w:r w:rsidRPr="00C32263">
        <w:rPr>
          <w:rFonts w:ascii="Times New Roman" w:hAnsi="Times New Roman" w:cs="Times New Roman"/>
          <w:noProof/>
          <w:sz w:val="24"/>
          <w:szCs w:val="24"/>
          <w:lang w:val="en-GB"/>
        </w:rPr>
        <w:t xml:space="preserve">, “Development and validation of a high-performance liquid chromatographic method with a fluorescence detector for the analysis of epirubicin in human urine and plasma, and its application in drug monitoring,”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1136, no. November 2019, p. 121910, 2020, doi: 10.1016/j.jchromb.2019.121910.</w:t>
      </w:r>
    </w:p>
    <w:p w14:paraId="5D5ABE2D" w14:textId="3237A6EA"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[35]</w:t>
      </w:r>
      <w:r w:rsidRPr="00C32263">
        <w:rPr>
          <w:rFonts w:ascii="Times New Roman" w:hAnsi="Times New Roman" w:cs="Times New Roman"/>
          <w:noProof/>
          <w:sz w:val="24"/>
          <w:szCs w:val="24"/>
          <w:lang w:val="en-GB"/>
        </w:rPr>
        <w:tab/>
        <w:t>O. Maliszewska</w:t>
      </w:r>
      <w:r w:rsidR="005C3A16" w:rsidRPr="00C32263">
        <w:rPr>
          <w:rFonts w:ascii="Times New Roman" w:hAnsi="Times New Roman" w:cs="Times New Roman"/>
          <w:noProof/>
          <w:sz w:val="24"/>
          <w:szCs w:val="24"/>
          <w:lang w:val="en-GB"/>
        </w:rPr>
        <w:t>, N. Treder, I. Olędzka, P. Kowalski, N. Miękus, Tomasz Bączek, W. Rodzaj, E. Bień, M. A. Krawczyk, A. Plenis</w:t>
      </w:r>
      <w:r w:rsidRPr="00C32263">
        <w:rPr>
          <w:rFonts w:ascii="Times New Roman" w:hAnsi="Times New Roman" w:cs="Times New Roman"/>
          <w:noProof/>
          <w:sz w:val="24"/>
          <w:szCs w:val="24"/>
          <w:lang w:val="en-GB"/>
        </w:rPr>
        <w:t xml:space="preserve">, “Sensitive Analysis of Idarubicin in Human Urine and Plasma by Liquid Chromatography with Fluorescence Detection: An Application in Drug Monitoring,” </w:t>
      </w:r>
      <w:r w:rsidRPr="00C32263">
        <w:rPr>
          <w:rFonts w:ascii="Times New Roman" w:hAnsi="Times New Roman" w:cs="Times New Roman"/>
          <w:i/>
          <w:iCs/>
          <w:noProof/>
          <w:sz w:val="24"/>
          <w:szCs w:val="24"/>
          <w:lang w:val="en-GB"/>
        </w:rPr>
        <w:t>Molecules</w:t>
      </w:r>
      <w:r w:rsidRPr="00C32263">
        <w:rPr>
          <w:rFonts w:ascii="Times New Roman" w:hAnsi="Times New Roman" w:cs="Times New Roman"/>
          <w:noProof/>
          <w:sz w:val="24"/>
          <w:szCs w:val="24"/>
          <w:lang w:val="en-GB"/>
        </w:rPr>
        <w:t>, vol. 25, no. 24, pp. 1–16, 2020, doi: 10.3390/molecules25245799.</w:t>
      </w:r>
    </w:p>
    <w:p w14:paraId="7D3EB8A2" w14:textId="1738DFF5"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[36]</w:t>
      </w:r>
      <w:r w:rsidRPr="00C32263">
        <w:rPr>
          <w:rFonts w:ascii="Times New Roman" w:hAnsi="Times New Roman" w:cs="Times New Roman"/>
          <w:noProof/>
          <w:sz w:val="24"/>
          <w:szCs w:val="24"/>
          <w:lang w:val="en-GB"/>
        </w:rPr>
        <w:tab/>
        <w:t xml:space="preserve">O. Maliszewska </w:t>
      </w:r>
      <w:r w:rsidR="00FE6021" w:rsidRPr="00C32263">
        <w:rPr>
          <w:rFonts w:ascii="Times New Roman" w:hAnsi="Times New Roman" w:cs="Times New Roman"/>
          <w:noProof/>
          <w:sz w:val="24"/>
          <w:szCs w:val="24"/>
          <w:lang w:val="en-GB"/>
        </w:rPr>
        <w:t>A. Roszkowska, M. Lipiński, N. Treder, I. Olędzka, P. Kowalski, T. Bączek, Ewa Bień, M. A. Krawczyk, A.Plenis</w:t>
      </w:r>
      <w:r w:rsidR="00FE6021" w:rsidRPr="00C32263">
        <w:rPr>
          <w:rFonts w:ascii="Times New Roman" w:hAnsi="Times New Roman" w:cs="Times New Roman"/>
          <w:i/>
          <w:iCs/>
          <w:noProof/>
          <w:sz w:val="24"/>
          <w:szCs w:val="24"/>
          <w:lang w:val="en-GB"/>
        </w:rPr>
        <w:t>,</w:t>
      </w:r>
      <w:r w:rsidRPr="00C32263">
        <w:rPr>
          <w:rFonts w:ascii="Times New Roman" w:hAnsi="Times New Roman" w:cs="Times New Roman"/>
          <w:noProof/>
          <w:sz w:val="24"/>
          <w:szCs w:val="24"/>
          <w:lang w:val="en-GB"/>
        </w:rPr>
        <w:t xml:space="preserve"> “Profiling Docetaxel in Plasma and Urine Samples from a Pediatric Cancer Patient Using Ultrasound-Assisted Dispersive Liquid–Liquid Microextraction Combined with LC–MS/MS,” </w:t>
      </w:r>
      <w:r w:rsidRPr="00C32263">
        <w:rPr>
          <w:rFonts w:ascii="Times New Roman" w:hAnsi="Times New Roman" w:cs="Times New Roman"/>
          <w:i/>
          <w:iCs/>
          <w:noProof/>
          <w:sz w:val="24"/>
          <w:szCs w:val="24"/>
          <w:lang w:val="en-GB"/>
        </w:rPr>
        <w:t>Pharmaceutics</w:t>
      </w:r>
      <w:r w:rsidRPr="00C32263">
        <w:rPr>
          <w:rFonts w:ascii="Times New Roman" w:hAnsi="Times New Roman" w:cs="Times New Roman"/>
          <w:noProof/>
          <w:sz w:val="24"/>
          <w:szCs w:val="24"/>
          <w:lang w:val="en-GB"/>
        </w:rPr>
        <w:t>, vol. 15, no. 4, pp. 1–16, 2023, doi: 10.3390/pharmaceutics15041255.</w:t>
      </w:r>
    </w:p>
    <w:p w14:paraId="6A3E1B74" w14:textId="77777777"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rPr>
      </w:pPr>
      <w:r w:rsidRPr="00C5503B">
        <w:rPr>
          <w:rFonts w:ascii="Times New Roman" w:hAnsi="Times New Roman" w:cs="Times New Roman"/>
          <w:noProof/>
          <w:sz w:val="24"/>
          <w:szCs w:val="24"/>
        </w:rPr>
        <w:t>[37]</w:t>
      </w:r>
      <w:r w:rsidRPr="00C5503B">
        <w:rPr>
          <w:rFonts w:ascii="Times New Roman" w:hAnsi="Times New Roman" w:cs="Times New Roman"/>
          <w:noProof/>
          <w:sz w:val="24"/>
          <w:szCs w:val="24"/>
        </w:rPr>
        <w:tab/>
        <w:t xml:space="preserve">L. Bodnar, G. Wcisło, M. Miedzińska-maciejewska, and C. Szczylik, “Docetaksel i paklitaksel: porównanie ich budowy, farmakologii oraz mechanizmów oporności. </w:t>
      </w:r>
      <w:r w:rsidRPr="00C32263">
        <w:rPr>
          <w:rFonts w:ascii="Times New Roman" w:hAnsi="Times New Roman" w:cs="Times New Roman"/>
          <w:noProof/>
          <w:sz w:val="24"/>
          <w:szCs w:val="24"/>
          <w:lang w:val="en-GB"/>
        </w:rPr>
        <w:t xml:space="preserve">Docetaxel and paclitaxel: comparison of their pharmacology and mechanisms of resistance,” </w:t>
      </w:r>
      <w:r w:rsidRPr="00C32263">
        <w:rPr>
          <w:rFonts w:ascii="Times New Roman" w:hAnsi="Times New Roman" w:cs="Times New Roman"/>
          <w:i/>
          <w:iCs/>
          <w:noProof/>
          <w:sz w:val="24"/>
          <w:szCs w:val="24"/>
          <w:lang w:val="en-GB"/>
        </w:rPr>
        <w:t>Współczesna Onkol.</w:t>
      </w:r>
      <w:r w:rsidRPr="00C32263">
        <w:rPr>
          <w:rFonts w:ascii="Times New Roman" w:hAnsi="Times New Roman" w:cs="Times New Roman"/>
          <w:noProof/>
          <w:sz w:val="24"/>
          <w:szCs w:val="24"/>
          <w:lang w:val="en-GB"/>
        </w:rPr>
        <w:t xml:space="preserve">, vol. 8, no. 9, pp. 435–446, 2004, [Online]. </w:t>
      </w:r>
      <w:r w:rsidRPr="00C5503B">
        <w:rPr>
          <w:rFonts w:ascii="Times New Roman" w:hAnsi="Times New Roman" w:cs="Times New Roman"/>
          <w:noProof/>
          <w:sz w:val="24"/>
          <w:szCs w:val="24"/>
        </w:rPr>
        <w:t>Available: http://www.termedia.pl/Czasopismo/Wspolczesna_Onkologia-3/Streszczenie-2750</w:t>
      </w:r>
    </w:p>
    <w:p w14:paraId="6BB0340A" w14:textId="77777777"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rPr>
      </w:pPr>
      <w:r w:rsidRPr="00C5503B">
        <w:rPr>
          <w:rFonts w:ascii="Times New Roman" w:hAnsi="Times New Roman" w:cs="Times New Roman"/>
          <w:noProof/>
          <w:sz w:val="24"/>
          <w:szCs w:val="24"/>
        </w:rPr>
        <w:lastRenderedPageBreak/>
        <w:t>[38]</w:t>
      </w:r>
      <w:r w:rsidRPr="00C5503B">
        <w:rPr>
          <w:rFonts w:ascii="Times New Roman" w:hAnsi="Times New Roman" w:cs="Times New Roman"/>
          <w:noProof/>
          <w:sz w:val="24"/>
          <w:szCs w:val="24"/>
        </w:rPr>
        <w:tab/>
        <w:t xml:space="preserve">S. Tabaczar, A. Koceva-Chył, K. Matczak, and K. Gwoździński, “Molekularne mechanizmy aktywności przeciwnowotworowej taksanów. I. Oddziaływanie docetakselu na mikrotubule,” </w:t>
      </w:r>
      <w:r w:rsidRPr="00C5503B">
        <w:rPr>
          <w:rFonts w:ascii="Times New Roman" w:hAnsi="Times New Roman" w:cs="Times New Roman"/>
          <w:i/>
          <w:iCs/>
          <w:noProof/>
          <w:sz w:val="24"/>
          <w:szCs w:val="24"/>
        </w:rPr>
        <w:t>Postepy Hig. Med. Dosw.</w:t>
      </w:r>
      <w:r w:rsidRPr="00C5503B">
        <w:rPr>
          <w:rFonts w:ascii="Times New Roman" w:hAnsi="Times New Roman" w:cs="Times New Roman"/>
          <w:noProof/>
          <w:sz w:val="24"/>
          <w:szCs w:val="24"/>
        </w:rPr>
        <w:t>, vol. 64, pp. 568–581, 2010.</w:t>
      </w:r>
    </w:p>
    <w:p w14:paraId="61C949FC" w14:textId="04261D70"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[39]</w:t>
      </w:r>
      <w:r w:rsidRPr="00C32263">
        <w:rPr>
          <w:rFonts w:ascii="Times New Roman" w:hAnsi="Times New Roman" w:cs="Times New Roman"/>
          <w:noProof/>
          <w:sz w:val="24"/>
          <w:szCs w:val="24"/>
          <w:lang w:val="en-GB"/>
        </w:rPr>
        <w:tab/>
        <w:t xml:space="preserve">W. Bąk, J. Cabaj, P. Wróblewska-Łuczka, “Antitumour effects of taxanes with particular emphasis on their use in the treatment of melanoma,” </w:t>
      </w:r>
      <w:r w:rsidRPr="00C32263">
        <w:rPr>
          <w:rFonts w:ascii="Times New Roman" w:hAnsi="Times New Roman" w:cs="Times New Roman"/>
          <w:i/>
          <w:iCs/>
          <w:noProof/>
          <w:sz w:val="24"/>
          <w:szCs w:val="24"/>
          <w:lang w:val="en-GB"/>
        </w:rPr>
        <w:t>Environ. Med.</w:t>
      </w:r>
      <w:r w:rsidRPr="00C32263">
        <w:rPr>
          <w:rFonts w:ascii="Times New Roman" w:hAnsi="Times New Roman" w:cs="Times New Roman"/>
          <w:noProof/>
          <w:sz w:val="24"/>
          <w:szCs w:val="24"/>
          <w:lang w:val="en-GB"/>
        </w:rPr>
        <w:t>, vol. 23, no. 1–4, pp. 9–17, 2021, doi: 10.26444/ms/138611.</w:t>
      </w:r>
    </w:p>
    <w:p w14:paraId="0228272F" w14:textId="6130B910"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[40]</w:t>
      </w:r>
      <w:r w:rsidRPr="00C32263">
        <w:rPr>
          <w:rFonts w:ascii="Times New Roman" w:hAnsi="Times New Roman" w:cs="Times New Roman"/>
          <w:noProof/>
          <w:sz w:val="24"/>
          <w:szCs w:val="24"/>
          <w:lang w:val="en-GB"/>
        </w:rPr>
        <w:tab/>
        <w:t>S. Martinez-Recio</w:t>
      </w:r>
      <w:r w:rsidR="00023FF6"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023FF6" w:rsidRPr="00C32263">
        <w:rPr>
          <w:rFonts w:ascii="Times New Roman" w:hAnsi="Times New Roman" w:cs="Times New Roman"/>
          <w:noProof/>
          <w:sz w:val="24"/>
          <w:szCs w:val="24"/>
          <w:lang w:val="en-GB"/>
        </w:rPr>
        <w:t>J. P. Perez-Wert, S. Martinez-Fdez, D. Jimenez-Bou, I. Ruiz-Gutierrez, J. Peña, A. Pertejo, E. Espinosa, A. Pinto</w:t>
      </w:r>
      <w:r w:rsidRPr="00C32263">
        <w:rPr>
          <w:rFonts w:ascii="Times New Roman" w:hAnsi="Times New Roman" w:cs="Times New Roman"/>
          <w:noProof/>
          <w:sz w:val="24"/>
          <w:szCs w:val="24"/>
          <w:lang w:val="en-GB"/>
        </w:rPr>
        <w:t xml:space="preserve">, “Comparison of 2-Weekly and 3-Weekly Dosing of Docetaxel in Metastatic Prostate Cancer,” </w:t>
      </w:r>
      <w:r w:rsidRPr="00C32263">
        <w:rPr>
          <w:rFonts w:ascii="Times New Roman" w:hAnsi="Times New Roman" w:cs="Times New Roman"/>
          <w:i/>
          <w:iCs/>
          <w:noProof/>
          <w:sz w:val="24"/>
          <w:szCs w:val="24"/>
          <w:lang w:val="en-GB"/>
        </w:rPr>
        <w:t>Clin. Genitourin. Cancer</w:t>
      </w:r>
      <w:r w:rsidRPr="00C32263">
        <w:rPr>
          <w:rFonts w:ascii="Times New Roman" w:hAnsi="Times New Roman" w:cs="Times New Roman"/>
          <w:noProof/>
          <w:sz w:val="24"/>
          <w:szCs w:val="24"/>
          <w:lang w:val="en-GB"/>
        </w:rPr>
        <w:t>, vol. 20, no. 4, pp. 363–370, 2022, doi: 10.1016/j.clgc.2022.02.009.</w:t>
      </w:r>
    </w:p>
    <w:p w14:paraId="5973F95C"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[41]</w:t>
      </w:r>
      <w:r w:rsidRPr="00C32263">
        <w:rPr>
          <w:rFonts w:ascii="Times New Roman" w:hAnsi="Times New Roman" w:cs="Times New Roman"/>
          <w:noProof/>
          <w:sz w:val="24"/>
          <w:szCs w:val="24"/>
          <w:lang w:val="en-GB"/>
        </w:rPr>
        <w:tab/>
        <w:t xml:space="preserve">M. E. De Jonge, A. D. R. Huitema, J. H. M. Schellens, S. Rodenhuis, and J. H. Beijnen, “Individualised cancer chemotherapy: Strategies and performance of prospective studies on therapeutic drug monitoring with dose adaptation: A review,” </w:t>
      </w:r>
      <w:r w:rsidRPr="00C32263">
        <w:rPr>
          <w:rFonts w:ascii="Times New Roman" w:hAnsi="Times New Roman" w:cs="Times New Roman"/>
          <w:i/>
          <w:iCs/>
          <w:noProof/>
          <w:sz w:val="24"/>
          <w:szCs w:val="24"/>
          <w:lang w:val="en-GB"/>
        </w:rPr>
        <w:t>Clin. Pharmacokinet.</w:t>
      </w:r>
      <w:r w:rsidRPr="00C32263">
        <w:rPr>
          <w:rFonts w:ascii="Times New Roman" w:hAnsi="Times New Roman" w:cs="Times New Roman"/>
          <w:noProof/>
          <w:sz w:val="24"/>
          <w:szCs w:val="24"/>
          <w:lang w:val="en-GB"/>
        </w:rPr>
        <w:t>, vol. 44, no. 2, pp. 147–173, 2005, doi: 10.2165/00003088-200544020-00002.</w:t>
      </w:r>
    </w:p>
    <w:p w14:paraId="51321C9C"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[42]</w:t>
      </w:r>
      <w:r w:rsidRPr="00C32263">
        <w:rPr>
          <w:rFonts w:ascii="Times New Roman" w:hAnsi="Times New Roman" w:cs="Times New Roman"/>
          <w:noProof/>
          <w:sz w:val="24"/>
          <w:szCs w:val="24"/>
          <w:lang w:val="en-GB"/>
        </w:rPr>
        <w:tab/>
        <w:t xml:space="preserve">J. S. Kang and M. H. Lee, “Overview of therapeutic drug monitoring,” </w:t>
      </w:r>
      <w:r w:rsidRPr="00C32263">
        <w:rPr>
          <w:rFonts w:ascii="Times New Roman" w:hAnsi="Times New Roman" w:cs="Times New Roman"/>
          <w:i/>
          <w:iCs/>
          <w:noProof/>
          <w:sz w:val="24"/>
          <w:szCs w:val="24"/>
          <w:lang w:val="en-GB"/>
        </w:rPr>
        <w:t>Korean J. Intern. Med.</w:t>
      </w:r>
      <w:r w:rsidRPr="00C32263">
        <w:rPr>
          <w:rFonts w:ascii="Times New Roman" w:hAnsi="Times New Roman" w:cs="Times New Roman"/>
          <w:noProof/>
          <w:sz w:val="24"/>
          <w:szCs w:val="24"/>
          <w:lang w:val="en-GB"/>
        </w:rPr>
        <w:t>, vol. 24, no. 1, pp. 1–10, 2009, doi: 10.3904/kjim.2009.24.1.1.</w:t>
      </w:r>
    </w:p>
    <w:p w14:paraId="0A806384"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[43]</w:t>
      </w:r>
      <w:r w:rsidRPr="00C32263">
        <w:rPr>
          <w:rFonts w:ascii="Times New Roman" w:hAnsi="Times New Roman" w:cs="Times New Roman"/>
          <w:noProof/>
          <w:sz w:val="24"/>
          <w:szCs w:val="24"/>
          <w:lang w:val="en-GB"/>
        </w:rPr>
        <w:tab/>
        <w:t xml:space="preserve">D. J. Touw, C. Neef, A. H. Thomson, and A. A. Vinks, “Cost-effectiveness of therapeutic drug monitoring: A systematic review,” </w:t>
      </w:r>
      <w:r w:rsidRPr="00C32263">
        <w:rPr>
          <w:rFonts w:ascii="Times New Roman" w:hAnsi="Times New Roman" w:cs="Times New Roman"/>
          <w:i/>
          <w:iCs/>
          <w:noProof/>
          <w:sz w:val="24"/>
          <w:szCs w:val="24"/>
          <w:lang w:val="en-GB"/>
        </w:rPr>
        <w:t>Ther. Drug Monit.</w:t>
      </w:r>
      <w:r w:rsidRPr="00C32263">
        <w:rPr>
          <w:rFonts w:ascii="Times New Roman" w:hAnsi="Times New Roman" w:cs="Times New Roman"/>
          <w:noProof/>
          <w:sz w:val="24"/>
          <w:szCs w:val="24"/>
          <w:lang w:val="en-GB"/>
        </w:rPr>
        <w:t>, vol. 27, no. 1, pp. 10–17, 2005, doi: 10.1097/00007691-200502000-00004.</w:t>
      </w:r>
    </w:p>
    <w:p w14:paraId="7A76866E" w14:textId="1A343DB4"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[44]</w:t>
      </w:r>
      <w:r w:rsidRPr="00C32263">
        <w:rPr>
          <w:rFonts w:ascii="Times New Roman" w:hAnsi="Times New Roman" w:cs="Times New Roman"/>
          <w:noProof/>
          <w:sz w:val="24"/>
          <w:szCs w:val="24"/>
          <w:lang w:val="en-GB"/>
        </w:rPr>
        <w:tab/>
        <w:t>J. H. Beumer</w:t>
      </w:r>
      <w:r w:rsidR="00031B02" w:rsidRPr="00C32263">
        <w:rPr>
          <w:rFonts w:ascii="Times New Roman" w:hAnsi="Times New Roman" w:cs="Times New Roman"/>
          <w:noProof/>
          <w:sz w:val="24"/>
          <w:szCs w:val="24"/>
          <w:lang w:val="en-GB"/>
        </w:rPr>
        <w:t>,</w:t>
      </w:r>
      <w:r w:rsidR="00031B02" w:rsidRPr="00C32263">
        <w:rPr>
          <w:rFonts w:ascii="Times New Roman" w:hAnsi="Times New Roman" w:cs="Times New Roman"/>
          <w:i/>
          <w:iCs/>
          <w:noProof/>
          <w:sz w:val="24"/>
          <w:szCs w:val="24"/>
          <w:lang w:val="en-GB"/>
        </w:rPr>
        <w:t xml:space="preserve"> </w:t>
      </w:r>
      <w:r w:rsidR="00031B02" w:rsidRPr="00C32263">
        <w:rPr>
          <w:rFonts w:ascii="Times New Roman" w:hAnsi="Times New Roman" w:cs="Times New Roman"/>
          <w:noProof/>
          <w:sz w:val="24"/>
          <w:szCs w:val="24"/>
          <w:lang w:val="en-GB"/>
        </w:rPr>
        <w:t>E. Chu, C. Allegra, Y. Tanigawara, G. Milano, R.Diasio, T. W. Kim, R. H. Mathijssen, L. Zhang, D. Arnold, K. Muneoka, N. Boku, M Joerger</w:t>
      </w:r>
      <w:r w:rsidRPr="00C32263">
        <w:rPr>
          <w:rFonts w:ascii="Times New Roman" w:hAnsi="Times New Roman" w:cs="Times New Roman"/>
          <w:noProof/>
          <w:sz w:val="24"/>
          <w:szCs w:val="24"/>
          <w:lang w:val="en-GB"/>
        </w:rPr>
        <w:t xml:space="preserve">, “Therapeutic Drug Monitoring in Oncology: International Association of Therapeutic Drug Monitoring and Clinical Toxicology Recommendations for 5-Fluorouracil Therapy,” </w:t>
      </w:r>
      <w:r w:rsidRPr="00C32263">
        <w:rPr>
          <w:rFonts w:ascii="Times New Roman" w:hAnsi="Times New Roman" w:cs="Times New Roman"/>
          <w:i/>
          <w:iCs/>
          <w:noProof/>
          <w:sz w:val="24"/>
          <w:szCs w:val="24"/>
          <w:lang w:val="en-GB"/>
        </w:rPr>
        <w:t>Clin. Pharmacol. Ther.</w:t>
      </w:r>
      <w:r w:rsidRPr="00C32263">
        <w:rPr>
          <w:rFonts w:ascii="Times New Roman" w:hAnsi="Times New Roman" w:cs="Times New Roman"/>
          <w:noProof/>
          <w:sz w:val="24"/>
          <w:szCs w:val="24"/>
          <w:lang w:val="en-GB"/>
        </w:rPr>
        <w:t>, vol. 105, no. 3, pp. 598–613, 2019, doi: 10.1002/cpt.1124.</w:t>
      </w:r>
    </w:p>
    <w:p w14:paraId="3010351B"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[45]</w:t>
      </w:r>
      <w:r w:rsidRPr="00C32263">
        <w:rPr>
          <w:rFonts w:ascii="Times New Roman" w:hAnsi="Times New Roman" w:cs="Times New Roman"/>
          <w:noProof/>
          <w:sz w:val="24"/>
          <w:szCs w:val="24"/>
          <w:lang w:val="en-GB"/>
        </w:rPr>
        <w:tab/>
        <w:t xml:space="preserve">P. Smita, P. A. Narayan, J. Kumaravel, and P. Gaurav, “Therapeutic drug monitoring for cytotoxic anticancer drugs: Principles and evidence-based practices,” </w:t>
      </w:r>
      <w:r w:rsidRPr="00C32263">
        <w:rPr>
          <w:rFonts w:ascii="Times New Roman" w:hAnsi="Times New Roman" w:cs="Times New Roman"/>
          <w:i/>
          <w:iCs/>
          <w:noProof/>
          <w:sz w:val="24"/>
          <w:szCs w:val="24"/>
          <w:lang w:val="en-GB"/>
        </w:rPr>
        <w:t>Front. Oncol.</w:t>
      </w:r>
      <w:r w:rsidRPr="00C32263">
        <w:rPr>
          <w:rFonts w:ascii="Times New Roman" w:hAnsi="Times New Roman" w:cs="Times New Roman"/>
          <w:noProof/>
          <w:sz w:val="24"/>
          <w:szCs w:val="24"/>
          <w:lang w:val="en-GB"/>
        </w:rPr>
        <w:t xml:space="preserve">, vol. 12, no. December, pp. 1–17, 2022, doi: </w:t>
      </w:r>
      <w:r w:rsidRPr="00C32263">
        <w:rPr>
          <w:rFonts w:ascii="Times New Roman" w:hAnsi="Times New Roman" w:cs="Times New Roman"/>
          <w:noProof/>
          <w:sz w:val="24"/>
          <w:szCs w:val="24"/>
          <w:lang w:val="en-GB"/>
        </w:rPr>
        <w:lastRenderedPageBreak/>
        <w:t>10.3389/fonc.2022.1015200.</w:t>
      </w:r>
    </w:p>
    <w:p w14:paraId="78D20C1F"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[46]</w:t>
      </w:r>
      <w:r w:rsidRPr="00C32263">
        <w:rPr>
          <w:rFonts w:ascii="Times New Roman" w:hAnsi="Times New Roman" w:cs="Times New Roman"/>
          <w:noProof/>
          <w:sz w:val="24"/>
          <w:szCs w:val="24"/>
          <w:lang w:val="en-GB"/>
        </w:rPr>
        <w:tab/>
        <w:t xml:space="preserve">ICH, “ICH Harmonised Guidance:Validation of Analytical Procedures Q2(R2),” </w:t>
      </w:r>
      <w:r w:rsidRPr="00C32263">
        <w:rPr>
          <w:rFonts w:ascii="Times New Roman" w:hAnsi="Times New Roman" w:cs="Times New Roman"/>
          <w:i/>
          <w:iCs/>
          <w:noProof/>
          <w:sz w:val="24"/>
          <w:szCs w:val="24"/>
          <w:lang w:val="en-GB"/>
        </w:rPr>
        <w:t>ICH Harmon. Tripart. Guidel.</w:t>
      </w:r>
      <w:r w:rsidRPr="00C32263">
        <w:rPr>
          <w:rFonts w:ascii="Times New Roman" w:hAnsi="Times New Roman" w:cs="Times New Roman"/>
          <w:noProof/>
          <w:sz w:val="24"/>
          <w:szCs w:val="24"/>
          <w:lang w:val="en-GB"/>
        </w:rPr>
        <w:t>, vol. 2, no. March, pp. 1–34, 2022, [Online]. Available: https://database.ich.org/sites/default/files/Q1A%28R2%29 Guideline.pdf</w:t>
      </w:r>
    </w:p>
    <w:p w14:paraId="2D27EDC2"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[47]</w:t>
      </w:r>
      <w:r w:rsidRPr="00C32263">
        <w:rPr>
          <w:rFonts w:ascii="Times New Roman" w:hAnsi="Times New Roman" w:cs="Times New Roman"/>
          <w:noProof/>
          <w:sz w:val="24"/>
          <w:szCs w:val="24"/>
          <w:lang w:val="en-GB"/>
        </w:rPr>
        <w:tab/>
        <w:t xml:space="preserve">D. R. Barpe, D. D. Rosa, and P. E. Froehlich, “Pharmacokinetic evaluation of doxorubicin plasma levels in normal and overweight patients with breast cancer and simulation of dose adjustment by different indexes of body mass,” </w:t>
      </w:r>
      <w:r w:rsidRPr="00C32263">
        <w:rPr>
          <w:rFonts w:ascii="Times New Roman" w:hAnsi="Times New Roman" w:cs="Times New Roman"/>
          <w:i/>
          <w:iCs/>
          <w:noProof/>
          <w:sz w:val="24"/>
          <w:szCs w:val="24"/>
          <w:lang w:val="en-GB"/>
        </w:rPr>
        <w:t>Eur. J. Pharm. Sci.</w:t>
      </w:r>
      <w:r w:rsidRPr="00C32263">
        <w:rPr>
          <w:rFonts w:ascii="Times New Roman" w:hAnsi="Times New Roman" w:cs="Times New Roman"/>
          <w:noProof/>
          <w:sz w:val="24"/>
          <w:szCs w:val="24"/>
          <w:lang w:val="en-GB"/>
        </w:rPr>
        <w:t>, vol. 41, no. 3–4, pp. 458–463, 2010, doi: 10.1016/j.ejps.2010.07.015.</w:t>
      </w:r>
    </w:p>
    <w:p w14:paraId="6FD905EA"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[48]</w:t>
      </w:r>
      <w:r w:rsidRPr="00C32263">
        <w:rPr>
          <w:rFonts w:ascii="Times New Roman" w:hAnsi="Times New Roman" w:cs="Times New Roman"/>
          <w:noProof/>
          <w:sz w:val="24"/>
          <w:szCs w:val="24"/>
          <w:lang w:val="en-GB"/>
        </w:rPr>
        <w:tab/>
        <w:t xml:space="preserve">X. Yang, F. Qian, L. Xie, X. Yang, X. Cheng, and M. M. F. Choi, “Determination of doxorubicin in plasma by using CE coupled with in-column tapered optic-fiber light-emitting diode induced fluorescence detection,” </w:t>
      </w:r>
      <w:r w:rsidRPr="00C32263">
        <w:rPr>
          <w:rFonts w:ascii="Times New Roman" w:hAnsi="Times New Roman" w:cs="Times New Roman"/>
          <w:i/>
          <w:iCs/>
          <w:noProof/>
          <w:sz w:val="24"/>
          <w:szCs w:val="24"/>
          <w:lang w:val="en-GB"/>
        </w:rPr>
        <w:t>Electrophoresis</w:t>
      </w:r>
      <w:r w:rsidRPr="00C32263">
        <w:rPr>
          <w:rFonts w:ascii="Times New Roman" w:hAnsi="Times New Roman" w:cs="Times New Roman"/>
          <w:noProof/>
          <w:sz w:val="24"/>
          <w:szCs w:val="24"/>
          <w:lang w:val="en-GB"/>
        </w:rPr>
        <w:t>, vol. 35, no. 5, pp. 762–769, 2014, doi: 10.1002/elps.201300237.</w:t>
      </w:r>
    </w:p>
    <w:p w14:paraId="73C4C50F"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[49]</w:t>
      </w:r>
      <w:r w:rsidRPr="00C32263">
        <w:rPr>
          <w:rFonts w:ascii="Times New Roman" w:hAnsi="Times New Roman" w:cs="Times New Roman"/>
          <w:noProof/>
          <w:sz w:val="24"/>
          <w:szCs w:val="24"/>
          <w:lang w:val="en-GB"/>
        </w:rPr>
        <w:tab/>
        <w:t xml:space="preserve">D. Fraier, E. Frigerio, E. Pianezzola, M. Strolin Benedetti, J. Cassidy, and P. Vasey, “A sensitive procedure for the quantitation of free and N-(2-hydroxypropyl)methacrylamide polymer-bound doxorubicin (PK1) and some of its metabolites, 13-dihydrodoxorubicin, 13-dihydrodoxorubicinone and doxorubicinone, in human plasma and urine by reversed,” </w:t>
      </w:r>
      <w:r w:rsidRPr="00C32263">
        <w:rPr>
          <w:rFonts w:ascii="Times New Roman" w:hAnsi="Times New Roman" w:cs="Times New Roman"/>
          <w:i/>
          <w:iCs/>
          <w:noProof/>
          <w:sz w:val="24"/>
          <w:szCs w:val="24"/>
          <w:lang w:val="en-GB"/>
        </w:rPr>
        <w:t>J. Pharm. Biomed. Anal.</w:t>
      </w:r>
      <w:r w:rsidRPr="00C32263">
        <w:rPr>
          <w:rFonts w:ascii="Times New Roman" w:hAnsi="Times New Roman" w:cs="Times New Roman"/>
          <w:noProof/>
          <w:sz w:val="24"/>
          <w:szCs w:val="24"/>
          <w:lang w:val="en-GB"/>
        </w:rPr>
        <w:t>, vol. 13, no. 4–5, pp. 625–633, 1995, doi: 10.1016/0731-7085(95)01301-Z.</w:t>
      </w:r>
    </w:p>
    <w:p w14:paraId="5EC8D5BF"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[50]</w:t>
      </w:r>
      <w:r w:rsidRPr="00C32263">
        <w:rPr>
          <w:rFonts w:ascii="Times New Roman" w:hAnsi="Times New Roman" w:cs="Times New Roman"/>
          <w:noProof/>
          <w:sz w:val="24"/>
          <w:szCs w:val="24"/>
          <w:lang w:val="en-GB"/>
        </w:rPr>
        <w:tab/>
        <w:t xml:space="preserve">J. S. Pérez-Blanco, M. del M. Fernández de Gatta, J. M. Hernández-Rivas, M. J. García Sánchez, M. L. Sayalero Marinero, and F. González López, “Validation and clinical evaluation of a UHPLC method with fluorescence detector for plasma quantification of doxorubicin and doxorubicinol in haematological patients,”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955–956, no. 1, pp. 93–97, 2014, doi: 10.1016/j.jchromb.2014.02.034.</w:t>
      </w:r>
    </w:p>
    <w:p w14:paraId="59BCDF9F"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[51]</w:t>
      </w:r>
      <w:r w:rsidRPr="00C32263">
        <w:rPr>
          <w:rFonts w:ascii="Times New Roman" w:hAnsi="Times New Roman" w:cs="Times New Roman"/>
          <w:noProof/>
          <w:sz w:val="24"/>
          <w:szCs w:val="24"/>
          <w:lang w:val="en-GB"/>
        </w:rPr>
        <w:tab/>
        <w:t xml:space="preserve">Q. Zhou and B. Chowbay, “Determination of doxorubicin and its metabolites in rat serum and bile by LC: Application to preclinical pharmacokinetic studies,” </w:t>
      </w:r>
      <w:r w:rsidRPr="00C32263">
        <w:rPr>
          <w:rFonts w:ascii="Times New Roman" w:hAnsi="Times New Roman" w:cs="Times New Roman"/>
          <w:i/>
          <w:iCs/>
          <w:noProof/>
          <w:sz w:val="24"/>
          <w:szCs w:val="24"/>
          <w:lang w:val="en-GB"/>
        </w:rPr>
        <w:t>J. Pharm. Biomed. Anal.</w:t>
      </w:r>
      <w:r w:rsidRPr="00C32263">
        <w:rPr>
          <w:rFonts w:ascii="Times New Roman" w:hAnsi="Times New Roman" w:cs="Times New Roman"/>
          <w:noProof/>
          <w:sz w:val="24"/>
          <w:szCs w:val="24"/>
          <w:lang w:val="en-GB"/>
        </w:rPr>
        <w:t>, vol. 30, no. 4, pp. 1063–1074, 2002, doi: 10.1016/S0731-7085(02)00442-9.</w:t>
      </w:r>
    </w:p>
    <w:p w14:paraId="3DDBAB6E"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[52]</w:t>
      </w:r>
      <w:r w:rsidRPr="00C32263">
        <w:rPr>
          <w:rFonts w:ascii="Times New Roman" w:hAnsi="Times New Roman" w:cs="Times New Roman"/>
          <w:noProof/>
          <w:sz w:val="24"/>
          <w:szCs w:val="24"/>
          <w:lang w:val="en-GB"/>
        </w:rPr>
        <w:tab/>
        <w:t xml:space="preserve">W. Ma, J. Wang, Q. Guo, and P. Tu, “Simultaneous determination of doxorubicin and curcumin in rat plasma by LC-MS/MS and its application to pharmacokinetic </w:t>
      </w:r>
      <w:r w:rsidRPr="00C32263">
        <w:rPr>
          <w:rFonts w:ascii="Times New Roman" w:hAnsi="Times New Roman" w:cs="Times New Roman"/>
          <w:noProof/>
          <w:sz w:val="24"/>
          <w:szCs w:val="24"/>
          <w:lang w:val="en-GB"/>
        </w:rPr>
        <w:lastRenderedPageBreak/>
        <w:t xml:space="preserve">study,” </w:t>
      </w:r>
      <w:r w:rsidRPr="00C32263">
        <w:rPr>
          <w:rFonts w:ascii="Times New Roman" w:hAnsi="Times New Roman" w:cs="Times New Roman"/>
          <w:i/>
          <w:iCs/>
          <w:noProof/>
          <w:sz w:val="24"/>
          <w:szCs w:val="24"/>
          <w:lang w:val="en-GB"/>
        </w:rPr>
        <w:t>J. Pharm. Biomed. Anal.</w:t>
      </w:r>
      <w:r w:rsidRPr="00C32263">
        <w:rPr>
          <w:rFonts w:ascii="Times New Roman" w:hAnsi="Times New Roman" w:cs="Times New Roman"/>
          <w:noProof/>
          <w:sz w:val="24"/>
          <w:szCs w:val="24"/>
          <w:lang w:val="en-GB"/>
        </w:rPr>
        <w:t>, vol. 111, pp. 215–221, 2015, doi: 10.1016/j.jpba.2015.04.007.</w:t>
      </w:r>
    </w:p>
    <w:p w14:paraId="2F4C7E8B"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[53]</w:t>
      </w:r>
      <w:r w:rsidRPr="00C32263">
        <w:rPr>
          <w:rFonts w:ascii="Times New Roman" w:hAnsi="Times New Roman" w:cs="Times New Roman"/>
          <w:noProof/>
          <w:sz w:val="24"/>
          <w:szCs w:val="24"/>
          <w:lang w:val="en-GB"/>
        </w:rPr>
        <w:tab/>
        <w:t xml:space="preserve">C. Sottani, G. Poggi, F. Melchiorre, B. Montagna, and C. Minoia, “Simultaneous measurement of doxorubicin and reduced metabolite doxorubicinol by UHPLC-MS/MS in human plasma of HCC patients treated with TACE,”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915–916, pp. 71–78, 2013, doi: 10.1016/j.jchromb.2012.12.012.</w:t>
      </w:r>
    </w:p>
    <w:p w14:paraId="249F5D56"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[54]</w:t>
      </w:r>
      <w:r w:rsidRPr="00C32263">
        <w:rPr>
          <w:rFonts w:ascii="Times New Roman" w:hAnsi="Times New Roman" w:cs="Times New Roman"/>
          <w:noProof/>
          <w:sz w:val="24"/>
          <w:szCs w:val="24"/>
          <w:lang w:val="en-GB"/>
        </w:rPr>
        <w:tab/>
        <w:t xml:space="preserve">Cristina Sottani, Paola Rinaldi, Emanuela Leoni, Guido Poggi, Cristina Teragni and A. D. and C. Minoia, “Simultaneous determination of cyclophosphamide, ifosfamide, doxorubicin, epirubicin and daunorubicin in human urine using high-performance liquid chromatography/electrospray ionization tandem mass spectrometry: bioanalytical method validation,” </w:t>
      </w:r>
      <w:r w:rsidRPr="00C32263">
        <w:rPr>
          <w:rFonts w:ascii="Times New Roman" w:hAnsi="Times New Roman" w:cs="Times New Roman"/>
          <w:i/>
          <w:iCs/>
          <w:noProof/>
          <w:sz w:val="24"/>
          <w:szCs w:val="24"/>
          <w:lang w:val="en-GB"/>
        </w:rPr>
        <w:t>RAPID Commun. MASS Spectrom.</w:t>
      </w:r>
      <w:r w:rsidRPr="00C32263">
        <w:rPr>
          <w:rFonts w:ascii="Times New Roman" w:hAnsi="Times New Roman" w:cs="Times New Roman"/>
          <w:noProof/>
          <w:sz w:val="24"/>
          <w:szCs w:val="24"/>
          <w:lang w:val="en-GB"/>
        </w:rPr>
        <w:t>, vol. 22, pp. 2645–2659, 2008, doi: 10.1002/rcm.</w:t>
      </w:r>
    </w:p>
    <w:p w14:paraId="10CC609F"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[55]</w:t>
      </w:r>
      <w:r w:rsidRPr="00C32263">
        <w:rPr>
          <w:rFonts w:ascii="Times New Roman" w:hAnsi="Times New Roman" w:cs="Times New Roman"/>
          <w:noProof/>
          <w:sz w:val="24"/>
          <w:szCs w:val="24"/>
          <w:lang w:val="en-GB"/>
        </w:rPr>
        <w:tab/>
        <w:t xml:space="preserve">C. Sottani, G. Tranfo, M. Bettinelli, P. Faranda, M. Spagnoli, and C. Minoia, “Trace determination of anthracyclines in urine: A new high-performance liquid chromatography/tandem mass spectrometry method for assessing exposure of hospital personnel,” </w:t>
      </w:r>
      <w:r w:rsidRPr="00C32263">
        <w:rPr>
          <w:rFonts w:ascii="Times New Roman" w:hAnsi="Times New Roman" w:cs="Times New Roman"/>
          <w:i/>
          <w:iCs/>
          <w:noProof/>
          <w:sz w:val="24"/>
          <w:szCs w:val="24"/>
          <w:lang w:val="en-GB"/>
        </w:rPr>
        <w:t>Rapid Commun. Mass Spectrom.</w:t>
      </w:r>
      <w:r w:rsidRPr="00C32263">
        <w:rPr>
          <w:rFonts w:ascii="Times New Roman" w:hAnsi="Times New Roman" w:cs="Times New Roman"/>
          <w:noProof/>
          <w:sz w:val="24"/>
          <w:szCs w:val="24"/>
          <w:lang w:val="en-GB"/>
        </w:rPr>
        <w:t>, vol. 18, no. 20, pp. 2426–2436, 2004, doi: 10.1002/rcm.1642.</w:t>
      </w:r>
    </w:p>
    <w:p w14:paraId="0BA365F8"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[56]</w:t>
      </w:r>
      <w:r w:rsidRPr="00C32263">
        <w:rPr>
          <w:rFonts w:ascii="Times New Roman" w:hAnsi="Times New Roman" w:cs="Times New Roman"/>
          <w:noProof/>
          <w:sz w:val="24"/>
          <w:szCs w:val="24"/>
          <w:lang w:val="en-GB"/>
        </w:rPr>
        <w:tab/>
        <w:t xml:space="preserve">I. M. Shaikh, K. B. Tan, and G. N. C. Chiu, “Simultaneous determination of doxorubicin and irinotecan in conjunction with their major metabolites by ultra high performance liquid chromatography,” </w:t>
      </w:r>
      <w:r w:rsidRPr="00C32263">
        <w:rPr>
          <w:rFonts w:ascii="Times New Roman" w:hAnsi="Times New Roman" w:cs="Times New Roman"/>
          <w:i/>
          <w:iCs/>
          <w:noProof/>
          <w:sz w:val="24"/>
          <w:szCs w:val="24"/>
          <w:lang w:val="en-GB"/>
        </w:rPr>
        <w:t>J. Liq. Chromatogr. Relat. Technol.</w:t>
      </w:r>
      <w:r w:rsidRPr="00C32263">
        <w:rPr>
          <w:rFonts w:ascii="Times New Roman" w:hAnsi="Times New Roman" w:cs="Times New Roman"/>
          <w:noProof/>
          <w:sz w:val="24"/>
          <w:szCs w:val="24"/>
          <w:lang w:val="en-GB"/>
        </w:rPr>
        <w:t>, vol. 36, no. 7, pp. 914–925, 2013, doi: 10.1080/10826076.2012.678456.</w:t>
      </w:r>
    </w:p>
    <w:p w14:paraId="168B8309" w14:textId="1D4E5E3A"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[57]</w:t>
      </w:r>
      <w:r w:rsidRPr="00C32263">
        <w:rPr>
          <w:rFonts w:ascii="Times New Roman" w:hAnsi="Times New Roman" w:cs="Times New Roman"/>
          <w:noProof/>
          <w:sz w:val="24"/>
          <w:szCs w:val="24"/>
          <w:lang w:val="en-GB"/>
        </w:rPr>
        <w:tab/>
        <w:t>A. Gavenda</w:t>
      </w:r>
      <w:r w:rsidR="00C81636"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C81636" w:rsidRPr="00C32263">
        <w:rPr>
          <w:rFonts w:ascii="Times New Roman" w:hAnsi="Times New Roman" w:cs="Times New Roman"/>
          <w:noProof/>
          <w:sz w:val="24"/>
          <w:szCs w:val="24"/>
          <w:lang w:val="en-GB"/>
        </w:rPr>
        <w:t>J. Ševcík1, J. Psotová, P. Bednár, P. Barták, P. Adamovsky, V. Šimánek</w:t>
      </w:r>
      <w:r w:rsidRPr="00C32263">
        <w:rPr>
          <w:rFonts w:ascii="Times New Roman" w:hAnsi="Times New Roman" w:cs="Times New Roman"/>
          <w:noProof/>
          <w:sz w:val="24"/>
          <w:szCs w:val="24"/>
          <w:lang w:val="en-GB"/>
        </w:rPr>
        <w:t xml:space="preserve">, “Determination of anthracycline antibiotics doxorubicin and daunorubicin by capillary electrophoresis with UV absorption detection,” </w:t>
      </w:r>
      <w:r w:rsidRPr="00C32263">
        <w:rPr>
          <w:rFonts w:ascii="Times New Roman" w:hAnsi="Times New Roman" w:cs="Times New Roman"/>
          <w:i/>
          <w:iCs/>
          <w:noProof/>
          <w:sz w:val="24"/>
          <w:szCs w:val="24"/>
          <w:lang w:val="en-GB"/>
        </w:rPr>
        <w:t>Electrophoresis</w:t>
      </w:r>
      <w:r w:rsidRPr="00C32263">
        <w:rPr>
          <w:rFonts w:ascii="Times New Roman" w:hAnsi="Times New Roman" w:cs="Times New Roman"/>
          <w:noProof/>
          <w:sz w:val="24"/>
          <w:szCs w:val="24"/>
          <w:lang w:val="en-GB"/>
        </w:rPr>
        <w:t>, vol. 22, no. 13, pp. 2782–2785, 2001, doi: 10.1002/1522-2683(200108)22:13&lt;2782::AID-ELPS2782&gt;3.0.CO;2-I.</w:t>
      </w:r>
    </w:p>
    <w:p w14:paraId="012E9CA2" w14:textId="3FB5CA83"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i/>
          <w:iCs/>
          <w:noProof/>
          <w:sz w:val="24"/>
          <w:szCs w:val="24"/>
          <w:lang w:val="en-GB"/>
        </w:rPr>
      </w:pPr>
      <w:r w:rsidRPr="00C32263">
        <w:rPr>
          <w:rFonts w:ascii="Times New Roman" w:hAnsi="Times New Roman" w:cs="Times New Roman"/>
          <w:noProof/>
          <w:sz w:val="24"/>
          <w:szCs w:val="24"/>
          <w:lang w:val="en-GB"/>
        </w:rPr>
        <w:t>[58]</w:t>
      </w:r>
      <w:r w:rsidRPr="00C32263">
        <w:rPr>
          <w:rFonts w:ascii="Times New Roman" w:hAnsi="Times New Roman" w:cs="Times New Roman"/>
          <w:noProof/>
          <w:sz w:val="24"/>
          <w:szCs w:val="24"/>
          <w:lang w:val="en-GB"/>
        </w:rPr>
        <w:tab/>
        <w:t>R. Ricciarello</w:t>
      </w:r>
      <w:r w:rsidR="00C94936"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C94936" w:rsidRPr="00C32263">
        <w:rPr>
          <w:rFonts w:ascii="Times New Roman" w:hAnsi="Times New Roman" w:cs="Times New Roman"/>
          <w:noProof/>
          <w:sz w:val="24"/>
          <w:szCs w:val="24"/>
          <w:lang w:val="en-GB"/>
        </w:rPr>
        <w:t>S. Pichini , R. Pacifici , I. Altieri , M. Pellegrini , A. Fattorossi , P. Zuccaro</w:t>
      </w:r>
      <w:r w:rsidRPr="00C32263">
        <w:rPr>
          <w:rFonts w:ascii="Times New Roman" w:hAnsi="Times New Roman" w:cs="Times New Roman"/>
          <w:noProof/>
          <w:sz w:val="24"/>
          <w:szCs w:val="24"/>
          <w:lang w:val="en-GB"/>
        </w:rPr>
        <w:t xml:space="preserve">, “Simultaneous determination of epirubicin, doxorubicin and their principal metabolites in human plasma by high-performance liquid chromatography and electrochemical detection,” </w:t>
      </w:r>
      <w:r w:rsidRPr="00C32263">
        <w:rPr>
          <w:rFonts w:ascii="Times New Roman" w:hAnsi="Times New Roman" w:cs="Times New Roman"/>
          <w:i/>
          <w:iCs/>
          <w:noProof/>
          <w:sz w:val="24"/>
          <w:szCs w:val="24"/>
          <w:lang w:val="en-GB"/>
        </w:rPr>
        <w:t>J. Chromatogr. B Biomed. Appl.</w:t>
      </w:r>
      <w:r w:rsidRPr="00C32263">
        <w:rPr>
          <w:rFonts w:ascii="Times New Roman" w:hAnsi="Times New Roman" w:cs="Times New Roman"/>
          <w:noProof/>
          <w:sz w:val="24"/>
          <w:szCs w:val="24"/>
          <w:lang w:val="en-GB"/>
        </w:rPr>
        <w:t xml:space="preserve">, </w:t>
      </w:r>
      <w:r w:rsidRPr="00C32263">
        <w:rPr>
          <w:rFonts w:ascii="Times New Roman" w:hAnsi="Times New Roman" w:cs="Times New Roman"/>
          <w:noProof/>
          <w:sz w:val="24"/>
          <w:szCs w:val="24"/>
          <w:lang w:val="en-GB"/>
        </w:rPr>
        <w:lastRenderedPageBreak/>
        <w:t>vol. 707, no. 1–2, pp. 219–225, 1998, doi: 10.1016/S0378-4347(97)00610-5.</w:t>
      </w:r>
    </w:p>
    <w:p w14:paraId="743B9457"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[59]</w:t>
      </w:r>
      <w:r w:rsidRPr="00C32263">
        <w:rPr>
          <w:rFonts w:ascii="Times New Roman" w:hAnsi="Times New Roman" w:cs="Times New Roman"/>
          <w:noProof/>
          <w:sz w:val="24"/>
          <w:szCs w:val="24"/>
          <w:lang w:val="en-GB"/>
        </w:rPr>
        <w:tab/>
        <w:t>T. Hu, Q. Le, Z. Wu, and W. Wu, “Determination of doxorubicin in rabbit ocular tissues and pharmacokinetics after intravitreal injection of a single dose of doxorubicin-loaded poly-</w:t>
      </w:r>
      <w:r w:rsidRPr="00C5503B">
        <w:rPr>
          <w:rFonts w:ascii="Times New Roman" w:hAnsi="Times New Roman" w:cs="Times New Roman"/>
          <w:noProof/>
          <w:sz w:val="24"/>
          <w:szCs w:val="24"/>
        </w:rPr>
        <w:t>β</w:t>
      </w:r>
      <w:r w:rsidRPr="00C32263">
        <w:rPr>
          <w:rFonts w:ascii="Times New Roman" w:hAnsi="Times New Roman" w:cs="Times New Roman"/>
          <w:noProof/>
          <w:sz w:val="24"/>
          <w:szCs w:val="24"/>
          <w:lang w:val="en-GB"/>
        </w:rPr>
        <w:t xml:space="preserve">-hydroxybutyrate microspheres,” </w:t>
      </w:r>
      <w:r w:rsidRPr="00C32263">
        <w:rPr>
          <w:rFonts w:ascii="Times New Roman" w:hAnsi="Times New Roman" w:cs="Times New Roman"/>
          <w:i/>
          <w:iCs/>
          <w:noProof/>
          <w:sz w:val="24"/>
          <w:szCs w:val="24"/>
          <w:lang w:val="en-GB"/>
        </w:rPr>
        <w:t>J. Pharm. Biomed. Anal.</w:t>
      </w:r>
      <w:r w:rsidRPr="00C32263">
        <w:rPr>
          <w:rFonts w:ascii="Times New Roman" w:hAnsi="Times New Roman" w:cs="Times New Roman"/>
          <w:noProof/>
          <w:sz w:val="24"/>
          <w:szCs w:val="24"/>
          <w:lang w:val="en-GB"/>
        </w:rPr>
        <w:t>, vol. 43, no. 1, pp. 263–269, 2007, doi: 10.1016/j.jpba.2006.06.032.</w:t>
      </w:r>
    </w:p>
    <w:p w14:paraId="2CB6D53A" w14:textId="67694927" w:rsidR="00C5503B" w:rsidRPr="00C32263" w:rsidRDefault="00C5503B" w:rsidP="00A822FE">
      <w:pPr>
        <w:pStyle w:val="NormalnyWeb"/>
        <w:spacing w:before="0" w:beforeAutospacing="0" w:after="0" w:afterAutospacing="0" w:line="360" w:lineRule="auto"/>
        <w:ind w:left="851" w:hanging="851"/>
        <w:rPr>
          <w:lang w:val="en-GB"/>
        </w:rPr>
      </w:pPr>
      <w:r w:rsidRPr="00C32263">
        <w:rPr>
          <w:noProof/>
          <w:lang w:val="en-GB"/>
        </w:rPr>
        <w:t>[60]</w:t>
      </w:r>
      <w:r w:rsidRPr="00C32263">
        <w:rPr>
          <w:noProof/>
          <w:lang w:val="en-GB"/>
        </w:rPr>
        <w:tab/>
        <w:t>F. Suzuki</w:t>
      </w:r>
      <w:r w:rsidR="005C47BF" w:rsidRPr="00C32263">
        <w:rPr>
          <w:noProof/>
          <w:lang w:val="en-GB"/>
        </w:rPr>
        <w:t xml:space="preserve">, K. </w:t>
      </w:r>
      <w:r w:rsidR="008E0F4A" w:rsidRPr="00C32263">
        <w:rPr>
          <w:lang w:val="en-GB"/>
        </w:rPr>
        <w:t>Hashimoto</w:t>
      </w:r>
      <w:r w:rsidR="005C47BF" w:rsidRPr="00C32263">
        <w:rPr>
          <w:lang w:val="en-GB"/>
        </w:rPr>
        <w:t xml:space="preserve">, </w:t>
      </w:r>
      <w:r w:rsidR="00A822FE" w:rsidRPr="00C32263">
        <w:rPr>
          <w:lang w:val="en-GB"/>
        </w:rPr>
        <w:t xml:space="preserve">H. Kikuchi, H. Nishikawa,  H. Matsumoto,  J. Shimada, M. Kawase, K. Sunaga, T. Tsuda, K. Satoh, H. Sakagami, </w:t>
      </w:r>
      <w:r w:rsidRPr="00C32263">
        <w:rPr>
          <w:noProof/>
          <w:lang w:val="en-GB"/>
        </w:rPr>
        <w:t xml:space="preserve">“Induction of tumor-specific cytotoxicity and apoptosis by doxorubicin,” </w:t>
      </w:r>
      <w:r w:rsidRPr="00C32263">
        <w:rPr>
          <w:i/>
          <w:iCs/>
          <w:noProof/>
          <w:lang w:val="en-GB"/>
        </w:rPr>
        <w:t>Anticancer Res.</w:t>
      </w:r>
      <w:r w:rsidRPr="00C32263">
        <w:rPr>
          <w:noProof/>
          <w:lang w:val="en-GB"/>
        </w:rPr>
        <w:t>, vol. 25, no. 2 A, pp. 887–893, 2005.</w:t>
      </w:r>
    </w:p>
    <w:p w14:paraId="7D1EEE9A"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[61]</w:t>
      </w:r>
      <w:r w:rsidRPr="00C32263">
        <w:rPr>
          <w:rFonts w:ascii="Times New Roman" w:hAnsi="Times New Roman" w:cs="Times New Roman"/>
          <w:noProof/>
          <w:sz w:val="24"/>
          <w:szCs w:val="24"/>
          <w:lang w:val="en-GB"/>
        </w:rPr>
        <w:tab/>
        <w:t xml:space="preserve">C. Ritzmo, S. Söderhäll, J. Karlén, H. Nygren, and S. Eksborg, “Pharmacokinetics of doxorubicin and etoposide in a morbidly obese pediatric patient,” </w:t>
      </w:r>
      <w:r w:rsidRPr="00C32263">
        <w:rPr>
          <w:rFonts w:ascii="Times New Roman" w:hAnsi="Times New Roman" w:cs="Times New Roman"/>
          <w:i/>
          <w:iCs/>
          <w:noProof/>
          <w:sz w:val="24"/>
          <w:szCs w:val="24"/>
          <w:lang w:val="en-GB"/>
        </w:rPr>
        <w:t>Pediatr. Hematol. Oncol.</w:t>
      </w:r>
      <w:r w:rsidRPr="00C32263">
        <w:rPr>
          <w:rFonts w:ascii="Times New Roman" w:hAnsi="Times New Roman" w:cs="Times New Roman"/>
          <w:noProof/>
          <w:sz w:val="24"/>
          <w:szCs w:val="24"/>
          <w:lang w:val="en-GB"/>
        </w:rPr>
        <w:t>, vol. 24, no. 6, pp. 437–445, 2007, doi: 10.1080/08880010701451343.</w:t>
      </w:r>
    </w:p>
    <w:p w14:paraId="26B496AA"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[62]</w:t>
      </w:r>
      <w:r w:rsidRPr="00C32263">
        <w:rPr>
          <w:rFonts w:ascii="Times New Roman" w:hAnsi="Times New Roman" w:cs="Times New Roman"/>
          <w:noProof/>
          <w:sz w:val="24"/>
          <w:szCs w:val="24"/>
          <w:lang w:val="en-GB"/>
        </w:rPr>
        <w:tab/>
        <w:t xml:space="preserve">S. Eksborg, C. Palm, and O. Björk, “A comparative pharmacokinetic study of doxorubicin and 4’-epi-doxorubicin in children with acute lymphocytic leukemia using a limited sampling procedure,” </w:t>
      </w:r>
      <w:r w:rsidRPr="00C32263">
        <w:rPr>
          <w:rFonts w:ascii="Times New Roman" w:hAnsi="Times New Roman" w:cs="Times New Roman"/>
          <w:i/>
          <w:iCs/>
          <w:noProof/>
          <w:sz w:val="24"/>
          <w:szCs w:val="24"/>
          <w:lang w:val="en-GB"/>
        </w:rPr>
        <w:t>Anticancer. Drugs</w:t>
      </w:r>
      <w:r w:rsidRPr="00C32263">
        <w:rPr>
          <w:rFonts w:ascii="Times New Roman" w:hAnsi="Times New Roman" w:cs="Times New Roman"/>
          <w:noProof/>
          <w:sz w:val="24"/>
          <w:szCs w:val="24"/>
          <w:lang w:val="en-GB"/>
        </w:rPr>
        <w:t>, vol. 11, no. 2, pp. 129–136, 2000, doi: 10.1097/00001813-200002000-00010.</w:t>
      </w:r>
    </w:p>
    <w:p w14:paraId="7904B007"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[63]</w:t>
      </w:r>
      <w:r w:rsidRPr="00C32263">
        <w:rPr>
          <w:rFonts w:ascii="Times New Roman" w:hAnsi="Times New Roman" w:cs="Times New Roman"/>
          <w:noProof/>
          <w:sz w:val="24"/>
          <w:szCs w:val="24"/>
          <w:lang w:val="en-GB"/>
        </w:rPr>
        <w:tab/>
        <w:t xml:space="preserve">S. Eksborg, H. S. Strandler, F. Edsmyr, I. Näslund, and P. Tahvanainen, “Pharmacokinetic study of IV infusions of adriamycin,” </w:t>
      </w:r>
      <w:r w:rsidRPr="00C32263">
        <w:rPr>
          <w:rFonts w:ascii="Times New Roman" w:hAnsi="Times New Roman" w:cs="Times New Roman"/>
          <w:i/>
          <w:iCs/>
          <w:noProof/>
          <w:sz w:val="24"/>
          <w:szCs w:val="24"/>
          <w:lang w:val="en-GB"/>
        </w:rPr>
        <w:t>Eur. J. Clin. Pharmacol.</w:t>
      </w:r>
      <w:r w:rsidRPr="00C32263">
        <w:rPr>
          <w:rFonts w:ascii="Times New Roman" w:hAnsi="Times New Roman" w:cs="Times New Roman"/>
          <w:noProof/>
          <w:sz w:val="24"/>
          <w:szCs w:val="24"/>
          <w:lang w:val="en-GB"/>
        </w:rPr>
        <w:t>, vol. 28, no. 2, pp. 205–212, 1985, doi: 10.1007/BF00609693.</w:t>
      </w:r>
    </w:p>
    <w:p w14:paraId="43E1E631" w14:textId="041C1B9F"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[64]</w:t>
      </w:r>
      <w:r w:rsidRPr="00C32263">
        <w:rPr>
          <w:rFonts w:ascii="Times New Roman" w:hAnsi="Times New Roman" w:cs="Times New Roman"/>
          <w:noProof/>
          <w:sz w:val="24"/>
          <w:szCs w:val="24"/>
          <w:lang w:val="en-GB"/>
        </w:rPr>
        <w:tab/>
        <w:t>M. Krischke</w:t>
      </w:r>
      <w:r w:rsidR="00E47EF8"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170D6C" w:rsidRPr="00C32263">
        <w:rPr>
          <w:rFonts w:ascii="Times New Roman" w:hAnsi="Times New Roman" w:cs="Times New Roman"/>
          <w:noProof/>
          <w:sz w:val="24"/>
          <w:szCs w:val="24"/>
          <w:lang w:val="en-GB"/>
        </w:rPr>
        <w:t>G. Hempel, S. Völler, N. André,  M. D’Incalci,  G</w:t>
      </w:r>
      <w:r w:rsidR="00187C29" w:rsidRPr="00C32263">
        <w:rPr>
          <w:rFonts w:ascii="Times New Roman" w:hAnsi="Times New Roman" w:cs="Times New Roman"/>
          <w:noProof/>
          <w:sz w:val="24"/>
          <w:szCs w:val="24"/>
          <w:lang w:val="en-GB"/>
        </w:rPr>
        <w:t>.</w:t>
      </w:r>
      <w:r w:rsidR="00170D6C" w:rsidRPr="00C32263">
        <w:rPr>
          <w:rFonts w:ascii="Times New Roman" w:hAnsi="Times New Roman" w:cs="Times New Roman"/>
          <w:noProof/>
          <w:sz w:val="24"/>
          <w:szCs w:val="24"/>
          <w:lang w:val="en-GB"/>
        </w:rPr>
        <w:t xml:space="preserve"> Bisogno</w:t>
      </w:r>
      <w:r w:rsidR="00187C29" w:rsidRPr="00C32263">
        <w:rPr>
          <w:rFonts w:ascii="Times New Roman" w:hAnsi="Times New Roman" w:cs="Times New Roman"/>
          <w:noProof/>
          <w:sz w:val="24"/>
          <w:szCs w:val="24"/>
          <w:lang w:val="en-GB"/>
        </w:rPr>
        <w:t xml:space="preserve">, </w:t>
      </w:r>
      <w:r w:rsidR="00170D6C" w:rsidRPr="00C32263">
        <w:rPr>
          <w:rFonts w:ascii="Times New Roman" w:hAnsi="Times New Roman" w:cs="Times New Roman"/>
          <w:noProof/>
          <w:sz w:val="24"/>
          <w:szCs w:val="24"/>
          <w:lang w:val="en-GB"/>
        </w:rPr>
        <w:t xml:space="preserve"> W</w:t>
      </w:r>
      <w:r w:rsidR="00187C29" w:rsidRPr="00C32263">
        <w:rPr>
          <w:rFonts w:ascii="Times New Roman" w:hAnsi="Times New Roman" w:cs="Times New Roman"/>
          <w:noProof/>
          <w:sz w:val="24"/>
          <w:szCs w:val="24"/>
          <w:lang w:val="en-GB"/>
        </w:rPr>
        <w:t>.</w:t>
      </w:r>
      <w:r w:rsidR="00170D6C" w:rsidRPr="00C32263">
        <w:rPr>
          <w:rFonts w:ascii="Times New Roman" w:hAnsi="Times New Roman" w:cs="Times New Roman"/>
          <w:noProof/>
          <w:sz w:val="24"/>
          <w:szCs w:val="24"/>
          <w:lang w:val="en-GB"/>
        </w:rPr>
        <w:t xml:space="preserve"> Köpcke</w:t>
      </w:r>
      <w:r w:rsidR="00187C29" w:rsidRPr="00C32263">
        <w:rPr>
          <w:rFonts w:ascii="Times New Roman" w:hAnsi="Times New Roman" w:cs="Times New Roman"/>
          <w:noProof/>
          <w:sz w:val="24"/>
          <w:szCs w:val="24"/>
          <w:lang w:val="en-GB"/>
        </w:rPr>
        <w:t xml:space="preserve">, </w:t>
      </w:r>
      <w:r w:rsidR="00170D6C" w:rsidRPr="00C32263">
        <w:rPr>
          <w:rFonts w:ascii="Times New Roman" w:hAnsi="Times New Roman" w:cs="Times New Roman"/>
          <w:noProof/>
          <w:sz w:val="24"/>
          <w:szCs w:val="24"/>
          <w:lang w:val="en-GB"/>
        </w:rPr>
        <w:t>M</w:t>
      </w:r>
      <w:r w:rsidR="00187C29" w:rsidRPr="00C32263">
        <w:rPr>
          <w:rFonts w:ascii="Times New Roman" w:hAnsi="Times New Roman" w:cs="Times New Roman"/>
          <w:noProof/>
          <w:sz w:val="24"/>
          <w:szCs w:val="24"/>
          <w:lang w:val="en-GB"/>
        </w:rPr>
        <w:t>.</w:t>
      </w:r>
      <w:r w:rsidR="00170D6C" w:rsidRPr="00C32263">
        <w:rPr>
          <w:rFonts w:ascii="Times New Roman" w:hAnsi="Times New Roman" w:cs="Times New Roman"/>
          <w:noProof/>
          <w:sz w:val="24"/>
          <w:szCs w:val="24"/>
          <w:lang w:val="en-GB"/>
        </w:rPr>
        <w:t xml:space="preserve"> Borowski</w:t>
      </w:r>
      <w:r w:rsidR="00187C29" w:rsidRPr="00C32263">
        <w:rPr>
          <w:rFonts w:ascii="Times New Roman" w:hAnsi="Times New Roman" w:cs="Times New Roman"/>
          <w:noProof/>
          <w:sz w:val="24"/>
          <w:szCs w:val="24"/>
          <w:lang w:val="en-GB"/>
        </w:rPr>
        <w:t xml:space="preserve">, </w:t>
      </w:r>
      <w:r w:rsidR="00170D6C" w:rsidRPr="00C32263">
        <w:rPr>
          <w:rFonts w:ascii="Times New Roman" w:hAnsi="Times New Roman" w:cs="Times New Roman"/>
          <w:noProof/>
          <w:sz w:val="24"/>
          <w:szCs w:val="24"/>
          <w:lang w:val="en-GB"/>
        </w:rPr>
        <w:t>R</w:t>
      </w:r>
      <w:r w:rsidR="00187C29" w:rsidRPr="00C32263">
        <w:rPr>
          <w:rFonts w:ascii="Times New Roman" w:hAnsi="Times New Roman" w:cs="Times New Roman"/>
          <w:noProof/>
          <w:sz w:val="24"/>
          <w:szCs w:val="24"/>
          <w:lang w:val="en-GB"/>
        </w:rPr>
        <w:t>.</w:t>
      </w:r>
      <w:r w:rsidR="00170D6C" w:rsidRPr="00C32263">
        <w:rPr>
          <w:rFonts w:ascii="Times New Roman" w:hAnsi="Times New Roman" w:cs="Times New Roman"/>
          <w:noProof/>
          <w:sz w:val="24"/>
          <w:szCs w:val="24"/>
          <w:lang w:val="en-GB"/>
        </w:rPr>
        <w:t xml:space="preserve"> Herol</w:t>
      </w:r>
      <w:r w:rsidR="00187C29" w:rsidRPr="00C32263">
        <w:rPr>
          <w:rFonts w:ascii="Times New Roman" w:hAnsi="Times New Roman" w:cs="Times New Roman"/>
          <w:noProof/>
          <w:sz w:val="24"/>
          <w:szCs w:val="24"/>
          <w:lang w:val="en-GB"/>
        </w:rPr>
        <w:t>d,</w:t>
      </w:r>
      <w:r w:rsidR="00170D6C" w:rsidRPr="00C32263">
        <w:rPr>
          <w:rFonts w:ascii="Times New Roman" w:hAnsi="Times New Roman" w:cs="Times New Roman"/>
          <w:noProof/>
          <w:sz w:val="24"/>
          <w:szCs w:val="24"/>
          <w:lang w:val="en-GB"/>
        </w:rPr>
        <w:t xml:space="preserve"> A</w:t>
      </w:r>
      <w:r w:rsidR="00187C29" w:rsidRPr="00C32263">
        <w:rPr>
          <w:rFonts w:ascii="Times New Roman" w:hAnsi="Times New Roman" w:cs="Times New Roman"/>
          <w:noProof/>
          <w:sz w:val="24"/>
          <w:szCs w:val="24"/>
          <w:lang w:val="en-GB"/>
        </w:rPr>
        <w:t>.</w:t>
      </w:r>
      <w:r w:rsidR="00170D6C" w:rsidRPr="00C32263">
        <w:rPr>
          <w:rFonts w:ascii="Times New Roman" w:hAnsi="Times New Roman" w:cs="Times New Roman"/>
          <w:noProof/>
          <w:sz w:val="24"/>
          <w:szCs w:val="24"/>
          <w:lang w:val="en-GB"/>
        </w:rPr>
        <w:t xml:space="preserve"> V. Boddy</w:t>
      </w:r>
      <w:r w:rsidR="00187C29" w:rsidRPr="00C32263">
        <w:rPr>
          <w:rFonts w:ascii="Times New Roman" w:hAnsi="Times New Roman" w:cs="Times New Roman"/>
          <w:noProof/>
          <w:sz w:val="24"/>
          <w:szCs w:val="24"/>
          <w:lang w:val="en-GB"/>
        </w:rPr>
        <w:t xml:space="preserve">, </w:t>
      </w:r>
      <w:r w:rsidR="00170D6C" w:rsidRPr="00C32263">
        <w:rPr>
          <w:rFonts w:ascii="Times New Roman" w:hAnsi="Times New Roman" w:cs="Times New Roman"/>
          <w:noProof/>
          <w:sz w:val="24"/>
          <w:szCs w:val="24"/>
          <w:lang w:val="en-GB"/>
        </w:rPr>
        <w:t xml:space="preserve"> J</w:t>
      </w:r>
      <w:r w:rsidR="00187C29" w:rsidRPr="00C32263">
        <w:rPr>
          <w:rFonts w:ascii="Times New Roman" w:hAnsi="Times New Roman" w:cs="Times New Roman"/>
          <w:noProof/>
          <w:sz w:val="24"/>
          <w:szCs w:val="24"/>
          <w:lang w:val="en-GB"/>
        </w:rPr>
        <w:t>.</w:t>
      </w:r>
      <w:r w:rsidR="00170D6C" w:rsidRPr="00C32263">
        <w:rPr>
          <w:rFonts w:ascii="Times New Roman" w:hAnsi="Times New Roman" w:cs="Times New Roman"/>
          <w:noProof/>
          <w:sz w:val="24"/>
          <w:szCs w:val="24"/>
          <w:lang w:val="en-GB"/>
        </w:rPr>
        <w:t xml:space="preserve"> Boos</w:t>
      </w:r>
      <w:r w:rsidRPr="00C32263">
        <w:rPr>
          <w:rFonts w:ascii="Times New Roman" w:hAnsi="Times New Roman" w:cs="Times New Roman"/>
          <w:noProof/>
          <w:sz w:val="24"/>
          <w:szCs w:val="24"/>
          <w:lang w:val="en-GB"/>
        </w:rPr>
        <w:t xml:space="preserve">, “Pharmacokinetic and pharmacodynamic study of doxorubicin in children with cancer: results of a ‘European Pediatric Oncology Off-patents Medicines Consortium’ trial,” </w:t>
      </w:r>
      <w:r w:rsidRPr="00C32263">
        <w:rPr>
          <w:rFonts w:ascii="Times New Roman" w:hAnsi="Times New Roman" w:cs="Times New Roman"/>
          <w:i/>
          <w:iCs/>
          <w:noProof/>
          <w:sz w:val="24"/>
          <w:szCs w:val="24"/>
          <w:lang w:val="en-GB"/>
        </w:rPr>
        <w:t>Cancer Chemother. Pharmacol.</w:t>
      </w:r>
      <w:r w:rsidRPr="00C32263">
        <w:rPr>
          <w:rFonts w:ascii="Times New Roman" w:hAnsi="Times New Roman" w:cs="Times New Roman"/>
          <w:noProof/>
          <w:sz w:val="24"/>
          <w:szCs w:val="24"/>
          <w:lang w:val="en-GB"/>
        </w:rPr>
        <w:t>, vol. 78, no. 6, pp. 1175–1184, 2016, doi: 10.1007/s00280-016-3174-8.</w:t>
      </w:r>
    </w:p>
    <w:p w14:paraId="4C48C423"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[65]</w:t>
      </w:r>
      <w:r w:rsidRPr="00C32263">
        <w:rPr>
          <w:rFonts w:ascii="Times New Roman" w:hAnsi="Times New Roman" w:cs="Times New Roman"/>
          <w:noProof/>
          <w:sz w:val="24"/>
          <w:szCs w:val="24"/>
          <w:lang w:val="en-GB"/>
        </w:rPr>
        <w:tab/>
        <w:t xml:space="preserve">C. M. Camaggi, R. Comparsi, E. Strocchi, F. Testoni, and F. Pannuti, “HPLC analysis of doxorubicin, epirubicin and fluorescent metabolites in biological fluids,” </w:t>
      </w:r>
      <w:r w:rsidRPr="00C32263">
        <w:rPr>
          <w:rFonts w:ascii="Times New Roman" w:hAnsi="Times New Roman" w:cs="Times New Roman"/>
          <w:i/>
          <w:iCs/>
          <w:noProof/>
          <w:sz w:val="24"/>
          <w:szCs w:val="24"/>
          <w:lang w:val="en-GB"/>
        </w:rPr>
        <w:t>Cancer Chemother. Pharmacol.</w:t>
      </w:r>
      <w:r w:rsidRPr="00C32263">
        <w:rPr>
          <w:rFonts w:ascii="Times New Roman" w:hAnsi="Times New Roman" w:cs="Times New Roman"/>
          <w:noProof/>
          <w:sz w:val="24"/>
          <w:szCs w:val="24"/>
          <w:lang w:val="en-GB"/>
        </w:rPr>
        <w:t>, vol. 21, no. 3, pp. 216–220, 1988, doi: 10.1007/BF00262773.</w:t>
      </w:r>
    </w:p>
    <w:p w14:paraId="1E99407E"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[66]</w:t>
      </w:r>
      <w:r w:rsidRPr="00C32263">
        <w:rPr>
          <w:rFonts w:ascii="Times New Roman" w:hAnsi="Times New Roman" w:cs="Times New Roman"/>
          <w:noProof/>
          <w:sz w:val="24"/>
          <w:szCs w:val="24"/>
          <w:lang w:val="en-GB"/>
        </w:rPr>
        <w:tab/>
        <w:t xml:space="preserve">F. Lachâtre, P. Marquet, S. Ragot, J. M. Gaulier, P. Cardot, and J. L. Dupuy, </w:t>
      </w:r>
      <w:r w:rsidRPr="00C32263">
        <w:rPr>
          <w:rFonts w:ascii="Times New Roman" w:hAnsi="Times New Roman" w:cs="Times New Roman"/>
          <w:noProof/>
          <w:sz w:val="24"/>
          <w:szCs w:val="24"/>
          <w:lang w:val="en-GB"/>
        </w:rPr>
        <w:lastRenderedPageBreak/>
        <w:t xml:space="preserve">“Simultaneous determination of four anthracyclines and three metabolites in human serum by liquid chromatography-electrospray mass spectrometry,” </w:t>
      </w:r>
      <w:r w:rsidRPr="00C32263">
        <w:rPr>
          <w:rFonts w:ascii="Times New Roman" w:hAnsi="Times New Roman" w:cs="Times New Roman"/>
          <w:i/>
          <w:iCs/>
          <w:noProof/>
          <w:sz w:val="24"/>
          <w:szCs w:val="24"/>
          <w:lang w:val="en-GB"/>
        </w:rPr>
        <w:t>J. Chromatogr. B Biomed. Sci. Appl.</w:t>
      </w:r>
      <w:r w:rsidRPr="00C32263">
        <w:rPr>
          <w:rFonts w:ascii="Times New Roman" w:hAnsi="Times New Roman" w:cs="Times New Roman"/>
          <w:noProof/>
          <w:sz w:val="24"/>
          <w:szCs w:val="24"/>
          <w:lang w:val="en-GB"/>
        </w:rPr>
        <w:t>, vol. 738, no. 2, pp. 281–291, 2000, doi: 10.1016/S0378-4347(99)00529-0.</w:t>
      </w:r>
    </w:p>
    <w:p w14:paraId="784BEA13"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[67]</w:t>
      </w:r>
      <w:r w:rsidRPr="00C32263">
        <w:rPr>
          <w:rFonts w:ascii="Times New Roman" w:hAnsi="Times New Roman" w:cs="Times New Roman"/>
          <w:noProof/>
          <w:sz w:val="24"/>
          <w:szCs w:val="24"/>
          <w:lang w:val="en-GB"/>
        </w:rPr>
        <w:tab/>
        <w:t xml:space="preserve">S. Bermingham, R. O’Connor, F. Regan, and G. P. McMahon, “Simultaneous determination of anthracyclines and taxanes in human serum using online sample extraction coupled to high performance liquid chromatography with UV detection,” </w:t>
      </w:r>
      <w:r w:rsidRPr="00C32263">
        <w:rPr>
          <w:rFonts w:ascii="Times New Roman" w:hAnsi="Times New Roman" w:cs="Times New Roman"/>
          <w:i/>
          <w:iCs/>
          <w:noProof/>
          <w:sz w:val="24"/>
          <w:szCs w:val="24"/>
          <w:lang w:val="en-GB"/>
        </w:rPr>
        <w:t>J. Sep. Sci.</w:t>
      </w:r>
      <w:r w:rsidRPr="00C32263">
        <w:rPr>
          <w:rFonts w:ascii="Times New Roman" w:hAnsi="Times New Roman" w:cs="Times New Roman"/>
          <w:noProof/>
          <w:sz w:val="24"/>
          <w:szCs w:val="24"/>
          <w:lang w:val="en-GB"/>
        </w:rPr>
        <w:t>, vol. 33, no. 11, pp. 1571–1579, 2010, doi: 10.1002/jssc.201000026.</w:t>
      </w:r>
    </w:p>
    <w:p w14:paraId="135FE5F9" w14:textId="1B65D8E1"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[68]</w:t>
      </w:r>
      <w:r w:rsidRPr="00C32263">
        <w:rPr>
          <w:rFonts w:ascii="Times New Roman" w:hAnsi="Times New Roman" w:cs="Times New Roman"/>
          <w:noProof/>
          <w:sz w:val="24"/>
          <w:szCs w:val="24"/>
          <w:lang w:val="en-GB"/>
        </w:rPr>
        <w:tab/>
        <w:t>S. Fogli</w:t>
      </w:r>
      <w:r w:rsidR="007F39AA" w:rsidRPr="00C32263">
        <w:rPr>
          <w:rFonts w:ascii="Times New Roman" w:hAnsi="Times New Roman" w:cs="Times New Roman"/>
          <w:i/>
          <w:iCs/>
          <w:noProof/>
          <w:sz w:val="24"/>
          <w:szCs w:val="24"/>
          <w:lang w:val="en-GB"/>
        </w:rPr>
        <w:t xml:space="preserve">, </w:t>
      </w:r>
      <w:r w:rsidR="007F39AA" w:rsidRPr="00C32263">
        <w:rPr>
          <w:rFonts w:ascii="Times New Roman" w:hAnsi="Times New Roman" w:cs="Times New Roman"/>
          <w:noProof/>
          <w:sz w:val="24"/>
          <w:szCs w:val="24"/>
          <w:lang w:val="en-GB"/>
        </w:rPr>
        <w:t>R. Danesi, F. Innocenti, A. Di Paolo, G. Bocci, C. Barbara, M. Del Tacca</w:t>
      </w:r>
      <w:r w:rsidRPr="00C32263">
        <w:rPr>
          <w:rFonts w:ascii="Times New Roman" w:hAnsi="Times New Roman" w:cs="Times New Roman"/>
          <w:noProof/>
          <w:sz w:val="24"/>
          <w:szCs w:val="24"/>
          <w:lang w:val="en-GB"/>
        </w:rPr>
        <w:t xml:space="preserve">, “An improved HPLC method for therapeutic drug monitoring of daunorubicin, idarubicin, doxorubicin, epirubicin, and their 13-dihydro metabolites in human plasma,” </w:t>
      </w:r>
      <w:r w:rsidRPr="00C32263">
        <w:rPr>
          <w:rFonts w:ascii="Times New Roman" w:hAnsi="Times New Roman" w:cs="Times New Roman"/>
          <w:i/>
          <w:iCs/>
          <w:noProof/>
          <w:sz w:val="24"/>
          <w:szCs w:val="24"/>
          <w:lang w:val="en-GB"/>
        </w:rPr>
        <w:t>Ther. Drug Monit.</w:t>
      </w:r>
      <w:r w:rsidRPr="00C32263">
        <w:rPr>
          <w:rFonts w:ascii="Times New Roman" w:hAnsi="Times New Roman" w:cs="Times New Roman"/>
          <w:noProof/>
          <w:sz w:val="24"/>
          <w:szCs w:val="24"/>
          <w:lang w:val="en-GB"/>
        </w:rPr>
        <w:t>, vol. 21, no. 3, pp. 367–375, 1999, doi: 10.1097/00007691-199906000-00022.</w:t>
      </w:r>
    </w:p>
    <w:p w14:paraId="610639BA" w14:textId="3F75E3F2"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[69]</w:t>
      </w:r>
      <w:r w:rsidRPr="00C32263">
        <w:rPr>
          <w:rFonts w:ascii="Times New Roman" w:hAnsi="Times New Roman" w:cs="Times New Roman"/>
          <w:noProof/>
          <w:sz w:val="24"/>
          <w:szCs w:val="24"/>
          <w:lang w:val="en-GB"/>
        </w:rPr>
        <w:tab/>
        <w:t xml:space="preserve">I. K. Barker, S. M. Crawford, A. F. Fell, “Determination of plasma concentrations of epirubicin and its metabolites by high-performance liquid chromatography during a 96-h infusion in cancer chemotherapy,” </w:t>
      </w:r>
      <w:r w:rsidRPr="00C32263">
        <w:rPr>
          <w:rFonts w:ascii="Times New Roman" w:hAnsi="Times New Roman" w:cs="Times New Roman"/>
          <w:i/>
          <w:iCs/>
          <w:noProof/>
          <w:sz w:val="24"/>
          <w:szCs w:val="24"/>
          <w:lang w:val="en-GB"/>
        </w:rPr>
        <w:t>J. Chromatogr. B Biomed. Appl.</w:t>
      </w:r>
      <w:r w:rsidRPr="00C32263">
        <w:rPr>
          <w:rFonts w:ascii="Times New Roman" w:hAnsi="Times New Roman" w:cs="Times New Roman"/>
          <w:noProof/>
          <w:sz w:val="24"/>
          <w:szCs w:val="24"/>
          <w:lang w:val="en-GB"/>
        </w:rPr>
        <w:t>, vol. 681, no. 2, pp. 323–329, 1996, doi: 10.1016/0378-4347(96)00030-8.</w:t>
      </w:r>
    </w:p>
    <w:p w14:paraId="46E17E38" w14:textId="1AD9916A"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[70]</w:t>
      </w:r>
      <w:r w:rsidRPr="00C32263">
        <w:rPr>
          <w:rFonts w:ascii="Times New Roman" w:hAnsi="Times New Roman" w:cs="Times New Roman"/>
          <w:noProof/>
          <w:sz w:val="24"/>
          <w:szCs w:val="24"/>
          <w:lang w:val="en-GB"/>
        </w:rPr>
        <w:tab/>
        <w:t xml:space="preserve">R. Li, L. Dong, J. Huang, “Hydrophilic interaction chromatographic determination of epirubicin in human plasma using solid phase extraction for sample clean-up,” </w:t>
      </w:r>
      <w:r w:rsidRPr="00C32263">
        <w:rPr>
          <w:rFonts w:ascii="Times New Roman" w:hAnsi="Times New Roman" w:cs="Times New Roman"/>
          <w:i/>
          <w:iCs/>
          <w:noProof/>
          <w:sz w:val="24"/>
          <w:szCs w:val="24"/>
          <w:lang w:val="en-GB"/>
        </w:rPr>
        <w:t>J. Liq. Chromatogr. Relat. Technol.</w:t>
      </w:r>
      <w:r w:rsidRPr="00C32263">
        <w:rPr>
          <w:rFonts w:ascii="Times New Roman" w:hAnsi="Times New Roman" w:cs="Times New Roman"/>
          <w:noProof/>
          <w:sz w:val="24"/>
          <w:szCs w:val="24"/>
          <w:lang w:val="en-GB"/>
        </w:rPr>
        <w:t>, vol. 30, no. 16, pp. 2409–2418, 2007, doi: 10.1080/10826070701465654.</w:t>
      </w:r>
    </w:p>
    <w:p w14:paraId="53B40887" w14:textId="55D857B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[71]</w:t>
      </w:r>
      <w:r w:rsidRPr="00C32263">
        <w:rPr>
          <w:rFonts w:ascii="Times New Roman" w:hAnsi="Times New Roman" w:cs="Times New Roman"/>
          <w:noProof/>
          <w:sz w:val="24"/>
          <w:szCs w:val="24"/>
          <w:lang w:val="en-GB"/>
        </w:rPr>
        <w:tab/>
        <w:t xml:space="preserve">C. Sottani </w:t>
      </w:r>
      <w:r w:rsidR="00C953F5" w:rsidRPr="00C32263">
        <w:rPr>
          <w:rFonts w:ascii="Times New Roman" w:hAnsi="Times New Roman" w:cs="Times New Roman"/>
          <w:i/>
          <w:iCs/>
          <w:noProof/>
          <w:sz w:val="24"/>
          <w:szCs w:val="24"/>
          <w:lang w:val="en-GB"/>
        </w:rPr>
        <w:t>E. Leonia, B. Porroa, B. Montagnab, A. Amatub, F. Sottotettib, P. Quarettic, G. Poggib, C. Minoia</w:t>
      </w:r>
      <w:r w:rsidRPr="00C32263">
        <w:rPr>
          <w:rFonts w:ascii="Times New Roman" w:hAnsi="Times New Roman" w:cs="Times New Roman"/>
          <w:noProof/>
          <w:sz w:val="24"/>
          <w:szCs w:val="24"/>
          <w:lang w:val="en-GB"/>
        </w:rPr>
        <w:t xml:space="preserve">, “Validation of an LC-MS/MS method for the determination of epirubicin in human serum of patients undergoing Drug Eluting Microsphere-Transarterial Chemoembolization (DEM-TACE),”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877, no. 29, pp. 3543–3548, 2009, doi: 10.1016/j.jchromb.2009.08.054.</w:t>
      </w:r>
    </w:p>
    <w:p w14:paraId="3CB8093F" w14:textId="595934E6"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[72]</w:t>
      </w:r>
      <w:r w:rsidRPr="00C32263">
        <w:rPr>
          <w:rFonts w:ascii="Times New Roman" w:hAnsi="Times New Roman" w:cs="Times New Roman"/>
          <w:noProof/>
          <w:sz w:val="24"/>
          <w:szCs w:val="24"/>
          <w:lang w:val="en-GB"/>
        </w:rPr>
        <w:tab/>
        <w:t xml:space="preserve">W. I. W. Dodde </w:t>
      </w:r>
      <w:r w:rsidR="00B06316" w:rsidRPr="00C32263">
        <w:rPr>
          <w:rFonts w:ascii="Times New Roman" w:hAnsi="Times New Roman" w:cs="Times New Roman"/>
          <w:noProof/>
          <w:sz w:val="24"/>
          <w:szCs w:val="24"/>
          <w:lang w:val="en-GB"/>
        </w:rPr>
        <w:t>J. G. Maring, G. Hendriks, F. M. Wachters, H. J. M. Groen, E. G. E. de Vries, D. R. A. Uges</w:t>
      </w:r>
      <w:r w:rsidRPr="00C32263">
        <w:rPr>
          <w:rFonts w:ascii="Times New Roman" w:hAnsi="Times New Roman" w:cs="Times New Roman"/>
          <w:noProof/>
          <w:sz w:val="24"/>
          <w:szCs w:val="24"/>
          <w:lang w:val="en-GB"/>
        </w:rPr>
        <w:t xml:space="preserve">, “Determination of epirubicin and its metabolite epirubicinol in saliva and plasma by HPLC,” </w:t>
      </w:r>
      <w:r w:rsidRPr="00C32263">
        <w:rPr>
          <w:rFonts w:ascii="Times New Roman" w:hAnsi="Times New Roman" w:cs="Times New Roman"/>
          <w:i/>
          <w:iCs/>
          <w:noProof/>
          <w:sz w:val="24"/>
          <w:szCs w:val="24"/>
          <w:lang w:val="en-GB"/>
        </w:rPr>
        <w:t>Ther. Drug Monit.</w:t>
      </w:r>
      <w:r w:rsidRPr="00C32263">
        <w:rPr>
          <w:rFonts w:ascii="Times New Roman" w:hAnsi="Times New Roman" w:cs="Times New Roman"/>
          <w:noProof/>
          <w:sz w:val="24"/>
          <w:szCs w:val="24"/>
          <w:lang w:val="en-GB"/>
        </w:rPr>
        <w:t xml:space="preserve">, vol. 25, no. 4, </w:t>
      </w:r>
      <w:r w:rsidRPr="00C32263">
        <w:rPr>
          <w:rFonts w:ascii="Times New Roman" w:hAnsi="Times New Roman" w:cs="Times New Roman"/>
          <w:noProof/>
          <w:sz w:val="24"/>
          <w:szCs w:val="24"/>
          <w:lang w:val="en-GB"/>
        </w:rPr>
        <w:lastRenderedPageBreak/>
        <w:t>pp. 433–440, 2003, doi: 10.1097/00007691-200308000-00003.</w:t>
      </w:r>
    </w:p>
    <w:p w14:paraId="7B47866E"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[73]</w:t>
      </w:r>
      <w:r w:rsidRPr="00C32263">
        <w:rPr>
          <w:rFonts w:ascii="Times New Roman" w:hAnsi="Times New Roman" w:cs="Times New Roman"/>
          <w:noProof/>
          <w:sz w:val="24"/>
          <w:szCs w:val="24"/>
          <w:lang w:val="en-GB"/>
        </w:rPr>
        <w:tab/>
        <w:t xml:space="preserve">K. E. Maudens, C. P. Stove, V. F. J. Cocquyt, H. Denys, and W. E. Lambert, “Development and validation of a liquid chromatographic method for the simultaneous determination of four anthracyclines and their respective 13-S-dihydro metabolites in plasma and saliva,”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877, no. 30, pp. 3907–3915, 2009, doi: 10.1016/j.jchromb.2009.09.044.</w:t>
      </w:r>
    </w:p>
    <w:p w14:paraId="01FD3448"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[74]</w:t>
      </w:r>
      <w:r w:rsidRPr="00C32263">
        <w:rPr>
          <w:rFonts w:ascii="Times New Roman" w:hAnsi="Times New Roman" w:cs="Times New Roman"/>
          <w:noProof/>
          <w:sz w:val="24"/>
          <w:szCs w:val="24"/>
          <w:lang w:val="en-GB"/>
        </w:rPr>
        <w:tab/>
        <w:t xml:space="preserve">N. A. Dobbs and C. J. Twelves, “Measurement of epidoxorubicin and its metabolites by high-performance liquid chromatography using an advanced automated sample processor,” </w:t>
      </w:r>
      <w:r w:rsidRPr="00C32263">
        <w:rPr>
          <w:rFonts w:ascii="Times New Roman" w:hAnsi="Times New Roman" w:cs="Times New Roman"/>
          <w:i/>
          <w:iCs/>
          <w:noProof/>
          <w:sz w:val="24"/>
          <w:szCs w:val="24"/>
          <w:lang w:val="en-GB"/>
        </w:rPr>
        <w:t>J. Chromatogr. B Biomed. Sci. Appl.</w:t>
      </w:r>
      <w:r w:rsidRPr="00C32263">
        <w:rPr>
          <w:rFonts w:ascii="Times New Roman" w:hAnsi="Times New Roman" w:cs="Times New Roman"/>
          <w:noProof/>
          <w:sz w:val="24"/>
          <w:szCs w:val="24"/>
          <w:lang w:val="en-GB"/>
        </w:rPr>
        <w:t>, vol. 572, no. 1–2, pp. 211–217, 1991, doi: 10.1016/0378-4347(91)80485-U.</w:t>
      </w:r>
    </w:p>
    <w:p w14:paraId="69CB6D9E"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[75]</w:t>
      </w:r>
      <w:r w:rsidRPr="00C32263">
        <w:rPr>
          <w:rFonts w:ascii="Times New Roman" w:hAnsi="Times New Roman" w:cs="Times New Roman"/>
          <w:noProof/>
          <w:sz w:val="24"/>
          <w:szCs w:val="24"/>
          <w:lang w:val="en-GB"/>
        </w:rPr>
        <w:tab/>
        <w:t xml:space="preserve">T. Dine, C. Brunet, M. Luyckx, M. Cazin, P. Gosselin, and J. L. Cazin, “Rapid quantitative determination of epirubicin and its metabolites in plasma using high performance liquid chromatography and fluorescence detection,” </w:t>
      </w:r>
      <w:r w:rsidRPr="00C32263">
        <w:rPr>
          <w:rFonts w:ascii="Times New Roman" w:hAnsi="Times New Roman" w:cs="Times New Roman"/>
          <w:i/>
          <w:iCs/>
          <w:noProof/>
          <w:sz w:val="24"/>
          <w:szCs w:val="24"/>
          <w:lang w:val="en-GB"/>
        </w:rPr>
        <w:t>Biomed. Chromatogr.</w:t>
      </w:r>
      <w:r w:rsidRPr="00C32263">
        <w:rPr>
          <w:rFonts w:ascii="Times New Roman" w:hAnsi="Times New Roman" w:cs="Times New Roman"/>
          <w:noProof/>
          <w:sz w:val="24"/>
          <w:szCs w:val="24"/>
          <w:lang w:val="en-GB"/>
        </w:rPr>
        <w:t>, vol. 4, no. 1, pp. 20–23, 1990, doi: 10.1002/bmc.1130040103.</w:t>
      </w:r>
    </w:p>
    <w:p w14:paraId="3C3940D6"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[76]</w:t>
      </w:r>
      <w:r w:rsidRPr="00C32263">
        <w:rPr>
          <w:rFonts w:ascii="Times New Roman" w:hAnsi="Times New Roman" w:cs="Times New Roman"/>
          <w:noProof/>
          <w:sz w:val="24"/>
          <w:szCs w:val="24"/>
          <w:lang w:val="en-GB"/>
        </w:rPr>
        <w:tab/>
        <w:t xml:space="preserve">R. Wall, G. McMahon, J. Crown, M. Clynes, and R. O’Connor, “Rapid and sensitive liquid chromatography-tandem mass spectrometry for the quantitation of epirubicin and identification of metabolites in biological samples,” </w:t>
      </w:r>
      <w:r w:rsidRPr="00C32263">
        <w:rPr>
          <w:rFonts w:ascii="Times New Roman" w:hAnsi="Times New Roman" w:cs="Times New Roman"/>
          <w:i/>
          <w:iCs/>
          <w:noProof/>
          <w:sz w:val="24"/>
          <w:szCs w:val="24"/>
          <w:lang w:val="en-GB"/>
        </w:rPr>
        <w:t>Talanta</w:t>
      </w:r>
      <w:r w:rsidRPr="00C32263">
        <w:rPr>
          <w:rFonts w:ascii="Times New Roman" w:hAnsi="Times New Roman" w:cs="Times New Roman"/>
          <w:noProof/>
          <w:sz w:val="24"/>
          <w:szCs w:val="24"/>
          <w:lang w:val="en-GB"/>
        </w:rPr>
        <w:t>, vol. 72, no. 1, pp. 145–154, 2007, doi: 10.1016/j.talanta.2006.10.010.</w:t>
      </w:r>
    </w:p>
    <w:p w14:paraId="7B791493"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[77]</w:t>
      </w:r>
      <w:r w:rsidRPr="00C32263">
        <w:rPr>
          <w:rFonts w:ascii="Times New Roman" w:hAnsi="Times New Roman" w:cs="Times New Roman"/>
          <w:noProof/>
          <w:sz w:val="24"/>
          <w:szCs w:val="24"/>
          <w:lang w:val="en-GB"/>
        </w:rPr>
        <w:tab/>
        <w:t xml:space="preserve">G. Nicholls, B. J. Clark, and J. E. Brown, “Solid-phase extraction and optimized separation of doxorubicin, epirubicin and their metabolites using reversed-phase high-performance liquid chromatography,” </w:t>
      </w:r>
      <w:r w:rsidRPr="00C32263">
        <w:rPr>
          <w:rFonts w:ascii="Times New Roman" w:hAnsi="Times New Roman" w:cs="Times New Roman"/>
          <w:i/>
          <w:iCs/>
          <w:noProof/>
          <w:sz w:val="24"/>
          <w:szCs w:val="24"/>
          <w:lang w:val="en-GB"/>
        </w:rPr>
        <w:t>J. Pharm. Biomed. Anal.</w:t>
      </w:r>
      <w:r w:rsidRPr="00C32263">
        <w:rPr>
          <w:rFonts w:ascii="Times New Roman" w:hAnsi="Times New Roman" w:cs="Times New Roman"/>
          <w:noProof/>
          <w:sz w:val="24"/>
          <w:szCs w:val="24"/>
          <w:lang w:val="en-GB"/>
        </w:rPr>
        <w:t>, vol. 10, no. 10–12, pp. 949–957, 1992, doi: 10.1016/0731-7085(91)80104-H.</w:t>
      </w:r>
    </w:p>
    <w:p w14:paraId="6F174C80"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[78]</w:t>
      </w:r>
      <w:r w:rsidRPr="00C32263">
        <w:rPr>
          <w:rFonts w:ascii="Times New Roman" w:hAnsi="Times New Roman" w:cs="Times New Roman"/>
          <w:noProof/>
          <w:sz w:val="24"/>
          <w:szCs w:val="24"/>
          <w:lang w:val="en-GB"/>
        </w:rPr>
        <w:tab/>
        <w:t xml:space="preserve">G. Fabrizi, M. Fioretti, and L. Mainero Rocca, “Dispersive solid-phase extraction procedure coupled to UPLC-ESI-MS/MS analysis for the simultaneous determination of thirteen cytotoxic drugs in human urine,” </w:t>
      </w:r>
      <w:r w:rsidRPr="00C32263">
        <w:rPr>
          <w:rFonts w:ascii="Times New Roman" w:hAnsi="Times New Roman" w:cs="Times New Roman"/>
          <w:i/>
          <w:iCs/>
          <w:noProof/>
          <w:sz w:val="24"/>
          <w:szCs w:val="24"/>
          <w:lang w:val="en-GB"/>
        </w:rPr>
        <w:t>Biomed. Chromatogr.</w:t>
      </w:r>
      <w:r w:rsidRPr="00C32263">
        <w:rPr>
          <w:rFonts w:ascii="Times New Roman" w:hAnsi="Times New Roman" w:cs="Times New Roman"/>
          <w:noProof/>
          <w:sz w:val="24"/>
          <w:szCs w:val="24"/>
          <w:lang w:val="en-GB"/>
        </w:rPr>
        <w:t>, vol. 30, no. 8, pp. 1297–1308, 2016, doi: 10.1002/bmc.3684.</w:t>
      </w:r>
    </w:p>
    <w:p w14:paraId="6BDEC980"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[79]</w:t>
      </w:r>
      <w:r w:rsidRPr="00C32263">
        <w:rPr>
          <w:rFonts w:ascii="Times New Roman" w:hAnsi="Times New Roman" w:cs="Times New Roman"/>
          <w:noProof/>
          <w:sz w:val="24"/>
          <w:szCs w:val="24"/>
          <w:lang w:val="en-GB"/>
        </w:rPr>
        <w:tab/>
        <w:t xml:space="preserve">R. Li, L. Dong, and J. Huang, “Ultra performance liquid chromatography-tandem mass spectrometry for the determination of epirubicin in human plasma,” </w:t>
      </w:r>
      <w:r w:rsidRPr="00C32263">
        <w:rPr>
          <w:rFonts w:ascii="Times New Roman" w:hAnsi="Times New Roman" w:cs="Times New Roman"/>
          <w:i/>
          <w:iCs/>
          <w:noProof/>
          <w:sz w:val="24"/>
          <w:szCs w:val="24"/>
          <w:lang w:val="en-GB"/>
        </w:rPr>
        <w:t>Anal. Chim. Acta</w:t>
      </w:r>
      <w:r w:rsidRPr="00C32263">
        <w:rPr>
          <w:rFonts w:ascii="Times New Roman" w:hAnsi="Times New Roman" w:cs="Times New Roman"/>
          <w:noProof/>
          <w:sz w:val="24"/>
          <w:szCs w:val="24"/>
          <w:lang w:val="en-GB"/>
        </w:rPr>
        <w:t>, vol. 546, no. 2, pp. 167–173, 2005, doi: 10.1016/j.aca.2005.04.073.</w:t>
      </w:r>
    </w:p>
    <w:p w14:paraId="5CE52F35"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[80]</w:t>
      </w:r>
      <w:r w:rsidRPr="00C32263">
        <w:rPr>
          <w:rFonts w:ascii="Times New Roman" w:hAnsi="Times New Roman" w:cs="Times New Roman"/>
          <w:noProof/>
          <w:sz w:val="24"/>
          <w:szCs w:val="24"/>
          <w:lang w:val="en-GB"/>
        </w:rPr>
        <w:tab/>
        <w:t xml:space="preserve">D. H. Shin, S. H. Park, O. S. Kwon, C. W. Park, K. Han, and Y. B. Chung, </w:t>
      </w:r>
      <w:r w:rsidRPr="00C32263">
        <w:rPr>
          <w:rFonts w:ascii="Times New Roman" w:hAnsi="Times New Roman" w:cs="Times New Roman"/>
          <w:noProof/>
          <w:sz w:val="24"/>
          <w:szCs w:val="24"/>
          <w:lang w:val="en-GB"/>
        </w:rPr>
        <w:lastRenderedPageBreak/>
        <w:t xml:space="preserve">“Validation of high-performance liqid chromatography method to determine epirubicin and its pharmacokinetics after intravenous bolus administration in rats,” </w:t>
      </w:r>
      <w:r w:rsidRPr="00C32263">
        <w:rPr>
          <w:rFonts w:ascii="Times New Roman" w:hAnsi="Times New Roman" w:cs="Times New Roman"/>
          <w:i/>
          <w:iCs/>
          <w:noProof/>
          <w:sz w:val="24"/>
          <w:szCs w:val="24"/>
          <w:lang w:val="en-GB"/>
        </w:rPr>
        <w:t>J. Pharm. Investig.</w:t>
      </w:r>
      <w:r w:rsidRPr="00C32263">
        <w:rPr>
          <w:rFonts w:ascii="Times New Roman" w:hAnsi="Times New Roman" w:cs="Times New Roman"/>
          <w:noProof/>
          <w:sz w:val="24"/>
          <w:szCs w:val="24"/>
          <w:lang w:val="en-GB"/>
        </w:rPr>
        <w:t>, vol. 43, no. 3, pp. 243–249, 2013, doi: 10.1007/s40005-013-0076-1.</w:t>
      </w:r>
    </w:p>
    <w:p w14:paraId="5F50D9E5"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[81]</w:t>
      </w:r>
      <w:r w:rsidRPr="00C32263">
        <w:rPr>
          <w:rFonts w:ascii="Times New Roman" w:hAnsi="Times New Roman" w:cs="Times New Roman"/>
          <w:noProof/>
          <w:sz w:val="24"/>
          <w:szCs w:val="24"/>
          <w:lang w:val="en-GB"/>
        </w:rPr>
        <w:tab/>
        <w:t>E. Schleyer, S. Budeus, and C. Rolff, “Idarubicin Pharmacokinetics,” pp. 617–624, 1992.</w:t>
      </w:r>
    </w:p>
    <w:p w14:paraId="3BC417A2"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[82]</w:t>
      </w:r>
      <w:r w:rsidRPr="00C32263">
        <w:rPr>
          <w:rFonts w:ascii="Times New Roman" w:hAnsi="Times New Roman" w:cs="Times New Roman"/>
          <w:noProof/>
          <w:sz w:val="24"/>
          <w:szCs w:val="24"/>
          <w:lang w:val="en-GB"/>
        </w:rPr>
        <w:tab/>
        <w:t xml:space="preserve">C. M. Camaggi, P. Carisi, E. Strocchi, and F. Pannuti, “High-Performance Liquid-Chromatographic Analysis of Idarubicin and Fluorescent Metabolites in Biological-Fluids,” </w:t>
      </w:r>
      <w:r w:rsidRPr="00C32263">
        <w:rPr>
          <w:rFonts w:ascii="Times New Roman" w:hAnsi="Times New Roman" w:cs="Times New Roman"/>
          <w:i/>
          <w:iCs/>
          <w:noProof/>
          <w:sz w:val="24"/>
          <w:szCs w:val="24"/>
          <w:lang w:val="en-GB"/>
        </w:rPr>
        <w:t>Cancer Chemother. Pharmacol.</w:t>
      </w:r>
      <w:r w:rsidRPr="00C32263">
        <w:rPr>
          <w:rFonts w:ascii="Times New Roman" w:hAnsi="Times New Roman" w:cs="Times New Roman"/>
          <w:noProof/>
          <w:sz w:val="24"/>
          <w:szCs w:val="24"/>
          <w:lang w:val="en-GB"/>
        </w:rPr>
        <w:t>, vol. 30, no. 4, pp. 303–306, 1992.</w:t>
      </w:r>
    </w:p>
    <w:p w14:paraId="6CCB7BD7"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[83]</w:t>
      </w:r>
      <w:r w:rsidRPr="00C32263">
        <w:rPr>
          <w:rFonts w:ascii="Times New Roman" w:hAnsi="Times New Roman" w:cs="Times New Roman"/>
          <w:noProof/>
          <w:sz w:val="24"/>
          <w:szCs w:val="24"/>
          <w:lang w:val="en-GB"/>
        </w:rPr>
        <w:tab/>
        <w:t xml:space="preserve">O. Kuhlmann, S. Hofmann, and M. Weiss, “Determination of idarubicin and idarubicinol in rat plasma using reversed-phase high-performance liquid chromatography and fluorescence detection.,” </w:t>
      </w:r>
      <w:r w:rsidRPr="00C32263">
        <w:rPr>
          <w:rFonts w:ascii="Times New Roman" w:hAnsi="Times New Roman" w:cs="Times New Roman"/>
          <w:i/>
          <w:iCs/>
          <w:noProof/>
          <w:sz w:val="24"/>
          <w:szCs w:val="24"/>
          <w:lang w:val="en-GB"/>
        </w:rPr>
        <w:t>J. Chromatogr. B. Biomed. Sci. Appl.</w:t>
      </w:r>
      <w:r w:rsidRPr="00C32263">
        <w:rPr>
          <w:rFonts w:ascii="Times New Roman" w:hAnsi="Times New Roman" w:cs="Times New Roman"/>
          <w:noProof/>
          <w:sz w:val="24"/>
          <w:szCs w:val="24"/>
          <w:lang w:val="en-GB"/>
        </w:rPr>
        <w:t>, vol. 728, no. 2, pp. 279–82, 1999, doi: 10.1016/S0378-4347(99)00107-3.</w:t>
      </w:r>
    </w:p>
    <w:p w14:paraId="555AC6B7"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[84]</w:t>
      </w:r>
      <w:r w:rsidRPr="00C32263">
        <w:rPr>
          <w:rFonts w:ascii="Times New Roman" w:hAnsi="Times New Roman" w:cs="Times New Roman"/>
          <w:noProof/>
          <w:sz w:val="24"/>
          <w:szCs w:val="24"/>
          <w:lang w:val="en-GB"/>
        </w:rPr>
        <w:tab/>
        <w:t xml:space="preserve">E. Schleyer </w:t>
      </w:r>
      <w:r w:rsidRPr="00C32263">
        <w:rPr>
          <w:rFonts w:ascii="Times New Roman" w:hAnsi="Times New Roman" w:cs="Times New Roman"/>
          <w:i/>
          <w:iCs/>
          <w:noProof/>
          <w:sz w:val="24"/>
          <w:szCs w:val="24"/>
          <w:lang w:val="en-GB"/>
        </w:rPr>
        <w:t>et al.</w:t>
      </w:r>
      <w:r w:rsidRPr="00C32263">
        <w:rPr>
          <w:rFonts w:ascii="Times New Roman" w:hAnsi="Times New Roman" w:cs="Times New Roman"/>
          <w:noProof/>
          <w:sz w:val="24"/>
          <w:szCs w:val="24"/>
          <w:lang w:val="en-GB"/>
        </w:rPr>
        <w:t xml:space="preserve">, “Oral idarubicin pharmacokinetics - Correlation of trough level with idarubicin area under curve,” </w:t>
      </w:r>
      <w:r w:rsidRPr="00C32263">
        <w:rPr>
          <w:rFonts w:ascii="Times New Roman" w:hAnsi="Times New Roman" w:cs="Times New Roman"/>
          <w:i/>
          <w:iCs/>
          <w:noProof/>
          <w:sz w:val="24"/>
          <w:szCs w:val="24"/>
          <w:lang w:val="en-GB"/>
        </w:rPr>
        <w:t>Leukemia</w:t>
      </w:r>
      <w:r w:rsidRPr="00C32263">
        <w:rPr>
          <w:rFonts w:ascii="Times New Roman" w:hAnsi="Times New Roman" w:cs="Times New Roman"/>
          <w:noProof/>
          <w:sz w:val="24"/>
          <w:szCs w:val="24"/>
          <w:lang w:val="en-GB"/>
        </w:rPr>
        <w:t>, vol. 10, no. 4, pp. 707–712, 1996.</w:t>
      </w:r>
    </w:p>
    <w:p w14:paraId="16862BA1"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[85]</w:t>
      </w:r>
      <w:r w:rsidRPr="00C32263">
        <w:rPr>
          <w:rFonts w:ascii="Times New Roman" w:hAnsi="Times New Roman" w:cs="Times New Roman"/>
          <w:noProof/>
          <w:sz w:val="24"/>
          <w:szCs w:val="24"/>
          <w:lang w:val="en-GB"/>
        </w:rPr>
        <w:tab/>
        <w:t xml:space="preserve">G. Hempel, S. Haberland, P. Schulze-Westhoff, N. Möhling, G. Blaschke, and J. Boos, “Determination of idarubicin and idarubicinol in plasma by capillary electrophoresis,” </w:t>
      </w:r>
      <w:r w:rsidRPr="00C32263">
        <w:rPr>
          <w:rFonts w:ascii="Times New Roman" w:hAnsi="Times New Roman" w:cs="Times New Roman"/>
          <w:i/>
          <w:iCs/>
          <w:noProof/>
          <w:sz w:val="24"/>
          <w:szCs w:val="24"/>
          <w:lang w:val="en-GB"/>
        </w:rPr>
        <w:t>J. Chromatogr. B Biomed. Appl.</w:t>
      </w:r>
      <w:r w:rsidRPr="00C32263">
        <w:rPr>
          <w:rFonts w:ascii="Times New Roman" w:hAnsi="Times New Roman" w:cs="Times New Roman"/>
          <w:noProof/>
          <w:sz w:val="24"/>
          <w:szCs w:val="24"/>
          <w:lang w:val="en-GB"/>
        </w:rPr>
        <w:t>, vol. 698, no. 1–2, pp. 287–292, 1997, doi: 10.1016/S0378-4347(97)00299-5.</w:t>
      </w:r>
    </w:p>
    <w:p w14:paraId="34448E77"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[86]</w:t>
      </w:r>
      <w:r w:rsidRPr="00C32263">
        <w:rPr>
          <w:rFonts w:ascii="Times New Roman" w:hAnsi="Times New Roman" w:cs="Times New Roman"/>
          <w:noProof/>
          <w:sz w:val="24"/>
          <w:szCs w:val="24"/>
          <w:lang w:val="en-GB"/>
        </w:rPr>
        <w:tab/>
        <w:t xml:space="preserve">O. Kuhlmann, S. Hofmann, and M. Weiss, “Determination of idarubicin and idarubicinol in rat plasma using reversed-phase high-performance liquid chromatography and fluorescence detection,” </w:t>
      </w:r>
      <w:r w:rsidRPr="00C32263">
        <w:rPr>
          <w:rFonts w:ascii="Times New Roman" w:hAnsi="Times New Roman" w:cs="Times New Roman"/>
          <w:i/>
          <w:iCs/>
          <w:noProof/>
          <w:sz w:val="24"/>
          <w:szCs w:val="24"/>
          <w:lang w:val="en-GB"/>
        </w:rPr>
        <w:t>J. Chromatogr. B Biomed. Sci. Appl.</w:t>
      </w:r>
      <w:r w:rsidRPr="00C32263">
        <w:rPr>
          <w:rFonts w:ascii="Times New Roman" w:hAnsi="Times New Roman" w:cs="Times New Roman"/>
          <w:noProof/>
          <w:sz w:val="24"/>
          <w:szCs w:val="24"/>
          <w:lang w:val="en-GB"/>
        </w:rPr>
        <w:t>, vol. 728, no. 2, pp. 279–282, 1999, doi: 10.1016/S0378-4347(99)00107-3.</w:t>
      </w:r>
    </w:p>
    <w:p w14:paraId="451A2FF1"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[87]</w:t>
      </w:r>
      <w:r w:rsidRPr="00C32263">
        <w:rPr>
          <w:rFonts w:ascii="Times New Roman" w:hAnsi="Times New Roman" w:cs="Times New Roman"/>
          <w:noProof/>
          <w:sz w:val="24"/>
          <w:szCs w:val="24"/>
          <w:lang w:val="en-GB"/>
        </w:rPr>
        <w:tab/>
        <w:t xml:space="preserve">K. E. Maudens, C. P. Stove, V. F. J. Cocquyt, H. Denys, and W. E. Lambert, “Development and validation of a liquid chromatographic method for the simultaneous determination of four anthracyclines and their respective 13-S-dihydro metabolites in plasma and saliva,”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877, no. 30, pp. 3907–3915, 2009, doi: 10.1016/j.jchromb.2009.09.044.</w:t>
      </w:r>
    </w:p>
    <w:p w14:paraId="18ADF9AF"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[88]</w:t>
      </w:r>
      <w:r w:rsidRPr="00C32263">
        <w:rPr>
          <w:rFonts w:ascii="Times New Roman" w:hAnsi="Times New Roman" w:cs="Times New Roman"/>
          <w:noProof/>
          <w:sz w:val="24"/>
          <w:szCs w:val="24"/>
          <w:lang w:val="en-GB"/>
        </w:rPr>
        <w:tab/>
        <w:t xml:space="preserve">M. Looby, R. Linke, and M. Weiss, “Pharmacokinetics and tissue distribution of </w:t>
      </w:r>
      <w:r w:rsidRPr="00C32263">
        <w:rPr>
          <w:rFonts w:ascii="Times New Roman" w:hAnsi="Times New Roman" w:cs="Times New Roman"/>
          <w:noProof/>
          <w:sz w:val="24"/>
          <w:szCs w:val="24"/>
          <w:lang w:val="en-GB"/>
        </w:rPr>
        <w:lastRenderedPageBreak/>
        <w:t xml:space="preserve">idarubicin and its active metabolite idarubicinol in the rabbit,” </w:t>
      </w:r>
      <w:r w:rsidRPr="00C32263">
        <w:rPr>
          <w:rFonts w:ascii="Times New Roman" w:hAnsi="Times New Roman" w:cs="Times New Roman"/>
          <w:i/>
          <w:iCs/>
          <w:noProof/>
          <w:sz w:val="24"/>
          <w:szCs w:val="24"/>
          <w:lang w:val="en-GB"/>
        </w:rPr>
        <w:t>Cancer Chemother. Pharmacol.</w:t>
      </w:r>
      <w:r w:rsidRPr="00C32263">
        <w:rPr>
          <w:rFonts w:ascii="Times New Roman" w:hAnsi="Times New Roman" w:cs="Times New Roman"/>
          <w:noProof/>
          <w:sz w:val="24"/>
          <w:szCs w:val="24"/>
          <w:lang w:val="en-GB"/>
        </w:rPr>
        <w:t>, vol. 39, no. 6, pp. 554–556, 1997, doi: 10.1007/s002800050614.</w:t>
      </w:r>
    </w:p>
    <w:p w14:paraId="65506CD6" w14:textId="711398C4"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[89]</w:t>
      </w:r>
      <w:r w:rsidRPr="00C32263">
        <w:rPr>
          <w:rFonts w:ascii="Times New Roman" w:hAnsi="Times New Roman" w:cs="Times New Roman"/>
          <w:noProof/>
          <w:sz w:val="24"/>
          <w:szCs w:val="24"/>
          <w:lang w:val="en-GB"/>
        </w:rPr>
        <w:tab/>
        <w:t>D. J. Stewart</w:t>
      </w:r>
      <w:r w:rsidR="00FD3E7C"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FD3E7C" w:rsidRPr="00C32263">
        <w:rPr>
          <w:rFonts w:ascii="Times New Roman" w:hAnsi="Times New Roman" w:cs="Times New Roman"/>
          <w:noProof/>
          <w:sz w:val="24"/>
          <w:szCs w:val="24"/>
          <w:lang w:val="en-GB"/>
        </w:rPr>
        <w:t>D. Grewaal, R. M. Green, S. Verma, J. A. Maroun, D. Redmond, L. Robillard, and S. Gupta</w:t>
      </w:r>
      <w:r w:rsidRPr="00C32263">
        <w:rPr>
          <w:rFonts w:ascii="Times New Roman" w:hAnsi="Times New Roman" w:cs="Times New Roman"/>
          <w:noProof/>
          <w:sz w:val="24"/>
          <w:szCs w:val="24"/>
          <w:lang w:val="en-GB"/>
        </w:rPr>
        <w:t xml:space="preserve">, “Bioavailability and pharmacology of oral idarubicin,” </w:t>
      </w:r>
      <w:r w:rsidRPr="00C32263">
        <w:rPr>
          <w:rFonts w:ascii="Times New Roman" w:hAnsi="Times New Roman" w:cs="Times New Roman"/>
          <w:i/>
          <w:iCs/>
          <w:noProof/>
          <w:sz w:val="24"/>
          <w:szCs w:val="24"/>
          <w:lang w:val="en-GB"/>
        </w:rPr>
        <w:t>Cancer Chemother. Pharmacol.</w:t>
      </w:r>
      <w:r w:rsidRPr="00C32263">
        <w:rPr>
          <w:rFonts w:ascii="Times New Roman" w:hAnsi="Times New Roman" w:cs="Times New Roman"/>
          <w:noProof/>
          <w:sz w:val="24"/>
          <w:szCs w:val="24"/>
          <w:lang w:val="en-GB"/>
        </w:rPr>
        <w:t>, vol. 27, no. 4, pp. 308–314, 1991, doi: 10.1007/BF00685117.</w:t>
      </w:r>
    </w:p>
    <w:p w14:paraId="596C4BC5" w14:textId="37A0F13A"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[90]</w:t>
      </w:r>
      <w:r w:rsidRPr="00C32263">
        <w:rPr>
          <w:rFonts w:ascii="Times New Roman" w:hAnsi="Times New Roman" w:cs="Times New Roman"/>
          <w:noProof/>
          <w:sz w:val="24"/>
          <w:szCs w:val="24"/>
          <w:lang w:val="en-GB"/>
        </w:rPr>
        <w:tab/>
        <w:t xml:space="preserve">A. Tedeschi </w:t>
      </w:r>
      <w:r w:rsidR="00521C69" w:rsidRPr="00C32263">
        <w:rPr>
          <w:rFonts w:ascii="Times New Roman" w:hAnsi="Times New Roman" w:cs="Times New Roman"/>
          <w:i/>
          <w:iCs/>
          <w:noProof/>
          <w:sz w:val="24"/>
          <w:szCs w:val="24"/>
          <w:lang w:val="en-GB"/>
        </w:rPr>
        <w:t>M. Montillo, E. Strocchi,  A. M.Cafro,  E. Tresoldi, L. Intropido, M. Nichelatti, L. Marbello, C. Baratè, C. M. Camaggi, E, Morra</w:t>
      </w:r>
      <w:r w:rsidRPr="00C32263">
        <w:rPr>
          <w:rFonts w:ascii="Times New Roman" w:hAnsi="Times New Roman" w:cs="Times New Roman"/>
          <w:noProof/>
          <w:sz w:val="24"/>
          <w:szCs w:val="24"/>
          <w:lang w:val="en-GB"/>
        </w:rPr>
        <w:t xml:space="preserve">, “High-dose idarubicin in combination with Ara-C in patients with relapsed or refractory acute lymphoblastic leukemia: A pharmacokinetic and clinical study,” </w:t>
      </w:r>
      <w:r w:rsidRPr="00C32263">
        <w:rPr>
          <w:rFonts w:ascii="Times New Roman" w:hAnsi="Times New Roman" w:cs="Times New Roman"/>
          <w:i/>
          <w:iCs/>
          <w:noProof/>
          <w:sz w:val="24"/>
          <w:szCs w:val="24"/>
          <w:lang w:val="en-GB"/>
        </w:rPr>
        <w:t>Cancer Chemother. Pharmacol.</w:t>
      </w:r>
      <w:r w:rsidRPr="00C32263">
        <w:rPr>
          <w:rFonts w:ascii="Times New Roman" w:hAnsi="Times New Roman" w:cs="Times New Roman"/>
          <w:noProof/>
          <w:sz w:val="24"/>
          <w:szCs w:val="24"/>
          <w:lang w:val="en-GB"/>
        </w:rPr>
        <w:t>, vol. 59, no. 6, pp. 771–779, 2007, doi: 10.1007/s00280-006-0332-4.</w:t>
      </w:r>
    </w:p>
    <w:p w14:paraId="2AA3B257"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[91]</w:t>
      </w:r>
      <w:r w:rsidRPr="00C32263">
        <w:rPr>
          <w:rFonts w:ascii="Times New Roman" w:hAnsi="Times New Roman" w:cs="Times New Roman"/>
          <w:noProof/>
          <w:sz w:val="24"/>
          <w:szCs w:val="24"/>
          <w:lang w:val="en-GB"/>
        </w:rPr>
        <w:tab/>
        <w:t xml:space="preserve">F. Lachâtre, P. Marquet, S. Ragot, J. M. Gaulier, P. Cardot, and J. L. Dupuy, “Simultaneous determination of four anthracyclines and three metabolites in human serum by liquid chromatography-electrospray mass spectrometry,” </w:t>
      </w:r>
      <w:r w:rsidRPr="00C32263">
        <w:rPr>
          <w:rFonts w:ascii="Times New Roman" w:hAnsi="Times New Roman" w:cs="Times New Roman"/>
          <w:i/>
          <w:iCs/>
          <w:noProof/>
          <w:sz w:val="24"/>
          <w:szCs w:val="24"/>
          <w:lang w:val="en-GB"/>
        </w:rPr>
        <w:t>J. Chromatogr. B Biomed. Sci. Appl.</w:t>
      </w:r>
      <w:r w:rsidRPr="00C32263">
        <w:rPr>
          <w:rFonts w:ascii="Times New Roman" w:hAnsi="Times New Roman" w:cs="Times New Roman"/>
          <w:noProof/>
          <w:sz w:val="24"/>
          <w:szCs w:val="24"/>
          <w:lang w:val="en-GB"/>
        </w:rPr>
        <w:t>, vol. 738, no. 2, pp. 281–291, 2000, doi: 10.1016/S0378-4347(99)00529-0.</w:t>
      </w:r>
    </w:p>
    <w:p w14:paraId="64FD6B0D"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[92]</w:t>
      </w:r>
      <w:r w:rsidRPr="00C32263">
        <w:rPr>
          <w:rFonts w:ascii="Times New Roman" w:hAnsi="Times New Roman" w:cs="Times New Roman"/>
          <w:noProof/>
          <w:sz w:val="24"/>
          <w:szCs w:val="24"/>
          <w:lang w:val="en-GB"/>
        </w:rPr>
        <w:tab/>
        <w:t xml:space="preserve">C. M. Camaggi, P. Carisi, E. Strocchi, and F. Pannuti, “High-performance liquid chromatographic analysis of idarubicin and fluorescent metabolites in biological fluids,” </w:t>
      </w:r>
      <w:r w:rsidRPr="00C32263">
        <w:rPr>
          <w:rFonts w:ascii="Times New Roman" w:hAnsi="Times New Roman" w:cs="Times New Roman"/>
          <w:i/>
          <w:iCs/>
          <w:noProof/>
          <w:sz w:val="24"/>
          <w:szCs w:val="24"/>
          <w:lang w:val="en-GB"/>
        </w:rPr>
        <w:t>Cancer Chemother. Pharmacol.</w:t>
      </w:r>
      <w:r w:rsidRPr="00C32263">
        <w:rPr>
          <w:rFonts w:ascii="Times New Roman" w:hAnsi="Times New Roman" w:cs="Times New Roman"/>
          <w:noProof/>
          <w:sz w:val="24"/>
          <w:szCs w:val="24"/>
          <w:lang w:val="en-GB"/>
        </w:rPr>
        <w:t>, vol. 30, no. 4, pp. 303–306, 1992, doi: 10.1007/BF00686300.</w:t>
      </w:r>
    </w:p>
    <w:p w14:paraId="6900BB72" w14:textId="449AE37E"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[93]</w:t>
      </w:r>
      <w:r w:rsidRPr="00C32263">
        <w:rPr>
          <w:rFonts w:ascii="Times New Roman" w:hAnsi="Times New Roman" w:cs="Times New Roman"/>
          <w:noProof/>
          <w:sz w:val="24"/>
          <w:szCs w:val="24"/>
          <w:lang w:val="en-GB"/>
        </w:rPr>
        <w:tab/>
        <w:t>H. Ni</w:t>
      </w:r>
      <w:r w:rsidR="004B7BF8" w:rsidRPr="00C32263">
        <w:rPr>
          <w:rFonts w:ascii="Times New Roman" w:hAnsi="Times New Roman" w:cs="Times New Roman"/>
          <w:noProof/>
          <w:sz w:val="24"/>
          <w:szCs w:val="24"/>
          <w:lang w:val="en-GB"/>
        </w:rPr>
        <w:t xml:space="preserve">u, </w:t>
      </w:r>
      <w:r w:rsidR="003C5AA9" w:rsidRPr="00C32263">
        <w:rPr>
          <w:rFonts w:ascii="Times New Roman" w:hAnsi="Times New Roman" w:cs="Times New Roman"/>
          <w:noProof/>
          <w:sz w:val="24"/>
          <w:szCs w:val="24"/>
          <w:lang w:val="en-GB"/>
        </w:rPr>
        <w:t>M. Xu, S. Li, J. Chen, J. Luo, X. Zhao, C. Gao, X. Li</w:t>
      </w:r>
      <w:r w:rsidRPr="00C32263">
        <w:rPr>
          <w:rFonts w:ascii="Times New Roman" w:hAnsi="Times New Roman" w:cs="Times New Roman"/>
          <w:i/>
          <w:iCs/>
          <w:noProof/>
          <w:sz w:val="24"/>
          <w:szCs w:val="24"/>
          <w:lang w:val="en-GB"/>
        </w:rPr>
        <w:t>.</w:t>
      </w:r>
      <w:r w:rsidRPr="00C32263">
        <w:rPr>
          <w:rFonts w:ascii="Times New Roman" w:hAnsi="Times New Roman" w:cs="Times New Roman"/>
          <w:noProof/>
          <w:sz w:val="24"/>
          <w:szCs w:val="24"/>
          <w:lang w:val="en-GB"/>
        </w:rPr>
        <w:t xml:space="preserve">, “High-Performance Liquid Chromatography (HPLC) Quantification of Liposome-Delivered Doxorubicin in Arthritic Joints of Collagen-Induced Arthritis Rats,” </w:t>
      </w:r>
      <w:r w:rsidRPr="00C32263">
        <w:rPr>
          <w:rFonts w:ascii="Times New Roman" w:hAnsi="Times New Roman" w:cs="Times New Roman"/>
          <w:i/>
          <w:iCs/>
          <w:noProof/>
          <w:sz w:val="24"/>
          <w:szCs w:val="24"/>
          <w:lang w:val="en-GB"/>
        </w:rPr>
        <w:t>Med. Sci. Monit. Basic Res.</w:t>
      </w:r>
      <w:r w:rsidRPr="00C32263">
        <w:rPr>
          <w:rFonts w:ascii="Times New Roman" w:hAnsi="Times New Roman" w:cs="Times New Roman"/>
          <w:noProof/>
          <w:sz w:val="24"/>
          <w:szCs w:val="24"/>
          <w:lang w:val="en-GB"/>
        </w:rPr>
        <w:t>, vol. 23, pp. 150–158, 2017, doi: 10.12659/msmbr.904103.</w:t>
      </w:r>
    </w:p>
    <w:p w14:paraId="5C23E991" w14:textId="699135B5"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[94]</w:t>
      </w:r>
      <w:r w:rsidRPr="00C32263">
        <w:rPr>
          <w:rFonts w:ascii="Times New Roman" w:hAnsi="Times New Roman" w:cs="Times New Roman"/>
          <w:noProof/>
          <w:sz w:val="24"/>
          <w:szCs w:val="24"/>
          <w:lang w:val="en-GB"/>
        </w:rPr>
        <w:tab/>
        <w:t xml:space="preserve">S. Ibsen </w:t>
      </w:r>
      <w:r w:rsidR="004F13EF" w:rsidRPr="00C32263">
        <w:rPr>
          <w:rFonts w:ascii="Times New Roman" w:hAnsi="Times New Roman" w:cs="Times New Roman"/>
          <w:noProof/>
          <w:sz w:val="24"/>
          <w:szCs w:val="24"/>
          <w:lang w:val="en-GB"/>
        </w:rPr>
        <w:t>Y. Su, J. Norton, E. Zahavy, T. Hayashi, S. Adams, W. Wrasidloc, S. Esener</w:t>
      </w:r>
      <w:r w:rsidRPr="00C32263">
        <w:rPr>
          <w:rFonts w:ascii="Times New Roman" w:hAnsi="Times New Roman" w:cs="Times New Roman"/>
          <w:noProof/>
          <w:sz w:val="24"/>
          <w:szCs w:val="24"/>
          <w:lang w:val="en-GB"/>
        </w:rPr>
        <w:t xml:space="preserve">, “Extraction protocol and mass spectrometry method for quantification of doxorubicin released locally from prodrugs in tumor tissue,” </w:t>
      </w:r>
      <w:r w:rsidRPr="00C32263">
        <w:rPr>
          <w:rFonts w:ascii="Times New Roman" w:hAnsi="Times New Roman" w:cs="Times New Roman"/>
          <w:i/>
          <w:iCs/>
          <w:noProof/>
          <w:sz w:val="24"/>
          <w:szCs w:val="24"/>
          <w:lang w:val="en-GB"/>
        </w:rPr>
        <w:t>J. Mass Spectrom.</w:t>
      </w:r>
      <w:r w:rsidRPr="00C32263">
        <w:rPr>
          <w:rFonts w:ascii="Times New Roman" w:hAnsi="Times New Roman" w:cs="Times New Roman"/>
          <w:noProof/>
          <w:sz w:val="24"/>
          <w:szCs w:val="24"/>
          <w:lang w:val="en-GB"/>
        </w:rPr>
        <w:t>, vol. 48, no. 7, pp. 768–773, 2013, doi: 10.1002/jms.3221.</w:t>
      </w:r>
    </w:p>
    <w:p w14:paraId="68C441C1"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[95]</w:t>
      </w:r>
      <w:r w:rsidRPr="00C32263">
        <w:rPr>
          <w:rFonts w:ascii="Times New Roman" w:hAnsi="Times New Roman" w:cs="Times New Roman"/>
          <w:noProof/>
          <w:sz w:val="24"/>
          <w:szCs w:val="24"/>
          <w:lang w:val="en-GB"/>
        </w:rPr>
        <w:tab/>
        <w:t xml:space="preserve">S. R. Urva, B. S. Shin, V. C. Yang, and J. P. Balthasar, “Sensitive high </w:t>
      </w:r>
      <w:r w:rsidRPr="00C32263">
        <w:rPr>
          <w:rFonts w:ascii="Times New Roman" w:hAnsi="Times New Roman" w:cs="Times New Roman"/>
          <w:noProof/>
          <w:sz w:val="24"/>
          <w:szCs w:val="24"/>
          <w:lang w:val="en-GB"/>
        </w:rPr>
        <w:lastRenderedPageBreak/>
        <w:t xml:space="preserve">performance liquid chromatographic assay for assessment of doxorubicin pharmacokinetics in mouse plasma and tissues,”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877, no. 8–9, pp. 837–841, 2009, doi: 10.1016/j.jchromb.2009.02.018.</w:t>
      </w:r>
    </w:p>
    <w:p w14:paraId="4C1B8066" w14:textId="0FBAFDE3"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[96]</w:t>
      </w:r>
      <w:r w:rsidRPr="00C32263">
        <w:rPr>
          <w:rFonts w:ascii="Times New Roman" w:hAnsi="Times New Roman" w:cs="Times New Roman"/>
          <w:noProof/>
          <w:sz w:val="24"/>
          <w:szCs w:val="24"/>
          <w:lang w:val="en-GB"/>
        </w:rPr>
        <w:tab/>
        <w:t>A. Kümmerle</w:t>
      </w:r>
      <w:r w:rsidR="00305143"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305143" w:rsidRPr="00C32263">
        <w:rPr>
          <w:rFonts w:ascii="Times New Roman" w:hAnsi="Times New Roman" w:cs="Times New Roman"/>
          <w:noProof/>
          <w:sz w:val="24"/>
          <w:szCs w:val="24"/>
          <w:lang w:val="en-GB"/>
        </w:rPr>
        <w:t>T. Krueger, M. Dusmet, C. Vallet, Y. Pan , H.B. Ris, Laurent A. Decosterd</w:t>
      </w:r>
      <w:r w:rsidRPr="00C32263">
        <w:rPr>
          <w:rFonts w:ascii="Times New Roman" w:hAnsi="Times New Roman" w:cs="Times New Roman"/>
          <w:noProof/>
          <w:sz w:val="24"/>
          <w:szCs w:val="24"/>
          <w:lang w:val="en-GB"/>
        </w:rPr>
        <w:t xml:space="preserve">, “A validated assay for measuring doxorubicin in biological fluids and tissues in an isolated lung perfusion model: Matrix effect and heparin interference strongly influence doxorubicin measurements,” </w:t>
      </w:r>
      <w:r w:rsidRPr="00C32263">
        <w:rPr>
          <w:rFonts w:ascii="Times New Roman" w:hAnsi="Times New Roman" w:cs="Times New Roman"/>
          <w:i/>
          <w:iCs/>
          <w:noProof/>
          <w:sz w:val="24"/>
          <w:szCs w:val="24"/>
          <w:lang w:val="en-GB"/>
        </w:rPr>
        <w:t>J. Pharm. Biomed. Anal.</w:t>
      </w:r>
      <w:r w:rsidRPr="00C32263">
        <w:rPr>
          <w:rFonts w:ascii="Times New Roman" w:hAnsi="Times New Roman" w:cs="Times New Roman"/>
          <w:noProof/>
          <w:sz w:val="24"/>
          <w:szCs w:val="24"/>
          <w:lang w:val="en-GB"/>
        </w:rPr>
        <w:t>, vol. 33, no. 3, pp. 475–494, 2003, doi: 10.1016/S0731-7085(03)00300-5.</w:t>
      </w:r>
    </w:p>
    <w:p w14:paraId="5619A97D"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[97]</w:t>
      </w:r>
      <w:r w:rsidRPr="00C32263">
        <w:rPr>
          <w:rFonts w:ascii="Times New Roman" w:hAnsi="Times New Roman" w:cs="Times New Roman"/>
          <w:noProof/>
          <w:sz w:val="24"/>
          <w:szCs w:val="24"/>
          <w:lang w:val="en-GB"/>
        </w:rPr>
        <w:tab/>
        <w:t xml:space="preserve">R. D. Arnold, J. E. Slack, and R. M. Straubinger, “Quantification of Doxorubicin and metabolites in rat plasma and small volume tissue samples by liquid chromatography/electrospray tandem mass spectroscopy,”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808, no. 2, pp. 141–152, 2004, doi: 10.1016/j.jchromb.2004.04.030.</w:t>
      </w:r>
    </w:p>
    <w:p w14:paraId="3187F17C"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[98]</w:t>
      </w:r>
      <w:r w:rsidRPr="00C32263">
        <w:rPr>
          <w:rFonts w:ascii="Times New Roman" w:hAnsi="Times New Roman" w:cs="Times New Roman"/>
          <w:noProof/>
          <w:sz w:val="24"/>
          <w:szCs w:val="24"/>
          <w:lang w:val="en-GB"/>
        </w:rPr>
        <w:tab/>
        <w:t xml:space="preserve">K. Alhareth, C. Vauthier, C. Gueutin, G. Ponchel, and F. Moussa, “HPLC quantification of doxorubicin in plasma and tissues of rats treated with doxorubicin loaded poly(alkylcyanoacrylate) nanoparticles,”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887–888, pp. 128–132, 2012, doi: 10.1016/j.jchromb.2012.01.025.</w:t>
      </w:r>
    </w:p>
    <w:p w14:paraId="4747EA0E"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[99]</w:t>
      </w:r>
      <w:r w:rsidRPr="00C32263">
        <w:rPr>
          <w:rFonts w:ascii="Times New Roman" w:hAnsi="Times New Roman" w:cs="Times New Roman"/>
          <w:noProof/>
          <w:sz w:val="24"/>
          <w:szCs w:val="24"/>
          <w:lang w:val="en-GB"/>
        </w:rPr>
        <w:tab/>
        <w:t xml:space="preserve">C. Zhang, Y. Wu, Y. Dong, H. Xu, and L. Zhao, “Quantification of DOX bioavailability in biological samples of mice by sensitive and precise HPLC assay,” </w:t>
      </w:r>
      <w:r w:rsidRPr="00C32263">
        <w:rPr>
          <w:rFonts w:ascii="Times New Roman" w:hAnsi="Times New Roman" w:cs="Times New Roman"/>
          <w:i/>
          <w:iCs/>
          <w:noProof/>
          <w:sz w:val="24"/>
          <w:szCs w:val="24"/>
          <w:lang w:val="en-GB"/>
        </w:rPr>
        <w:t>Pharm. Biol.</w:t>
      </w:r>
      <w:r w:rsidRPr="00C32263">
        <w:rPr>
          <w:rFonts w:ascii="Times New Roman" w:hAnsi="Times New Roman" w:cs="Times New Roman"/>
          <w:noProof/>
          <w:sz w:val="24"/>
          <w:szCs w:val="24"/>
          <w:lang w:val="en-GB"/>
        </w:rPr>
        <w:t>, vol. 54, no. 1, pp. 55–61, 2016, doi: 10.3109/13880209.2015.1014918.</w:t>
      </w:r>
    </w:p>
    <w:p w14:paraId="2CEAE3EB" w14:textId="0963F41D"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[100]</w:t>
      </w:r>
      <w:r w:rsidRPr="00C32263">
        <w:rPr>
          <w:rFonts w:ascii="Times New Roman" w:hAnsi="Times New Roman" w:cs="Times New Roman"/>
          <w:noProof/>
          <w:sz w:val="24"/>
          <w:szCs w:val="24"/>
          <w:lang w:val="en-GB"/>
        </w:rPr>
        <w:tab/>
        <w:t>S. Mazzucchelli</w:t>
      </w:r>
      <w:r w:rsidR="007918B4"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7918B4" w:rsidRPr="00C32263">
        <w:rPr>
          <w:rFonts w:ascii="Times New Roman" w:hAnsi="Times New Roman" w:cs="Times New Roman"/>
          <w:noProof/>
          <w:sz w:val="24"/>
          <w:szCs w:val="24"/>
          <w:lang w:val="en-GB"/>
        </w:rPr>
        <w:t>A. Ravelli, F. Gigli, M. Minoli, F. Corsi, P. Ciuffreda, R. Ottria</w:t>
      </w:r>
      <w:r w:rsidRPr="00C32263">
        <w:rPr>
          <w:rFonts w:ascii="Times New Roman" w:hAnsi="Times New Roman" w:cs="Times New Roman"/>
          <w:noProof/>
          <w:sz w:val="24"/>
          <w:szCs w:val="24"/>
          <w:lang w:val="en-GB"/>
        </w:rPr>
        <w:t xml:space="preserve">, “LC–MS/MS method development for quantification of doxorubicin and its metabolite 13-hydroxy doxorubicin in mice biological matrices: Application to a pharmaco-delivery study,” </w:t>
      </w:r>
      <w:r w:rsidRPr="00C32263">
        <w:rPr>
          <w:rFonts w:ascii="Times New Roman" w:hAnsi="Times New Roman" w:cs="Times New Roman"/>
          <w:i/>
          <w:iCs/>
          <w:noProof/>
          <w:sz w:val="24"/>
          <w:szCs w:val="24"/>
          <w:lang w:val="en-GB"/>
        </w:rPr>
        <w:t>Biomed. Chromatogr.</w:t>
      </w:r>
      <w:r w:rsidRPr="00C32263">
        <w:rPr>
          <w:rFonts w:ascii="Times New Roman" w:hAnsi="Times New Roman" w:cs="Times New Roman"/>
          <w:noProof/>
          <w:sz w:val="24"/>
          <w:szCs w:val="24"/>
          <w:lang w:val="en-GB"/>
        </w:rPr>
        <w:t>, vol. 31, no. 4, pp. 1–10, 2017, doi: 10.1002/bmc.3863.</w:t>
      </w:r>
    </w:p>
    <w:p w14:paraId="4A367720" w14:textId="1DE4BEDB"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[101]</w:t>
      </w:r>
      <w:r w:rsidRPr="00C32263">
        <w:rPr>
          <w:rFonts w:ascii="Times New Roman" w:hAnsi="Times New Roman" w:cs="Times New Roman"/>
          <w:noProof/>
          <w:sz w:val="24"/>
          <w:szCs w:val="24"/>
          <w:lang w:val="en-GB"/>
        </w:rPr>
        <w:tab/>
        <w:t>A. Roszkowska</w:t>
      </w:r>
      <w:r w:rsidR="00E21370" w:rsidRPr="00C32263">
        <w:rPr>
          <w:rFonts w:ascii="Times New Roman" w:hAnsi="Times New Roman" w:cs="Times New Roman"/>
          <w:noProof/>
          <w:sz w:val="24"/>
          <w:szCs w:val="24"/>
          <w:lang w:val="en-GB"/>
        </w:rPr>
        <w:t>,</w:t>
      </w:r>
      <w:r w:rsidR="0071058E" w:rsidRPr="00C32263">
        <w:rPr>
          <w:rFonts w:ascii="Times New Roman" w:hAnsi="Times New Roman" w:cs="Times New Roman"/>
          <w:i/>
          <w:iCs/>
          <w:noProof/>
          <w:sz w:val="24"/>
          <w:szCs w:val="24"/>
          <w:lang w:val="en-GB"/>
        </w:rPr>
        <w:t xml:space="preserve"> </w:t>
      </w:r>
      <w:r w:rsidR="0071058E" w:rsidRPr="00C32263">
        <w:rPr>
          <w:rFonts w:ascii="Times New Roman" w:hAnsi="Times New Roman" w:cs="Times New Roman"/>
          <w:noProof/>
          <w:sz w:val="24"/>
          <w:szCs w:val="24"/>
          <w:lang w:val="en-GB"/>
        </w:rPr>
        <w:t>M. Tascona, B. Bojko, K. Goryński, P. Reck dos Santosc, M. Cypelc, J. Pawliszyn</w:t>
      </w:r>
      <w:r w:rsidRPr="00C32263">
        <w:rPr>
          <w:rFonts w:ascii="Times New Roman" w:hAnsi="Times New Roman" w:cs="Times New Roman"/>
          <w:noProof/>
          <w:sz w:val="24"/>
          <w:szCs w:val="24"/>
          <w:lang w:val="en-GB"/>
        </w:rPr>
        <w:t xml:space="preserve">, “Equilibrium ex vivo calibration of homogenized tissue for in vivo SPME quantitation of doxorubicin in lung tissue,” </w:t>
      </w:r>
      <w:r w:rsidRPr="00C32263">
        <w:rPr>
          <w:rFonts w:ascii="Times New Roman" w:hAnsi="Times New Roman" w:cs="Times New Roman"/>
          <w:i/>
          <w:iCs/>
          <w:noProof/>
          <w:sz w:val="24"/>
          <w:szCs w:val="24"/>
          <w:lang w:val="en-GB"/>
        </w:rPr>
        <w:t>Talanta</w:t>
      </w:r>
      <w:r w:rsidRPr="00C32263">
        <w:rPr>
          <w:rFonts w:ascii="Times New Roman" w:hAnsi="Times New Roman" w:cs="Times New Roman"/>
          <w:noProof/>
          <w:sz w:val="24"/>
          <w:szCs w:val="24"/>
          <w:lang w:val="en-GB"/>
        </w:rPr>
        <w:t xml:space="preserve">, vol. 183, no. </w:t>
      </w:r>
      <w:r w:rsidRPr="00C32263">
        <w:rPr>
          <w:rFonts w:ascii="Times New Roman" w:hAnsi="Times New Roman" w:cs="Times New Roman"/>
          <w:noProof/>
          <w:sz w:val="24"/>
          <w:szCs w:val="24"/>
          <w:lang w:val="en-GB"/>
        </w:rPr>
        <w:lastRenderedPageBreak/>
        <w:t>February, pp. 304–310, 2018, doi: 10.1016/j.talanta.2018.02.049.</w:t>
      </w:r>
    </w:p>
    <w:p w14:paraId="2684EEC7"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[102]</w:t>
      </w:r>
      <w:r w:rsidRPr="00C32263">
        <w:rPr>
          <w:rFonts w:ascii="Times New Roman" w:hAnsi="Times New Roman" w:cs="Times New Roman"/>
          <w:noProof/>
          <w:sz w:val="24"/>
          <w:szCs w:val="24"/>
          <w:lang w:val="en-GB"/>
        </w:rPr>
        <w:tab/>
        <w:t xml:space="preserve">A. M. Al-Abd, N. H. Kim, S. C. Song, S. J. Lee, and H. J. Kuh, “A simple HPLC method for doxorubicin in plasma and tissues of nude mice,” </w:t>
      </w:r>
      <w:r w:rsidRPr="00C32263">
        <w:rPr>
          <w:rFonts w:ascii="Times New Roman" w:hAnsi="Times New Roman" w:cs="Times New Roman"/>
          <w:i/>
          <w:iCs/>
          <w:noProof/>
          <w:sz w:val="24"/>
          <w:szCs w:val="24"/>
          <w:lang w:val="en-GB"/>
        </w:rPr>
        <w:t>Arch. Pharm. Res.</w:t>
      </w:r>
      <w:r w:rsidRPr="00C32263">
        <w:rPr>
          <w:rFonts w:ascii="Times New Roman" w:hAnsi="Times New Roman" w:cs="Times New Roman"/>
          <w:noProof/>
          <w:sz w:val="24"/>
          <w:szCs w:val="24"/>
          <w:lang w:val="en-GB"/>
        </w:rPr>
        <w:t>, vol. 32, no. 4, pp. 605–611, 2009, doi: 10.1007/s12272-009-1417-5.</w:t>
      </w:r>
    </w:p>
    <w:p w14:paraId="54C90E33" w14:textId="60381846"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[103]</w:t>
      </w:r>
      <w:r w:rsidRPr="00C32263">
        <w:rPr>
          <w:rFonts w:ascii="Times New Roman" w:hAnsi="Times New Roman" w:cs="Times New Roman"/>
          <w:noProof/>
          <w:sz w:val="24"/>
          <w:szCs w:val="24"/>
          <w:lang w:val="en-GB"/>
        </w:rPr>
        <w:tab/>
        <w:t>R. X. Zhang</w:t>
      </w:r>
      <w:r w:rsidR="00EE1C0D"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EE1C0D" w:rsidRPr="00C32263">
        <w:rPr>
          <w:rFonts w:ascii="Times New Roman" w:hAnsi="Times New Roman" w:cs="Times New Roman"/>
          <w:noProof/>
          <w:sz w:val="24"/>
          <w:szCs w:val="24"/>
          <w:lang w:val="en-GB"/>
        </w:rPr>
        <w:t>T. Zhang, K. Chen, J. Cheng, P. Lai, A. M. Rauth, K. S. Pang, X. Yu Wu</w:t>
      </w:r>
      <w:r w:rsidRPr="00C32263">
        <w:rPr>
          <w:rFonts w:ascii="Times New Roman" w:hAnsi="Times New Roman" w:cs="Times New Roman"/>
          <w:noProof/>
          <w:sz w:val="24"/>
          <w:szCs w:val="24"/>
          <w:lang w:val="en-GB"/>
        </w:rPr>
        <w:t xml:space="preserve">, “Sample extraction and simultaneous chromatographic quantitation of doxorubicin and mitomycin C following drug combination delivery in nanoparticles to tumor-bearing mice,” </w:t>
      </w:r>
      <w:r w:rsidRPr="00C32263">
        <w:rPr>
          <w:rFonts w:ascii="Times New Roman" w:hAnsi="Times New Roman" w:cs="Times New Roman"/>
          <w:i/>
          <w:iCs/>
          <w:noProof/>
          <w:sz w:val="24"/>
          <w:szCs w:val="24"/>
          <w:lang w:val="en-GB"/>
        </w:rPr>
        <w:t>J. Vis. Exp.</w:t>
      </w:r>
      <w:r w:rsidRPr="00C32263">
        <w:rPr>
          <w:rFonts w:ascii="Times New Roman" w:hAnsi="Times New Roman" w:cs="Times New Roman"/>
          <w:noProof/>
          <w:sz w:val="24"/>
          <w:szCs w:val="24"/>
          <w:lang w:val="en-GB"/>
        </w:rPr>
        <w:t>, vol. 2017, no. 128, pp. 1–11, 2017, doi: 10.3791/56159.</w:t>
      </w:r>
    </w:p>
    <w:p w14:paraId="4032A66D" w14:textId="5615938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[104]</w:t>
      </w:r>
      <w:r w:rsidRPr="00C32263">
        <w:rPr>
          <w:rFonts w:ascii="Times New Roman" w:hAnsi="Times New Roman" w:cs="Times New Roman"/>
          <w:noProof/>
          <w:sz w:val="24"/>
          <w:szCs w:val="24"/>
          <w:lang w:val="en-GB"/>
        </w:rPr>
        <w:tab/>
        <w:t xml:space="preserve">J. Baker </w:t>
      </w:r>
      <w:r w:rsidR="00AF18F2" w:rsidRPr="00C32263">
        <w:rPr>
          <w:rFonts w:ascii="Times New Roman" w:hAnsi="Times New Roman" w:cs="Times New Roman"/>
          <w:noProof/>
          <w:sz w:val="24"/>
          <w:szCs w:val="24"/>
          <w:lang w:val="en-GB"/>
        </w:rPr>
        <w:t>J</w:t>
      </w:r>
      <w:r w:rsidR="00CD7CD4" w:rsidRPr="00C32263">
        <w:rPr>
          <w:rFonts w:ascii="Times New Roman" w:hAnsi="Times New Roman" w:cs="Times New Roman"/>
          <w:noProof/>
          <w:sz w:val="24"/>
          <w:szCs w:val="24"/>
          <w:lang w:val="en-GB"/>
        </w:rPr>
        <w:t>.</w:t>
      </w:r>
      <w:r w:rsidR="00AF18F2" w:rsidRPr="00C32263">
        <w:rPr>
          <w:rFonts w:ascii="Times New Roman" w:hAnsi="Times New Roman" w:cs="Times New Roman"/>
          <w:noProof/>
          <w:sz w:val="24"/>
          <w:szCs w:val="24"/>
          <w:lang w:val="en-GB"/>
        </w:rPr>
        <w:t xml:space="preserve"> Ajani, F</w:t>
      </w:r>
      <w:r w:rsidR="00CD7CD4" w:rsidRPr="00C32263">
        <w:rPr>
          <w:rFonts w:ascii="Times New Roman" w:hAnsi="Times New Roman" w:cs="Times New Roman"/>
          <w:noProof/>
          <w:sz w:val="24"/>
          <w:szCs w:val="24"/>
          <w:lang w:val="en-GB"/>
        </w:rPr>
        <w:t>.</w:t>
      </w:r>
      <w:r w:rsidR="00AF18F2" w:rsidRPr="00C32263">
        <w:rPr>
          <w:rFonts w:ascii="Times New Roman" w:hAnsi="Times New Roman" w:cs="Times New Roman"/>
          <w:noProof/>
          <w:sz w:val="24"/>
          <w:szCs w:val="24"/>
          <w:lang w:val="en-GB"/>
        </w:rPr>
        <w:t xml:space="preserve"> Scotte´, D</w:t>
      </w:r>
      <w:r w:rsidR="00CD7CD4" w:rsidRPr="00C32263">
        <w:rPr>
          <w:rFonts w:ascii="Times New Roman" w:hAnsi="Times New Roman" w:cs="Times New Roman"/>
          <w:noProof/>
          <w:sz w:val="24"/>
          <w:szCs w:val="24"/>
          <w:lang w:val="en-GB"/>
        </w:rPr>
        <w:t>.</w:t>
      </w:r>
      <w:r w:rsidR="00AF18F2" w:rsidRPr="00C32263">
        <w:rPr>
          <w:rFonts w:ascii="Times New Roman" w:hAnsi="Times New Roman" w:cs="Times New Roman"/>
          <w:noProof/>
          <w:sz w:val="24"/>
          <w:szCs w:val="24"/>
          <w:lang w:val="en-GB"/>
        </w:rPr>
        <w:t xml:space="preserve"> Winther, M</w:t>
      </w:r>
      <w:r w:rsidR="00CD7CD4" w:rsidRPr="00C32263">
        <w:rPr>
          <w:rFonts w:ascii="Times New Roman" w:hAnsi="Times New Roman" w:cs="Times New Roman"/>
          <w:noProof/>
          <w:sz w:val="24"/>
          <w:szCs w:val="24"/>
          <w:lang w:val="en-GB"/>
        </w:rPr>
        <w:t>.</w:t>
      </w:r>
      <w:r w:rsidR="00AF18F2" w:rsidRPr="00C32263">
        <w:rPr>
          <w:rFonts w:ascii="Times New Roman" w:hAnsi="Times New Roman" w:cs="Times New Roman"/>
          <w:noProof/>
          <w:sz w:val="24"/>
          <w:szCs w:val="24"/>
          <w:lang w:val="en-GB"/>
        </w:rPr>
        <w:t xml:space="preserve"> Martin, M</w:t>
      </w:r>
      <w:r w:rsidR="00CD7CD4" w:rsidRPr="00C32263">
        <w:rPr>
          <w:rFonts w:ascii="Times New Roman" w:hAnsi="Times New Roman" w:cs="Times New Roman"/>
          <w:noProof/>
          <w:sz w:val="24"/>
          <w:szCs w:val="24"/>
          <w:lang w:val="en-GB"/>
        </w:rPr>
        <w:t>.</w:t>
      </w:r>
      <w:r w:rsidR="00AF18F2" w:rsidRPr="00C32263">
        <w:rPr>
          <w:rFonts w:ascii="Times New Roman" w:hAnsi="Times New Roman" w:cs="Times New Roman"/>
          <w:noProof/>
          <w:sz w:val="24"/>
          <w:szCs w:val="24"/>
          <w:lang w:val="en-GB"/>
        </w:rPr>
        <w:t xml:space="preserve"> S. Aapro , G</w:t>
      </w:r>
      <w:r w:rsidR="00CD7CD4" w:rsidRPr="00C32263">
        <w:rPr>
          <w:rFonts w:ascii="Times New Roman" w:hAnsi="Times New Roman" w:cs="Times New Roman"/>
          <w:noProof/>
          <w:sz w:val="24"/>
          <w:szCs w:val="24"/>
          <w:lang w:val="en-GB"/>
        </w:rPr>
        <w:t>.</w:t>
      </w:r>
      <w:r w:rsidR="00AF18F2" w:rsidRPr="00C32263">
        <w:rPr>
          <w:rFonts w:ascii="Times New Roman" w:hAnsi="Times New Roman" w:cs="Times New Roman"/>
          <w:noProof/>
          <w:sz w:val="24"/>
          <w:szCs w:val="24"/>
          <w:lang w:val="en-GB"/>
        </w:rPr>
        <w:t xml:space="preserve"> von Minckwitz</w:t>
      </w:r>
      <w:r w:rsidRPr="00C32263">
        <w:rPr>
          <w:rFonts w:ascii="Times New Roman" w:hAnsi="Times New Roman" w:cs="Times New Roman"/>
          <w:i/>
          <w:iCs/>
          <w:noProof/>
          <w:sz w:val="24"/>
          <w:szCs w:val="24"/>
          <w:lang w:val="en-GB"/>
        </w:rPr>
        <w:t>.</w:t>
      </w:r>
      <w:r w:rsidRPr="00C32263">
        <w:rPr>
          <w:rFonts w:ascii="Times New Roman" w:hAnsi="Times New Roman" w:cs="Times New Roman"/>
          <w:noProof/>
          <w:sz w:val="24"/>
          <w:szCs w:val="24"/>
          <w:lang w:val="en-GB"/>
        </w:rPr>
        <w:t xml:space="preserve">, “Docetaxel-related side effects and their management,” </w:t>
      </w:r>
      <w:r w:rsidRPr="00C32263">
        <w:rPr>
          <w:rFonts w:ascii="Times New Roman" w:hAnsi="Times New Roman" w:cs="Times New Roman"/>
          <w:i/>
          <w:iCs/>
          <w:noProof/>
          <w:sz w:val="24"/>
          <w:szCs w:val="24"/>
          <w:lang w:val="en-GB"/>
        </w:rPr>
        <w:t>Eur. J. Oncol. Nurs.</w:t>
      </w:r>
      <w:r w:rsidRPr="00C32263">
        <w:rPr>
          <w:rFonts w:ascii="Times New Roman" w:hAnsi="Times New Roman" w:cs="Times New Roman"/>
          <w:noProof/>
          <w:sz w:val="24"/>
          <w:szCs w:val="24"/>
          <w:lang w:val="en-GB"/>
        </w:rPr>
        <w:t>, vol. 13, no. 1, pp. 49–59, 2009, doi: 10.1016/j.ejon.2008.10.003.</w:t>
      </w:r>
    </w:p>
    <w:p w14:paraId="72276CA6"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[105]</w:t>
      </w:r>
      <w:r w:rsidRPr="00C32263">
        <w:rPr>
          <w:rFonts w:ascii="Times New Roman" w:hAnsi="Times New Roman" w:cs="Times New Roman"/>
          <w:noProof/>
          <w:sz w:val="24"/>
          <w:szCs w:val="24"/>
          <w:lang w:val="en-GB"/>
        </w:rPr>
        <w:tab/>
        <w:t xml:space="preserve">J. A. L. Bong Sup Song, Juhee Seo, Dong Ho Kim, Jung Sub Lim, Ji Young Yoo, “Gemcitabine and Docetaxel for the Treatment of Children and Adolescents with Recurrent or Refractory Osteosarcoma: Korea Cancer Center Hospital Experience,” </w:t>
      </w:r>
      <w:r w:rsidRPr="00C32263">
        <w:rPr>
          <w:rFonts w:ascii="Times New Roman" w:hAnsi="Times New Roman" w:cs="Times New Roman"/>
          <w:i/>
          <w:iCs/>
          <w:noProof/>
          <w:sz w:val="24"/>
          <w:szCs w:val="24"/>
          <w:lang w:val="en-GB"/>
        </w:rPr>
        <w:t>Pediatr. Blood Cancer</w:t>
      </w:r>
      <w:r w:rsidRPr="00C32263">
        <w:rPr>
          <w:rFonts w:ascii="Times New Roman" w:hAnsi="Times New Roman" w:cs="Times New Roman"/>
          <w:noProof/>
          <w:sz w:val="24"/>
          <w:szCs w:val="24"/>
          <w:lang w:val="en-GB"/>
        </w:rPr>
        <w:t>, vol. 61, pp. 1376–1381, 2014, doi: 10.1002/pbc.25035.</w:t>
      </w:r>
    </w:p>
    <w:p w14:paraId="6D802053" w14:textId="3DA8F986"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[106]</w:t>
      </w:r>
      <w:r w:rsidRPr="00C32263">
        <w:rPr>
          <w:rFonts w:ascii="Times New Roman" w:hAnsi="Times New Roman" w:cs="Times New Roman"/>
          <w:noProof/>
          <w:sz w:val="24"/>
          <w:szCs w:val="24"/>
          <w:lang w:val="en-GB"/>
        </w:rPr>
        <w:tab/>
        <w:t>J. H. Yoon</w:t>
      </w:r>
      <w:r w:rsidR="005F7F96"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5F7F96" w:rsidRPr="00C32263">
        <w:rPr>
          <w:rFonts w:ascii="Times New Roman" w:hAnsi="Times New Roman" w:cs="Times New Roman"/>
          <w:noProof/>
          <w:sz w:val="24"/>
          <w:szCs w:val="24"/>
          <w:lang w:val="en-GB"/>
        </w:rPr>
        <w:t>M. M. Kwon, H. Jin Park, S. Yun Park, K. Young Lim, J. Joo and B.-K. Park</w:t>
      </w:r>
      <w:r w:rsidRPr="00C32263">
        <w:rPr>
          <w:rFonts w:ascii="Times New Roman" w:hAnsi="Times New Roman" w:cs="Times New Roman"/>
          <w:noProof/>
          <w:sz w:val="24"/>
          <w:szCs w:val="24"/>
          <w:lang w:val="en-GB"/>
        </w:rPr>
        <w:t xml:space="preserve">, “A study of docetaxel and irinotecan in children and young adults with recurrent or refractory Ewing sarcoma family of tumors,” </w:t>
      </w:r>
      <w:r w:rsidRPr="00C32263">
        <w:rPr>
          <w:rFonts w:ascii="Times New Roman" w:hAnsi="Times New Roman" w:cs="Times New Roman"/>
          <w:i/>
          <w:iCs/>
          <w:noProof/>
          <w:sz w:val="24"/>
          <w:szCs w:val="24"/>
          <w:lang w:val="en-GB"/>
        </w:rPr>
        <w:t>BMC Cancer</w:t>
      </w:r>
      <w:r w:rsidRPr="00C32263">
        <w:rPr>
          <w:rFonts w:ascii="Times New Roman" w:hAnsi="Times New Roman" w:cs="Times New Roman"/>
          <w:noProof/>
          <w:sz w:val="24"/>
          <w:szCs w:val="24"/>
          <w:lang w:val="en-GB"/>
        </w:rPr>
        <w:t>, vol. 14, no. 1, pp. 1–9, 2014, doi: 10.1186/1471-2407-14-622.</w:t>
      </w:r>
    </w:p>
    <w:p w14:paraId="67651273"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[107]</w:t>
      </w:r>
      <w:r w:rsidRPr="00C32263">
        <w:rPr>
          <w:rFonts w:ascii="Times New Roman" w:hAnsi="Times New Roman" w:cs="Times New Roman"/>
          <w:noProof/>
          <w:sz w:val="24"/>
          <w:szCs w:val="24"/>
          <w:lang w:val="en-GB"/>
        </w:rPr>
        <w:tab/>
        <w:t xml:space="preserve">J. Koo, J. Knight-Perry, C. Galambos, L. P. Browne, and C. R. Cost, “Pediatric metastatic cardiac angiosarcoma successfully treated with multimodal therapy: Case report and review of literature,” </w:t>
      </w:r>
      <w:r w:rsidRPr="00C32263">
        <w:rPr>
          <w:rFonts w:ascii="Times New Roman" w:hAnsi="Times New Roman" w:cs="Times New Roman"/>
          <w:i/>
          <w:iCs/>
          <w:noProof/>
          <w:sz w:val="24"/>
          <w:szCs w:val="24"/>
          <w:lang w:val="en-GB"/>
        </w:rPr>
        <w:t>J. Pediatr. Hematol. Oncol.</w:t>
      </w:r>
      <w:r w:rsidRPr="00C32263">
        <w:rPr>
          <w:rFonts w:ascii="Times New Roman" w:hAnsi="Times New Roman" w:cs="Times New Roman"/>
          <w:noProof/>
          <w:sz w:val="24"/>
          <w:szCs w:val="24"/>
          <w:lang w:val="en-GB"/>
        </w:rPr>
        <w:t>, vol. 43, no. 2, pp. e203–e206, 2021, doi: 10.1097/MPH.0000000000001674.</w:t>
      </w:r>
    </w:p>
    <w:p w14:paraId="2B81C130"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[108]</w:t>
      </w:r>
      <w:r w:rsidRPr="00C32263">
        <w:rPr>
          <w:rFonts w:ascii="Times New Roman" w:hAnsi="Times New Roman" w:cs="Times New Roman"/>
          <w:noProof/>
          <w:sz w:val="24"/>
          <w:szCs w:val="24"/>
          <w:lang w:val="en-GB"/>
        </w:rPr>
        <w:tab/>
        <w:t xml:space="preserve">H. Kenmotsu and Y. Tanigawara, “Pharmacokinetics, dynamics and toxicity of docetaxel: Why the Japanese dose differs from the Western dose,” </w:t>
      </w:r>
      <w:r w:rsidRPr="00C32263">
        <w:rPr>
          <w:rFonts w:ascii="Times New Roman" w:hAnsi="Times New Roman" w:cs="Times New Roman"/>
          <w:i/>
          <w:iCs/>
          <w:noProof/>
          <w:sz w:val="24"/>
          <w:szCs w:val="24"/>
          <w:lang w:val="en-GB"/>
        </w:rPr>
        <w:t>Cancer Sci.</w:t>
      </w:r>
      <w:r w:rsidRPr="00C32263">
        <w:rPr>
          <w:rFonts w:ascii="Times New Roman" w:hAnsi="Times New Roman" w:cs="Times New Roman"/>
          <w:noProof/>
          <w:sz w:val="24"/>
          <w:szCs w:val="24"/>
          <w:lang w:val="en-GB"/>
        </w:rPr>
        <w:t>, vol. 106, no. 5, pp. 497–504, 2015, doi: 10.1111/cas.12647.</w:t>
      </w:r>
    </w:p>
    <w:p w14:paraId="2BDD0822" w14:textId="4FB45541" w:rsidR="00C5503B" w:rsidRPr="00C32263" w:rsidRDefault="00C5503B" w:rsidP="00DF6674">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[109]</w:t>
      </w:r>
      <w:r w:rsidRPr="00C32263">
        <w:rPr>
          <w:rFonts w:ascii="Times New Roman" w:hAnsi="Times New Roman" w:cs="Times New Roman"/>
          <w:noProof/>
          <w:sz w:val="24"/>
          <w:szCs w:val="24"/>
          <w:lang w:val="en-GB"/>
        </w:rPr>
        <w:tab/>
        <w:t>Y. Ma</w:t>
      </w:r>
      <w:r w:rsidR="00DF6674" w:rsidRPr="00C32263">
        <w:rPr>
          <w:rFonts w:ascii="Times New Roman" w:hAnsi="Times New Roman" w:cs="Times New Roman"/>
          <w:noProof/>
          <w:sz w:val="24"/>
          <w:szCs w:val="24"/>
          <w:lang w:val="en-GB"/>
        </w:rPr>
        <w:t xml:space="preserve">, </w:t>
      </w:r>
      <w:r w:rsidRPr="00C32263">
        <w:rPr>
          <w:rFonts w:ascii="Times New Roman" w:hAnsi="Times New Roman" w:cs="Times New Roman"/>
          <w:noProof/>
          <w:sz w:val="24"/>
          <w:szCs w:val="24"/>
          <w:lang w:val="en-GB"/>
        </w:rPr>
        <w:t xml:space="preserve"> </w:t>
      </w:r>
      <w:r w:rsidR="00DF6674" w:rsidRPr="00C32263">
        <w:rPr>
          <w:rFonts w:ascii="Times New Roman" w:hAnsi="Times New Roman" w:cs="Times New Roman"/>
          <w:noProof/>
          <w:sz w:val="24"/>
          <w:szCs w:val="24"/>
          <w:lang w:val="en-GB"/>
        </w:rPr>
        <w:t>Q. Lin, Y. Yang</w:t>
      </w:r>
      <w:r w:rsidR="00DF6674" w:rsidRPr="00DF6674">
        <w:rPr>
          <w:rFonts w:ascii="Times New Roman" w:hAnsi="Times New Roman" w:cs="Times New Roman"/>
          <w:noProof/>
          <w:sz w:val="24"/>
          <w:szCs w:val="24"/>
          <w:lang w:val="en-GB"/>
        </w:rPr>
        <w:t>, W</w:t>
      </w:r>
      <w:r w:rsidR="00DF6674">
        <w:rPr>
          <w:rFonts w:ascii="Times New Roman" w:hAnsi="Times New Roman" w:cs="Times New Roman"/>
          <w:noProof/>
          <w:sz w:val="24"/>
          <w:szCs w:val="24"/>
          <w:lang w:val="en-GB"/>
        </w:rPr>
        <w:t>.</w:t>
      </w:r>
      <w:r w:rsidR="00DF6674" w:rsidRPr="00DF6674">
        <w:rPr>
          <w:rFonts w:ascii="Times New Roman" w:hAnsi="Times New Roman" w:cs="Times New Roman"/>
          <w:noProof/>
          <w:sz w:val="24"/>
          <w:szCs w:val="24"/>
          <w:lang w:val="en-GB"/>
        </w:rPr>
        <w:t xml:space="preserve"> Liang</w:t>
      </w:r>
      <w:r w:rsidR="00DF6674">
        <w:rPr>
          <w:rFonts w:ascii="Times New Roman" w:hAnsi="Times New Roman" w:cs="Times New Roman"/>
          <w:noProof/>
          <w:sz w:val="24"/>
          <w:szCs w:val="24"/>
          <w:lang w:val="en-GB"/>
        </w:rPr>
        <w:t>,</w:t>
      </w:r>
      <w:r w:rsidR="00DF6674" w:rsidRPr="00DF6674">
        <w:rPr>
          <w:rFonts w:ascii="Times New Roman" w:hAnsi="Times New Roman" w:cs="Times New Roman"/>
          <w:noProof/>
          <w:sz w:val="24"/>
          <w:szCs w:val="24"/>
          <w:lang w:val="en-GB"/>
        </w:rPr>
        <w:t xml:space="preserve"> S. J. Salamone, Y</w:t>
      </w:r>
      <w:r w:rsidR="004A2913">
        <w:rPr>
          <w:rFonts w:ascii="Times New Roman" w:hAnsi="Times New Roman" w:cs="Times New Roman"/>
          <w:noProof/>
          <w:sz w:val="24"/>
          <w:szCs w:val="24"/>
          <w:lang w:val="en-GB"/>
        </w:rPr>
        <w:t>.</w:t>
      </w:r>
      <w:r w:rsidR="00DF6674" w:rsidRPr="00DF6674">
        <w:rPr>
          <w:rFonts w:ascii="Times New Roman" w:hAnsi="Times New Roman" w:cs="Times New Roman"/>
          <w:noProof/>
          <w:sz w:val="24"/>
          <w:szCs w:val="24"/>
          <w:lang w:val="en-GB"/>
        </w:rPr>
        <w:t xml:space="preserve"> Li, Y</w:t>
      </w:r>
      <w:r w:rsidR="004A2913">
        <w:rPr>
          <w:rFonts w:ascii="Times New Roman" w:hAnsi="Times New Roman" w:cs="Times New Roman"/>
          <w:noProof/>
          <w:sz w:val="24"/>
          <w:szCs w:val="24"/>
          <w:lang w:val="en-GB"/>
        </w:rPr>
        <w:t>.</w:t>
      </w:r>
      <w:r w:rsidR="00DF6674" w:rsidRPr="00DF6674">
        <w:rPr>
          <w:rFonts w:ascii="Times New Roman" w:hAnsi="Times New Roman" w:cs="Times New Roman"/>
          <w:noProof/>
          <w:sz w:val="24"/>
          <w:szCs w:val="24"/>
          <w:lang w:val="en-GB"/>
        </w:rPr>
        <w:t>Lin, H</w:t>
      </w:r>
      <w:r w:rsidR="004A2913">
        <w:rPr>
          <w:rFonts w:ascii="Times New Roman" w:hAnsi="Times New Roman" w:cs="Times New Roman"/>
          <w:noProof/>
          <w:sz w:val="24"/>
          <w:szCs w:val="24"/>
          <w:lang w:val="en-GB"/>
        </w:rPr>
        <w:t>.</w:t>
      </w:r>
      <w:r w:rsidR="00DF6674" w:rsidRPr="00DF6674">
        <w:rPr>
          <w:rFonts w:ascii="Times New Roman" w:hAnsi="Times New Roman" w:cs="Times New Roman"/>
          <w:noProof/>
          <w:sz w:val="24"/>
          <w:szCs w:val="24"/>
          <w:lang w:val="en-GB"/>
        </w:rPr>
        <w:t xml:space="preserve"> Zhao, Y</w:t>
      </w:r>
      <w:r w:rsidR="004A2913">
        <w:rPr>
          <w:rFonts w:ascii="Times New Roman" w:hAnsi="Times New Roman" w:cs="Times New Roman"/>
          <w:noProof/>
          <w:sz w:val="24"/>
          <w:szCs w:val="24"/>
          <w:lang w:val="en-GB"/>
        </w:rPr>
        <w:t>.</w:t>
      </w:r>
      <w:r w:rsidR="00DF6674" w:rsidRPr="00DF6674">
        <w:rPr>
          <w:rFonts w:ascii="Times New Roman" w:hAnsi="Times New Roman" w:cs="Times New Roman"/>
          <w:noProof/>
          <w:sz w:val="24"/>
          <w:szCs w:val="24"/>
          <w:lang w:val="en-GB"/>
        </w:rPr>
        <w:t xml:space="preserve"> Zhao, W</w:t>
      </w:r>
      <w:r w:rsidR="004A2913">
        <w:rPr>
          <w:rFonts w:ascii="Times New Roman" w:hAnsi="Times New Roman" w:cs="Times New Roman"/>
          <w:noProof/>
          <w:sz w:val="24"/>
          <w:szCs w:val="24"/>
          <w:lang w:val="en-GB"/>
        </w:rPr>
        <w:t>.</w:t>
      </w:r>
      <w:r w:rsidR="00DF6674" w:rsidRPr="00DF6674">
        <w:rPr>
          <w:rFonts w:ascii="Times New Roman" w:hAnsi="Times New Roman" w:cs="Times New Roman"/>
          <w:noProof/>
          <w:sz w:val="24"/>
          <w:szCs w:val="24"/>
          <w:lang w:val="en-GB"/>
        </w:rPr>
        <w:t xml:space="preserve"> Fang, Y</w:t>
      </w:r>
      <w:r w:rsidR="00DB78BE">
        <w:rPr>
          <w:rFonts w:ascii="Times New Roman" w:hAnsi="Times New Roman" w:cs="Times New Roman"/>
          <w:noProof/>
          <w:sz w:val="24"/>
          <w:szCs w:val="24"/>
          <w:lang w:val="en-GB"/>
        </w:rPr>
        <w:t>.</w:t>
      </w:r>
      <w:r w:rsidR="00DF6674" w:rsidRPr="00DF6674">
        <w:rPr>
          <w:rFonts w:ascii="Times New Roman" w:hAnsi="Times New Roman" w:cs="Times New Roman"/>
          <w:noProof/>
          <w:sz w:val="24"/>
          <w:szCs w:val="24"/>
          <w:lang w:val="en-GB"/>
        </w:rPr>
        <w:t xml:space="preserve"> Huang, L</w:t>
      </w:r>
      <w:r w:rsidR="00DB78BE">
        <w:rPr>
          <w:rFonts w:ascii="Times New Roman" w:hAnsi="Times New Roman" w:cs="Times New Roman"/>
          <w:noProof/>
          <w:sz w:val="24"/>
          <w:szCs w:val="24"/>
          <w:lang w:val="en-GB"/>
        </w:rPr>
        <w:t>.</w:t>
      </w:r>
      <w:r w:rsidR="00DF6674" w:rsidRPr="00DF6674">
        <w:rPr>
          <w:rFonts w:ascii="Times New Roman" w:hAnsi="Times New Roman" w:cs="Times New Roman"/>
          <w:noProof/>
          <w:sz w:val="24"/>
          <w:szCs w:val="24"/>
          <w:lang w:val="en-GB"/>
        </w:rPr>
        <w:t xml:space="preserve"> Zhang</w:t>
      </w:r>
      <w:r w:rsidRPr="00DF6674">
        <w:rPr>
          <w:rFonts w:ascii="Times New Roman" w:hAnsi="Times New Roman" w:cs="Times New Roman"/>
          <w:noProof/>
          <w:sz w:val="24"/>
          <w:szCs w:val="24"/>
          <w:lang w:val="en-GB"/>
        </w:rPr>
        <w:t xml:space="preserve">, “Clinical pharmacokinetics and drug exposure-toxicity correlation  study of docetaxel based chemotherapy in Chinese </w:t>
      </w:r>
      <w:r w:rsidRPr="00DF6674">
        <w:rPr>
          <w:rFonts w:ascii="Times New Roman" w:hAnsi="Times New Roman" w:cs="Times New Roman"/>
          <w:noProof/>
          <w:sz w:val="24"/>
          <w:szCs w:val="24"/>
          <w:lang w:val="en-GB"/>
        </w:rPr>
        <w:lastRenderedPageBreak/>
        <w:t xml:space="preserve">head and  neck cancer patients,” </w:t>
      </w:r>
      <w:r w:rsidRPr="00DF6674">
        <w:rPr>
          <w:rFonts w:ascii="Times New Roman" w:hAnsi="Times New Roman" w:cs="Times New Roman"/>
          <w:i/>
          <w:iCs/>
          <w:noProof/>
          <w:sz w:val="24"/>
          <w:szCs w:val="24"/>
          <w:lang w:val="en-GB"/>
        </w:rPr>
        <w:t xml:space="preserve">Ann. </w:t>
      </w:r>
      <w:r w:rsidRPr="00C32263">
        <w:rPr>
          <w:rFonts w:ascii="Times New Roman" w:hAnsi="Times New Roman" w:cs="Times New Roman"/>
          <w:i/>
          <w:iCs/>
          <w:noProof/>
          <w:sz w:val="24"/>
          <w:szCs w:val="24"/>
          <w:lang w:val="en-GB"/>
        </w:rPr>
        <w:t>Transl. Med.</w:t>
      </w:r>
      <w:r w:rsidRPr="00C32263">
        <w:rPr>
          <w:rFonts w:ascii="Times New Roman" w:hAnsi="Times New Roman" w:cs="Times New Roman"/>
          <w:noProof/>
          <w:sz w:val="24"/>
          <w:szCs w:val="24"/>
          <w:lang w:val="en-GB"/>
        </w:rPr>
        <w:t>, vol. 8, no. 5, pp. 236–236, 2020, doi: 10.21037/atm.2020.01.76.</w:t>
      </w:r>
    </w:p>
    <w:p w14:paraId="598DD4F2" w14:textId="4130BF3B"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[110]</w:t>
      </w:r>
      <w:r w:rsidRPr="00C32263">
        <w:rPr>
          <w:rFonts w:ascii="Times New Roman" w:hAnsi="Times New Roman" w:cs="Times New Roman"/>
          <w:noProof/>
          <w:sz w:val="24"/>
          <w:szCs w:val="24"/>
          <w:lang w:val="en-GB"/>
        </w:rPr>
        <w:tab/>
        <w:t>F. K. Engels</w:t>
      </w:r>
      <w:r w:rsidR="00E46AF3" w:rsidRPr="00C32263">
        <w:rPr>
          <w:rFonts w:ascii="Times New Roman" w:hAnsi="Times New Roman" w:cs="Times New Roman"/>
          <w:noProof/>
          <w:sz w:val="24"/>
          <w:szCs w:val="24"/>
          <w:lang w:val="en-GB"/>
        </w:rPr>
        <w:t>, W. J. Loos, J. M. van der Bol1, P. de Bruijn, R. H.J. Mathijssen, J. Verweij, R. A.A. Mathot</w:t>
      </w:r>
      <w:r w:rsidRPr="00C32263">
        <w:rPr>
          <w:rFonts w:ascii="Times New Roman" w:hAnsi="Times New Roman" w:cs="Times New Roman"/>
          <w:noProof/>
          <w:sz w:val="24"/>
          <w:szCs w:val="24"/>
          <w:lang w:val="en-GB"/>
        </w:rPr>
        <w:t xml:space="preserve">, “Therapeutic drug monitoring for the individualization of docetaxel dosing: A randomized pharmacokinetic study,” </w:t>
      </w:r>
      <w:r w:rsidRPr="00C32263">
        <w:rPr>
          <w:rFonts w:ascii="Times New Roman" w:hAnsi="Times New Roman" w:cs="Times New Roman"/>
          <w:i/>
          <w:iCs/>
          <w:noProof/>
          <w:sz w:val="24"/>
          <w:szCs w:val="24"/>
          <w:lang w:val="en-GB"/>
        </w:rPr>
        <w:t>Clin. Cancer Res.</w:t>
      </w:r>
      <w:r w:rsidRPr="00C32263">
        <w:rPr>
          <w:rFonts w:ascii="Times New Roman" w:hAnsi="Times New Roman" w:cs="Times New Roman"/>
          <w:noProof/>
          <w:sz w:val="24"/>
          <w:szCs w:val="24"/>
          <w:lang w:val="en-GB"/>
        </w:rPr>
        <w:t>, vol. 17, no. 2, pp. 353–362, 2011, doi: 10.1158/1078-0432.CCR-10-1636.</w:t>
      </w:r>
    </w:p>
    <w:p w14:paraId="312F2487"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[111]</w:t>
      </w:r>
      <w:r w:rsidRPr="00C32263">
        <w:rPr>
          <w:rFonts w:ascii="Times New Roman" w:hAnsi="Times New Roman" w:cs="Times New Roman"/>
          <w:noProof/>
          <w:sz w:val="24"/>
          <w:szCs w:val="24"/>
          <w:lang w:val="en-GB"/>
        </w:rPr>
        <w:tab/>
        <w:t xml:space="preserve">G. Corona, C. Elia, B. Casetta, S. Frustaci, and G. Toffoli, “High-throughput plasma docetaxel quantification by liquid chromatography-tandem mass spectrometry,” </w:t>
      </w:r>
      <w:r w:rsidRPr="00C32263">
        <w:rPr>
          <w:rFonts w:ascii="Times New Roman" w:hAnsi="Times New Roman" w:cs="Times New Roman"/>
          <w:i/>
          <w:iCs/>
          <w:noProof/>
          <w:sz w:val="24"/>
          <w:szCs w:val="24"/>
          <w:lang w:val="en-GB"/>
        </w:rPr>
        <w:t>Clin. Chim. Acta</w:t>
      </w:r>
      <w:r w:rsidRPr="00C32263">
        <w:rPr>
          <w:rFonts w:ascii="Times New Roman" w:hAnsi="Times New Roman" w:cs="Times New Roman"/>
          <w:noProof/>
          <w:sz w:val="24"/>
          <w:szCs w:val="24"/>
          <w:lang w:val="en-GB"/>
        </w:rPr>
        <w:t>, vol. 412, no. 3–4, pp. 358–364, 2011, doi: 10.1016/j.cca.2010.11.010.</w:t>
      </w:r>
    </w:p>
    <w:p w14:paraId="789915FF" w14:textId="1099644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[112]</w:t>
      </w:r>
      <w:r w:rsidRPr="00C32263">
        <w:rPr>
          <w:rFonts w:ascii="Times New Roman" w:hAnsi="Times New Roman" w:cs="Times New Roman"/>
          <w:noProof/>
          <w:sz w:val="24"/>
          <w:szCs w:val="24"/>
          <w:lang w:val="en-GB"/>
        </w:rPr>
        <w:tab/>
        <w:t xml:space="preserve">A. Navarrete </w:t>
      </w:r>
      <w:r w:rsidR="00950CCC" w:rsidRPr="00C32263">
        <w:rPr>
          <w:rFonts w:ascii="Times New Roman" w:hAnsi="Times New Roman" w:cs="Times New Roman"/>
          <w:noProof/>
          <w:sz w:val="24"/>
          <w:szCs w:val="24"/>
          <w:lang w:val="en-GB"/>
        </w:rPr>
        <w:t>M. P</w:t>
      </w:r>
      <w:r w:rsidR="00950CCC" w:rsidRPr="00C32263">
        <w:rPr>
          <w:rFonts w:ascii="Times New Roman" w:hAnsi="Times New Roman" w:cs="Times New Roman"/>
          <w:i/>
          <w:iCs/>
          <w:noProof/>
          <w:sz w:val="24"/>
          <w:szCs w:val="24"/>
          <w:lang w:val="en-GB"/>
        </w:rPr>
        <w:t xml:space="preserve">. </w:t>
      </w:r>
      <w:r w:rsidR="00950CCC" w:rsidRPr="00C32263">
        <w:rPr>
          <w:rFonts w:ascii="Times New Roman" w:hAnsi="Times New Roman" w:cs="Times New Roman"/>
          <w:noProof/>
          <w:sz w:val="24"/>
          <w:szCs w:val="24"/>
          <w:lang w:val="en-GB"/>
        </w:rPr>
        <w:t>Martínez-Alcázara, I. Duránb, E. Calvob, B. Valenzuelac, C. Barbasa, A. García</w:t>
      </w:r>
      <w:r w:rsidRPr="00C32263">
        <w:rPr>
          <w:rFonts w:ascii="Times New Roman" w:hAnsi="Times New Roman" w:cs="Times New Roman"/>
          <w:i/>
          <w:iCs/>
          <w:noProof/>
          <w:sz w:val="24"/>
          <w:szCs w:val="24"/>
          <w:lang w:val="en-GB"/>
        </w:rPr>
        <w:t>.</w:t>
      </w:r>
      <w:r w:rsidRPr="00C32263">
        <w:rPr>
          <w:rFonts w:ascii="Times New Roman" w:hAnsi="Times New Roman" w:cs="Times New Roman"/>
          <w:noProof/>
          <w:sz w:val="24"/>
          <w:szCs w:val="24"/>
          <w:lang w:val="en-GB"/>
        </w:rPr>
        <w:t xml:space="preserve">, “Simultaneous online SPE-HPLC-MS/MS analysis of docetaxel, Temsirolimus and sirolimus in whole blood and human plasma,”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921–922, pp. 35–42, 2013, doi: 10.1016/j.jchromb.2013.01.017.</w:t>
      </w:r>
    </w:p>
    <w:p w14:paraId="23EDD85E" w14:textId="5E109BCE"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[113]</w:t>
      </w:r>
      <w:r w:rsidRPr="00C32263">
        <w:rPr>
          <w:rFonts w:ascii="Times New Roman" w:hAnsi="Times New Roman" w:cs="Times New Roman"/>
          <w:noProof/>
          <w:sz w:val="24"/>
          <w:szCs w:val="24"/>
          <w:lang w:val="en-GB"/>
        </w:rPr>
        <w:tab/>
        <w:t xml:space="preserve">H. Yamaguchi </w:t>
      </w:r>
      <w:r w:rsidR="004A39A2" w:rsidRPr="00C32263">
        <w:rPr>
          <w:rFonts w:ascii="Times New Roman" w:hAnsi="Times New Roman" w:cs="Times New Roman"/>
          <w:noProof/>
          <w:sz w:val="24"/>
          <w:szCs w:val="24"/>
          <w:lang w:val="en-GB"/>
        </w:rPr>
        <w:t>A. Fujikawaa, H. Itoa, N. Tanaka, A. Furugena, K. Miyamoria, N. Takahashib, J. Oguraa, M. Kobayashia, T. Yamadac, N. Manod, K. Iseki</w:t>
      </w:r>
      <w:r w:rsidRPr="00C32263">
        <w:rPr>
          <w:rFonts w:ascii="Times New Roman" w:hAnsi="Times New Roman" w:cs="Times New Roman"/>
          <w:i/>
          <w:iCs/>
          <w:noProof/>
          <w:sz w:val="24"/>
          <w:szCs w:val="24"/>
          <w:lang w:val="en-GB"/>
        </w:rPr>
        <w:t>.</w:t>
      </w:r>
      <w:r w:rsidRPr="00C32263">
        <w:rPr>
          <w:rFonts w:ascii="Times New Roman" w:hAnsi="Times New Roman" w:cs="Times New Roman"/>
          <w:noProof/>
          <w:sz w:val="24"/>
          <w:szCs w:val="24"/>
          <w:lang w:val="en-GB"/>
        </w:rPr>
        <w:t xml:space="preserve">, “A rapid and sensitive LC/ESI-MS/MS method for quantitative analysis of docetaxel in human plasma and its application to a pharmacokinetic study,”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893–894, pp. 157–161, 2012, doi: 10.1016/j.jchromb.2012.02.003.</w:t>
      </w:r>
    </w:p>
    <w:p w14:paraId="76924405" w14:textId="4FCD8B78"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[114]</w:t>
      </w:r>
      <w:r w:rsidRPr="00C32263">
        <w:rPr>
          <w:rFonts w:ascii="Times New Roman" w:hAnsi="Times New Roman" w:cs="Times New Roman"/>
          <w:noProof/>
          <w:sz w:val="24"/>
          <w:szCs w:val="24"/>
          <w:lang w:val="en-GB"/>
        </w:rPr>
        <w:tab/>
        <w:t xml:space="preserve">M. Nakamura-Horigome </w:t>
      </w:r>
      <w:r w:rsidR="00125F97" w:rsidRPr="00C32263">
        <w:rPr>
          <w:rFonts w:ascii="Times New Roman" w:hAnsi="Times New Roman" w:cs="Times New Roman"/>
          <w:noProof/>
          <w:sz w:val="24"/>
          <w:szCs w:val="24"/>
          <w:lang w:val="en-GB"/>
        </w:rPr>
        <w:t>J. Koyama, T. Eizawa, H. Kasai, S. Kumazaki,  H.Tsutsui, K. Koiwai, K. Oguchi, O. Kinoshita, Uichi Ikeda</w:t>
      </w:r>
      <w:r w:rsidRPr="00C32263">
        <w:rPr>
          <w:rFonts w:ascii="Times New Roman" w:hAnsi="Times New Roman" w:cs="Times New Roman"/>
          <w:noProof/>
          <w:sz w:val="24"/>
          <w:szCs w:val="24"/>
          <w:lang w:val="en-GB"/>
        </w:rPr>
        <w:t xml:space="preserve">, “Successful treatment of primary cardiac angiosarcoma with docetaxel and radiotherapy,” </w:t>
      </w:r>
      <w:r w:rsidRPr="00C32263">
        <w:rPr>
          <w:rFonts w:ascii="Times New Roman" w:hAnsi="Times New Roman" w:cs="Times New Roman"/>
          <w:i/>
          <w:iCs/>
          <w:noProof/>
          <w:sz w:val="24"/>
          <w:szCs w:val="24"/>
          <w:lang w:val="en-GB"/>
        </w:rPr>
        <w:t>Angiology</w:t>
      </w:r>
      <w:r w:rsidRPr="00C32263">
        <w:rPr>
          <w:rFonts w:ascii="Times New Roman" w:hAnsi="Times New Roman" w:cs="Times New Roman"/>
          <w:noProof/>
          <w:sz w:val="24"/>
          <w:szCs w:val="24"/>
          <w:lang w:val="en-GB"/>
        </w:rPr>
        <w:t>, vol. 59, no. 3, pp. 368–371, 2008, doi: 10.1177/0003319707308212.</w:t>
      </w:r>
    </w:p>
    <w:p w14:paraId="644864A8"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[115]</w:t>
      </w:r>
      <w:r w:rsidRPr="00C32263">
        <w:rPr>
          <w:rFonts w:ascii="Times New Roman" w:hAnsi="Times New Roman" w:cs="Times New Roman"/>
          <w:noProof/>
          <w:sz w:val="24"/>
          <w:szCs w:val="24"/>
          <w:lang w:val="en-GB"/>
        </w:rPr>
        <w:tab/>
        <w:t xml:space="preserve">I. E. L. M. Kuppens, M. J. van Maanen, H. Rosing, J. H. M. Schellens, and J. H. Beijnen, “Quantiative analysis of docetaxel in human plasma using liquid chromatography coupled with tandem mass spectrometry,” </w:t>
      </w:r>
      <w:r w:rsidRPr="00C32263">
        <w:rPr>
          <w:rFonts w:ascii="Times New Roman" w:hAnsi="Times New Roman" w:cs="Times New Roman"/>
          <w:i/>
          <w:iCs/>
          <w:noProof/>
          <w:sz w:val="24"/>
          <w:szCs w:val="24"/>
          <w:lang w:val="en-GB"/>
        </w:rPr>
        <w:t>Biomed. Chromatogr.</w:t>
      </w:r>
      <w:r w:rsidRPr="00C32263">
        <w:rPr>
          <w:rFonts w:ascii="Times New Roman" w:hAnsi="Times New Roman" w:cs="Times New Roman"/>
          <w:noProof/>
          <w:sz w:val="24"/>
          <w:szCs w:val="24"/>
          <w:lang w:val="en-GB"/>
        </w:rPr>
        <w:t>, vol. 19, no. 5, pp. 355–361, 2005, doi: 10.1002/bmc.457.</w:t>
      </w:r>
    </w:p>
    <w:p w14:paraId="484A7026"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[116]</w:t>
      </w:r>
      <w:r w:rsidRPr="00C32263">
        <w:rPr>
          <w:rFonts w:ascii="Times New Roman" w:hAnsi="Times New Roman" w:cs="Times New Roman"/>
          <w:noProof/>
          <w:sz w:val="24"/>
          <w:szCs w:val="24"/>
          <w:lang w:val="en-GB"/>
        </w:rPr>
        <w:tab/>
        <w:t xml:space="preserve">M. Kazemi, J. Emami, F. Hasanzadeh, M. Minaiyan, M. Mirian, and A. Lavasanifar, “Development of a RP-HPLC method for analysis of docetaxel in </w:t>
      </w:r>
      <w:r w:rsidRPr="00C32263">
        <w:rPr>
          <w:rFonts w:ascii="Times New Roman" w:hAnsi="Times New Roman" w:cs="Times New Roman"/>
          <w:noProof/>
          <w:sz w:val="24"/>
          <w:szCs w:val="24"/>
          <w:lang w:val="en-GB"/>
        </w:rPr>
        <w:lastRenderedPageBreak/>
        <w:t xml:space="preserve">tumor-bearing mice plasma and tissues following injection of docetaxel-loaded pH responsive targeting polymeric micelles,” </w:t>
      </w:r>
      <w:r w:rsidRPr="00C32263">
        <w:rPr>
          <w:rFonts w:ascii="Times New Roman" w:hAnsi="Times New Roman" w:cs="Times New Roman"/>
          <w:i/>
          <w:iCs/>
          <w:noProof/>
          <w:sz w:val="24"/>
          <w:szCs w:val="24"/>
          <w:lang w:val="en-GB"/>
        </w:rPr>
        <w:t>Res. Pharm. Sci.</w:t>
      </w:r>
      <w:r w:rsidRPr="00C32263">
        <w:rPr>
          <w:rFonts w:ascii="Times New Roman" w:hAnsi="Times New Roman" w:cs="Times New Roman"/>
          <w:noProof/>
          <w:sz w:val="24"/>
          <w:szCs w:val="24"/>
          <w:lang w:val="en-GB"/>
        </w:rPr>
        <w:t>, vol. 15, no. 1, pp. 1–13, 2020, doi: 10.4103/1735-5362.278710.</w:t>
      </w:r>
    </w:p>
    <w:p w14:paraId="6ABD49F4"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[117]</w:t>
      </w:r>
      <w:r w:rsidRPr="00C32263">
        <w:rPr>
          <w:rFonts w:ascii="Times New Roman" w:hAnsi="Times New Roman" w:cs="Times New Roman"/>
          <w:noProof/>
          <w:sz w:val="24"/>
          <w:szCs w:val="24"/>
          <w:lang w:val="en-GB"/>
        </w:rPr>
        <w:tab/>
        <w:t xml:space="preserve">E. Ziaei, J. Emami, M. Kazemi, and M. Rezazadeh, “Simultaneous determination of docetaxel and celecoxib in porous microparticles and rat plasma by liquid-liquid extraction and hplc with uv detection: In vitro and in vivo validation and application,” </w:t>
      </w:r>
      <w:r w:rsidRPr="00C32263">
        <w:rPr>
          <w:rFonts w:ascii="Times New Roman" w:hAnsi="Times New Roman" w:cs="Times New Roman"/>
          <w:i/>
          <w:iCs/>
          <w:noProof/>
          <w:sz w:val="24"/>
          <w:szCs w:val="24"/>
          <w:lang w:val="en-GB"/>
        </w:rPr>
        <w:t>J. Pharm. Pharm. Sci.</w:t>
      </w:r>
      <w:r w:rsidRPr="00C32263">
        <w:rPr>
          <w:rFonts w:ascii="Times New Roman" w:hAnsi="Times New Roman" w:cs="Times New Roman"/>
          <w:noProof/>
          <w:sz w:val="24"/>
          <w:szCs w:val="24"/>
          <w:lang w:val="en-GB"/>
        </w:rPr>
        <w:t>, vol. 23, no. 1, pp. 289–303, 2020, doi: 10.18433/JPPS30912.</w:t>
      </w:r>
    </w:p>
    <w:p w14:paraId="7ACB01E9" w14:textId="6844369A" w:rsidR="00C5503B" w:rsidRPr="00C32263" w:rsidRDefault="00C5503B" w:rsidP="006F44C4">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[118]</w:t>
      </w:r>
      <w:r w:rsidRPr="00C32263">
        <w:rPr>
          <w:rFonts w:ascii="Times New Roman" w:hAnsi="Times New Roman" w:cs="Times New Roman"/>
          <w:noProof/>
          <w:sz w:val="24"/>
          <w:szCs w:val="24"/>
          <w:lang w:val="en-GB"/>
        </w:rPr>
        <w:tab/>
        <w:t>D. W. Kim</w:t>
      </w:r>
      <w:r w:rsidR="006F44C4"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6F44C4" w:rsidRPr="00C32263">
        <w:rPr>
          <w:rFonts w:ascii="Times New Roman" w:hAnsi="Times New Roman" w:cs="Times New Roman"/>
          <w:i/>
          <w:iCs/>
          <w:noProof/>
          <w:sz w:val="24"/>
          <w:szCs w:val="24"/>
          <w:lang w:val="en-GB"/>
        </w:rPr>
        <w:t>A</w:t>
      </w:r>
      <w:r w:rsidR="006F44C4" w:rsidRPr="00C32263">
        <w:rPr>
          <w:rFonts w:ascii="Times New Roman" w:hAnsi="Times New Roman" w:cs="Times New Roman"/>
          <w:noProof/>
          <w:sz w:val="24"/>
          <w:szCs w:val="24"/>
          <w:lang w:val="en-GB"/>
        </w:rPr>
        <w:t>. M. Yousaf</w:t>
      </w:r>
      <w:r w:rsidR="006F44C4" w:rsidRPr="006F44C4">
        <w:rPr>
          <w:rFonts w:ascii="Times New Roman" w:hAnsi="Times New Roman" w:cs="Times New Roman"/>
          <w:noProof/>
          <w:sz w:val="24"/>
          <w:szCs w:val="24"/>
          <w:lang w:val="en-GB"/>
        </w:rPr>
        <w:t>, D. X. Li, J. O. Kim</w:t>
      </w:r>
      <w:r w:rsidR="006F44C4" w:rsidRPr="00C32263">
        <w:rPr>
          <w:rFonts w:ascii="Times New Roman" w:hAnsi="Times New Roman" w:cs="Times New Roman"/>
          <w:noProof/>
          <w:sz w:val="24"/>
          <w:szCs w:val="24"/>
          <w:lang w:val="en-GB"/>
        </w:rPr>
        <w:t>,C. S. Yong, K. H. Cho, Han-Gon Choi</w:t>
      </w:r>
      <w:r w:rsidRPr="00C32263">
        <w:rPr>
          <w:rFonts w:ascii="Times New Roman" w:hAnsi="Times New Roman" w:cs="Times New Roman"/>
          <w:noProof/>
          <w:sz w:val="24"/>
          <w:szCs w:val="24"/>
          <w:lang w:val="en-GB"/>
        </w:rPr>
        <w:t xml:space="preserve">, “Development of RP-HPLC method for simultaneous determination of docetaxel and curcumin in rat plasma: Validation and stability,” </w:t>
      </w:r>
      <w:r w:rsidRPr="00C32263">
        <w:rPr>
          <w:rFonts w:ascii="Times New Roman" w:hAnsi="Times New Roman" w:cs="Times New Roman"/>
          <w:i/>
          <w:iCs/>
          <w:noProof/>
          <w:sz w:val="24"/>
          <w:szCs w:val="24"/>
          <w:lang w:val="en-GB"/>
        </w:rPr>
        <w:t>Asian J. Pharm. Sci.</w:t>
      </w:r>
      <w:r w:rsidRPr="00C32263">
        <w:rPr>
          <w:rFonts w:ascii="Times New Roman" w:hAnsi="Times New Roman" w:cs="Times New Roman"/>
          <w:noProof/>
          <w:sz w:val="24"/>
          <w:szCs w:val="24"/>
          <w:lang w:val="en-GB"/>
        </w:rPr>
        <w:t>, vol. 12, no. 1, pp. 105–113, 2017, doi: 10.1016/j.ajps.2016.08.002.</w:t>
      </w:r>
    </w:p>
    <w:p w14:paraId="5915338A"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[119]</w:t>
      </w:r>
      <w:r w:rsidRPr="00C32263">
        <w:rPr>
          <w:rFonts w:ascii="Times New Roman" w:hAnsi="Times New Roman" w:cs="Times New Roman"/>
          <w:noProof/>
          <w:sz w:val="24"/>
          <w:szCs w:val="24"/>
          <w:lang w:val="en-GB"/>
        </w:rPr>
        <w:tab/>
        <w:t xml:space="preserve">P. B. Kharkar, S. S. Talkar, and V. B. Patravale, “A rapid and sensitive bio analytical rp-hplc method for detection of docetaxel: Development and validation,” </w:t>
      </w:r>
      <w:r w:rsidRPr="00C32263">
        <w:rPr>
          <w:rFonts w:ascii="Times New Roman" w:hAnsi="Times New Roman" w:cs="Times New Roman"/>
          <w:i/>
          <w:iCs/>
          <w:noProof/>
          <w:sz w:val="24"/>
          <w:szCs w:val="24"/>
          <w:lang w:val="en-GB"/>
        </w:rPr>
        <w:t>Indian J. Pharm. Educ. Res.</w:t>
      </w:r>
      <w:r w:rsidRPr="00C32263">
        <w:rPr>
          <w:rFonts w:ascii="Times New Roman" w:hAnsi="Times New Roman" w:cs="Times New Roman"/>
          <w:noProof/>
          <w:sz w:val="24"/>
          <w:szCs w:val="24"/>
          <w:lang w:val="en-GB"/>
        </w:rPr>
        <w:t>, vol. 51, no. 4, pp. S729–S734, 2017, doi: 10.5530/ijper.51.4s.105.</w:t>
      </w:r>
    </w:p>
    <w:p w14:paraId="1D67248E" w14:textId="4AF71DF0"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[120]</w:t>
      </w:r>
      <w:r w:rsidRPr="00C32263">
        <w:rPr>
          <w:rFonts w:ascii="Times New Roman" w:hAnsi="Times New Roman" w:cs="Times New Roman"/>
          <w:noProof/>
          <w:sz w:val="24"/>
          <w:szCs w:val="24"/>
          <w:lang w:val="en-GB"/>
        </w:rPr>
        <w:tab/>
        <w:t>Q. Xu</w:t>
      </w:r>
      <w:r w:rsidR="00BD1962" w:rsidRPr="00C32263">
        <w:rPr>
          <w:rFonts w:ascii="Times New Roman" w:hAnsi="Times New Roman" w:cs="Times New Roman"/>
          <w:noProof/>
          <w:sz w:val="24"/>
          <w:szCs w:val="24"/>
          <w:lang w:val="en-GB"/>
        </w:rPr>
        <w:t>,</w:t>
      </w:r>
      <w:r w:rsidRPr="00C32263">
        <w:rPr>
          <w:rFonts w:ascii="Times New Roman" w:hAnsi="Times New Roman" w:cs="Times New Roman"/>
          <w:noProof/>
          <w:sz w:val="24"/>
          <w:szCs w:val="24"/>
          <w:lang w:val="en-GB"/>
        </w:rPr>
        <w:t xml:space="preserve"> </w:t>
      </w:r>
      <w:r w:rsidR="00B619EA" w:rsidRPr="00C32263">
        <w:rPr>
          <w:rFonts w:ascii="Times New Roman" w:hAnsi="Times New Roman" w:cs="Times New Roman"/>
          <w:noProof/>
          <w:sz w:val="24"/>
          <w:szCs w:val="24"/>
          <w:lang w:val="en-GB"/>
        </w:rPr>
        <w:t>N. Zhang, X</w:t>
      </w:r>
      <w:r w:rsidR="00BD1962" w:rsidRPr="00C32263">
        <w:rPr>
          <w:rFonts w:ascii="Times New Roman" w:hAnsi="Times New Roman" w:cs="Times New Roman"/>
          <w:noProof/>
          <w:sz w:val="24"/>
          <w:szCs w:val="24"/>
          <w:lang w:val="en-GB"/>
        </w:rPr>
        <w:t>.</w:t>
      </w:r>
      <w:r w:rsidR="00B619EA" w:rsidRPr="00C32263">
        <w:rPr>
          <w:rFonts w:ascii="Times New Roman" w:hAnsi="Times New Roman" w:cs="Times New Roman"/>
          <w:noProof/>
          <w:sz w:val="24"/>
          <w:szCs w:val="24"/>
          <w:lang w:val="en-GB"/>
        </w:rPr>
        <w:t xml:space="preserve"> Yin, M</w:t>
      </w:r>
      <w:r w:rsidR="00BD1962" w:rsidRPr="00C32263">
        <w:rPr>
          <w:rFonts w:ascii="Times New Roman" w:hAnsi="Times New Roman" w:cs="Times New Roman"/>
          <w:noProof/>
          <w:sz w:val="24"/>
          <w:szCs w:val="24"/>
          <w:lang w:val="en-GB"/>
        </w:rPr>
        <w:t>.</w:t>
      </w:r>
      <w:r w:rsidR="00B619EA" w:rsidRPr="00C32263">
        <w:rPr>
          <w:rFonts w:ascii="Times New Roman" w:hAnsi="Times New Roman" w:cs="Times New Roman"/>
          <w:noProof/>
          <w:sz w:val="24"/>
          <w:szCs w:val="24"/>
          <w:lang w:val="en-GB"/>
        </w:rPr>
        <w:t xml:space="preserve"> Wang, Y</w:t>
      </w:r>
      <w:r w:rsidR="00BD1962" w:rsidRPr="00C32263">
        <w:rPr>
          <w:rFonts w:ascii="Times New Roman" w:hAnsi="Times New Roman" w:cs="Times New Roman"/>
          <w:noProof/>
          <w:sz w:val="24"/>
          <w:szCs w:val="24"/>
          <w:lang w:val="en-GB"/>
        </w:rPr>
        <w:t>.</w:t>
      </w:r>
      <w:r w:rsidR="00B619EA" w:rsidRPr="00C32263">
        <w:rPr>
          <w:rFonts w:ascii="Times New Roman" w:hAnsi="Times New Roman" w:cs="Times New Roman"/>
          <w:noProof/>
          <w:sz w:val="24"/>
          <w:szCs w:val="24"/>
          <w:lang w:val="en-GB"/>
        </w:rPr>
        <w:t xml:space="preserve"> Shen, S</w:t>
      </w:r>
      <w:r w:rsidR="00BD1962" w:rsidRPr="00C32263">
        <w:rPr>
          <w:rFonts w:ascii="Times New Roman" w:hAnsi="Times New Roman" w:cs="Times New Roman"/>
          <w:noProof/>
          <w:sz w:val="24"/>
          <w:szCs w:val="24"/>
          <w:lang w:val="en-GB"/>
        </w:rPr>
        <w:t>.</w:t>
      </w:r>
      <w:r w:rsidR="00B619EA" w:rsidRPr="00C32263">
        <w:rPr>
          <w:rFonts w:ascii="Times New Roman" w:hAnsi="Times New Roman" w:cs="Times New Roman"/>
          <w:noProof/>
          <w:sz w:val="24"/>
          <w:szCs w:val="24"/>
          <w:lang w:val="en-GB"/>
        </w:rPr>
        <w:t xml:space="preserve"> Xu, L</w:t>
      </w:r>
      <w:r w:rsidR="00BD1962" w:rsidRPr="00C32263">
        <w:rPr>
          <w:rFonts w:ascii="Times New Roman" w:hAnsi="Times New Roman" w:cs="Times New Roman"/>
          <w:noProof/>
          <w:sz w:val="24"/>
          <w:szCs w:val="24"/>
          <w:lang w:val="en-GB"/>
        </w:rPr>
        <w:t>.</w:t>
      </w:r>
      <w:r w:rsidR="00B619EA" w:rsidRPr="00C32263">
        <w:rPr>
          <w:rFonts w:ascii="Times New Roman" w:hAnsi="Times New Roman" w:cs="Times New Roman"/>
          <w:noProof/>
          <w:sz w:val="24"/>
          <w:szCs w:val="24"/>
          <w:lang w:val="en-GB"/>
        </w:rPr>
        <w:t xml:space="preserve"> Zhang, Z</w:t>
      </w:r>
      <w:r w:rsidR="00BD1962" w:rsidRPr="00C32263">
        <w:rPr>
          <w:rFonts w:ascii="Times New Roman" w:hAnsi="Times New Roman" w:cs="Times New Roman"/>
          <w:noProof/>
          <w:sz w:val="24"/>
          <w:szCs w:val="24"/>
          <w:lang w:val="en-GB"/>
        </w:rPr>
        <w:t>.</w:t>
      </w:r>
      <w:r w:rsidR="00B619EA" w:rsidRPr="00C32263">
        <w:rPr>
          <w:rFonts w:ascii="Times New Roman" w:hAnsi="Times New Roman" w:cs="Times New Roman"/>
          <w:noProof/>
          <w:sz w:val="24"/>
          <w:szCs w:val="24"/>
          <w:lang w:val="en-GB"/>
        </w:rPr>
        <w:t xml:space="preserve"> Gu</w:t>
      </w:r>
      <w:r w:rsidRPr="00C32263">
        <w:rPr>
          <w:rFonts w:ascii="Times New Roman" w:hAnsi="Times New Roman" w:cs="Times New Roman"/>
          <w:noProof/>
          <w:sz w:val="24"/>
          <w:szCs w:val="24"/>
          <w:lang w:val="en-GB"/>
        </w:rPr>
        <w:t xml:space="preserve">., “Development and validation of a nylon6 nanofibers mat-based SPE coupled with HPLC method for the determination of docetaxel in rabbit plasma and its application to the relative bioavailability study,” </w:t>
      </w:r>
      <w:r w:rsidRPr="00C32263">
        <w:rPr>
          <w:rFonts w:ascii="Times New Roman" w:hAnsi="Times New Roman" w:cs="Times New Roman"/>
          <w:i/>
          <w:iCs/>
          <w:noProof/>
          <w:sz w:val="24"/>
          <w:szCs w:val="24"/>
          <w:lang w:val="en-GB"/>
        </w:rPr>
        <w:t>J. Chromatogr. B Anal. Technol. Biomed. Life Sci.</w:t>
      </w:r>
      <w:r w:rsidRPr="00C32263">
        <w:rPr>
          <w:rFonts w:ascii="Times New Roman" w:hAnsi="Times New Roman" w:cs="Times New Roman"/>
          <w:noProof/>
          <w:sz w:val="24"/>
          <w:szCs w:val="24"/>
          <w:lang w:val="en-GB"/>
        </w:rPr>
        <w:t>, vol. 878, no. 26, pp. 2403–2408, 2010, doi: 10.1016/j.jchromb.2010.07.011.</w:t>
      </w:r>
    </w:p>
    <w:p w14:paraId="18F212E3"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[121]</w:t>
      </w:r>
      <w:r w:rsidRPr="00C32263">
        <w:rPr>
          <w:rFonts w:ascii="Times New Roman" w:hAnsi="Times New Roman" w:cs="Times New Roman"/>
          <w:noProof/>
          <w:sz w:val="24"/>
          <w:szCs w:val="24"/>
          <w:lang w:val="en-GB"/>
        </w:rPr>
        <w:tab/>
        <w:t xml:space="preserve">J. J. M. A. Hendrikx, H. Rosing, A. H. Schinkel, J. H. M. Schellens, and J. H. Beijnen, “Combined quantification of paclitaxel, docetaxel and ritonavir in human feces and urine using LC-MS/MS,” </w:t>
      </w:r>
      <w:r w:rsidRPr="00C32263">
        <w:rPr>
          <w:rFonts w:ascii="Times New Roman" w:hAnsi="Times New Roman" w:cs="Times New Roman"/>
          <w:i/>
          <w:iCs/>
          <w:noProof/>
          <w:sz w:val="24"/>
          <w:szCs w:val="24"/>
          <w:lang w:val="en-GB"/>
        </w:rPr>
        <w:t>Biomed. Chromatogr.</w:t>
      </w:r>
      <w:r w:rsidRPr="00C32263">
        <w:rPr>
          <w:rFonts w:ascii="Times New Roman" w:hAnsi="Times New Roman" w:cs="Times New Roman"/>
          <w:noProof/>
          <w:sz w:val="24"/>
          <w:szCs w:val="24"/>
          <w:lang w:val="en-GB"/>
        </w:rPr>
        <w:t>, vol. 28, no. 2, pp. 302–310, 2013, doi: 10.1002/bmc.3021.</w:t>
      </w:r>
    </w:p>
    <w:p w14:paraId="19CB43E4" w14:textId="77777777" w:rsidR="00C5503B" w:rsidRPr="00C32263" w:rsidRDefault="00C5503B" w:rsidP="00A822FE">
      <w:pPr>
        <w:widowControl w:val="0"/>
        <w:autoSpaceDE w:val="0"/>
        <w:autoSpaceDN w:val="0"/>
        <w:adjustRightInd w:val="0"/>
        <w:spacing w:line="360" w:lineRule="auto"/>
        <w:ind w:left="851" w:hanging="851"/>
        <w:rPr>
          <w:rFonts w:ascii="Times New Roman" w:hAnsi="Times New Roman" w:cs="Times New Roman"/>
          <w:noProof/>
          <w:sz w:val="24"/>
          <w:szCs w:val="24"/>
          <w:lang w:val="en-GB"/>
        </w:rPr>
      </w:pPr>
      <w:r w:rsidRPr="00C32263">
        <w:rPr>
          <w:rFonts w:ascii="Times New Roman" w:hAnsi="Times New Roman" w:cs="Times New Roman"/>
          <w:noProof/>
          <w:sz w:val="24"/>
          <w:szCs w:val="24"/>
          <w:lang w:val="en-GB"/>
        </w:rPr>
        <w:t>[122]</w:t>
      </w:r>
      <w:r w:rsidRPr="00C32263">
        <w:rPr>
          <w:rFonts w:ascii="Times New Roman" w:hAnsi="Times New Roman" w:cs="Times New Roman"/>
          <w:noProof/>
          <w:sz w:val="24"/>
          <w:szCs w:val="24"/>
          <w:lang w:val="en-GB"/>
        </w:rPr>
        <w:tab/>
        <w:t xml:space="preserve">G. H. da Silva, M. A. Fernandes, L. N. F. Trevizan, F. T. de Lima, J. O. Eloy, and M. Chorilli, “A Critical Review of Properties and Analytical Methods for the Determination of Docetaxel in Biological and Pharmaceutical Matrices,” </w:t>
      </w:r>
      <w:r w:rsidRPr="00C32263">
        <w:rPr>
          <w:rFonts w:ascii="Times New Roman" w:hAnsi="Times New Roman" w:cs="Times New Roman"/>
          <w:i/>
          <w:iCs/>
          <w:noProof/>
          <w:sz w:val="24"/>
          <w:szCs w:val="24"/>
          <w:lang w:val="en-GB"/>
        </w:rPr>
        <w:t>Crit. Rev. Anal. Chem.</w:t>
      </w:r>
      <w:r w:rsidRPr="00C32263">
        <w:rPr>
          <w:rFonts w:ascii="Times New Roman" w:hAnsi="Times New Roman" w:cs="Times New Roman"/>
          <w:noProof/>
          <w:sz w:val="24"/>
          <w:szCs w:val="24"/>
          <w:lang w:val="en-GB"/>
        </w:rPr>
        <w:t>, vol. 48, no. 6, pp. 517–527, 2018, doi: 10.1080/10408347.2018.1456315.</w:t>
      </w:r>
    </w:p>
    <w:p w14:paraId="25F848DD" w14:textId="77777777" w:rsidR="00C5503B" w:rsidRPr="00C5503B" w:rsidRDefault="00C5503B" w:rsidP="00A822FE">
      <w:pPr>
        <w:widowControl w:val="0"/>
        <w:autoSpaceDE w:val="0"/>
        <w:autoSpaceDN w:val="0"/>
        <w:adjustRightInd w:val="0"/>
        <w:spacing w:line="360" w:lineRule="auto"/>
        <w:ind w:left="851" w:hanging="851"/>
        <w:rPr>
          <w:rFonts w:ascii="Times New Roman" w:hAnsi="Times New Roman" w:cs="Times New Roman"/>
          <w:noProof/>
          <w:sz w:val="24"/>
        </w:rPr>
      </w:pPr>
      <w:r w:rsidRPr="00C32263">
        <w:rPr>
          <w:rFonts w:ascii="Times New Roman" w:hAnsi="Times New Roman" w:cs="Times New Roman"/>
          <w:noProof/>
          <w:sz w:val="24"/>
          <w:szCs w:val="24"/>
          <w:lang w:val="en-GB"/>
        </w:rPr>
        <w:lastRenderedPageBreak/>
        <w:t>[123]</w:t>
      </w:r>
      <w:r w:rsidRPr="00C32263">
        <w:rPr>
          <w:rFonts w:ascii="Times New Roman" w:hAnsi="Times New Roman" w:cs="Times New Roman"/>
          <w:noProof/>
          <w:sz w:val="24"/>
          <w:szCs w:val="24"/>
          <w:lang w:val="en-GB"/>
        </w:rPr>
        <w:tab/>
        <w:t xml:space="preserve">M. Imran, S. Saleem, A. Chaudhuri, J. Ali, and S. Baboota, “Docetaxel: An update on its molecular mechanisms, therapeutic trajectory and nanotechnology in the treatment of breast, lung and prostate cancer,” </w:t>
      </w:r>
      <w:r w:rsidRPr="00C32263">
        <w:rPr>
          <w:rFonts w:ascii="Times New Roman" w:hAnsi="Times New Roman" w:cs="Times New Roman"/>
          <w:i/>
          <w:iCs/>
          <w:noProof/>
          <w:sz w:val="24"/>
          <w:szCs w:val="24"/>
          <w:lang w:val="en-GB"/>
        </w:rPr>
        <w:t xml:space="preserve">J. Drug Deliv. </w:t>
      </w:r>
      <w:r w:rsidRPr="00C5503B">
        <w:rPr>
          <w:rFonts w:ascii="Times New Roman" w:hAnsi="Times New Roman" w:cs="Times New Roman"/>
          <w:i/>
          <w:iCs/>
          <w:noProof/>
          <w:sz w:val="24"/>
          <w:szCs w:val="24"/>
        </w:rPr>
        <w:t>Sci. Technol.</w:t>
      </w:r>
      <w:r w:rsidRPr="00C5503B">
        <w:rPr>
          <w:rFonts w:ascii="Times New Roman" w:hAnsi="Times New Roman" w:cs="Times New Roman"/>
          <w:noProof/>
          <w:sz w:val="24"/>
          <w:szCs w:val="24"/>
        </w:rPr>
        <w:t>, vol. 60, no. August, p. 101959, 2020, doi: 10.1016/j.jddst.2020.101959.</w:t>
      </w:r>
    </w:p>
    <w:p w14:paraId="0C26DC1D" w14:textId="77777777" w:rsidR="006C6CAA" w:rsidRPr="00C32263" w:rsidRDefault="00955318" w:rsidP="00A822FE">
      <w:pPr>
        <w:spacing w:line="360" w:lineRule="auto"/>
        <w:ind w:left="851" w:hanging="851"/>
        <w:jc w:val="both"/>
        <w:rPr>
          <w:rFonts w:ascii="Times New Roman" w:hAnsi="Times New Roman" w:cs="Times New Roman"/>
          <w:b/>
          <w:sz w:val="24"/>
          <w:szCs w:val="24"/>
        </w:rPr>
        <w:sectPr w:rsidR="006C6CAA" w:rsidRPr="00C32263" w:rsidSect="00C32263">
          <w:pgSz w:w="11906" w:h="16838"/>
          <w:pgMar w:top="1418" w:right="1134" w:bottom="1418" w:left="1985" w:header="709" w:footer="709" w:gutter="0"/>
          <w:cols w:space="708"/>
          <w:docGrid w:linePitch="360"/>
        </w:sectPr>
      </w:pPr>
      <w:r w:rsidRPr="00E11754">
        <w:rPr>
          <w:rFonts w:ascii="Times New Roman" w:hAnsi="Times New Roman" w:cs="Times New Roman"/>
          <w:b/>
          <w:sz w:val="24"/>
          <w:szCs w:val="24"/>
        </w:rPr>
        <w:fldChar w:fldCharType="end"/>
      </w:r>
    </w:p>
    <w:p w14:paraId="49D70A5E" w14:textId="77777777" w:rsidR="006C6CAA" w:rsidRPr="00E11754" w:rsidRDefault="006C6CAA" w:rsidP="006C6CAA">
      <w:pPr>
        <w:pStyle w:val="Nagwek1"/>
        <w:jc w:val="center"/>
        <w:rPr>
          <w:rFonts w:ascii="Times New Roman" w:hAnsi="Times New Roman" w:cs="Times New Roman"/>
          <w:b/>
          <w:bCs/>
          <w:sz w:val="24"/>
          <w:szCs w:val="24"/>
        </w:rPr>
      </w:pPr>
      <w:bookmarkStart w:id="35" w:name="_Toc135306237"/>
      <w:bookmarkStart w:id="36" w:name="_Toc137702489"/>
      <w:r w:rsidRPr="00E11754">
        <w:rPr>
          <w:rFonts w:ascii="Times New Roman" w:hAnsi="Times New Roman" w:cs="Times New Roman"/>
          <w:b/>
          <w:bCs/>
          <w:sz w:val="24"/>
          <w:szCs w:val="24"/>
        </w:rPr>
        <w:lastRenderedPageBreak/>
        <w:t>Publikacje, które wchodzą w skład rozprawy doktorskiej</w:t>
      </w:r>
      <w:bookmarkEnd w:id="35"/>
      <w:bookmarkEnd w:id="36"/>
    </w:p>
    <w:p w14:paraId="5E4CC60E" w14:textId="6A65EF0F" w:rsidR="00C317A4" w:rsidRPr="00E11754" w:rsidRDefault="00C317A4" w:rsidP="00C317A4">
      <w:pPr>
        <w:spacing w:line="360" w:lineRule="auto"/>
        <w:jc w:val="both"/>
        <w:rPr>
          <w:rFonts w:ascii="Times New Roman" w:hAnsi="Times New Roman" w:cs="Times New Roman"/>
          <w:b/>
          <w:sz w:val="24"/>
          <w:szCs w:val="24"/>
        </w:rPr>
      </w:pPr>
    </w:p>
    <w:sectPr w:rsidR="00C317A4" w:rsidRPr="00E11754" w:rsidSect="00FF3370">
      <w:pgSz w:w="11906" w:h="16838"/>
      <w:pgMar w:top="1418" w:right="1134"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5E746" w14:textId="77777777" w:rsidR="00E23F1F" w:rsidRDefault="00E23F1F" w:rsidP="0076673E">
      <w:pPr>
        <w:spacing w:after="0" w:line="240" w:lineRule="auto"/>
      </w:pPr>
      <w:r>
        <w:separator/>
      </w:r>
    </w:p>
  </w:endnote>
  <w:endnote w:type="continuationSeparator" w:id="0">
    <w:p w14:paraId="1B92CBAA" w14:textId="77777777" w:rsidR="00E23F1F" w:rsidRDefault="00E23F1F" w:rsidP="0076673E">
      <w:pPr>
        <w:spacing w:after="0" w:line="240" w:lineRule="auto"/>
      </w:pPr>
      <w:r>
        <w:continuationSeparator/>
      </w:r>
    </w:p>
  </w:endnote>
  <w:endnote w:type="continuationNotice" w:id="1">
    <w:p w14:paraId="200FD0F6" w14:textId="77777777" w:rsidR="00E23F1F" w:rsidRDefault="00E23F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harisSIL">
    <w:altName w:val="MS Gothic"/>
    <w:panose1 w:val="00000000000000000000"/>
    <w:charset w:val="80"/>
    <w:family w:val="swiss"/>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761348"/>
      <w:docPartObj>
        <w:docPartGallery w:val="Page Numbers (Bottom of Page)"/>
        <w:docPartUnique/>
      </w:docPartObj>
    </w:sdtPr>
    <w:sdtEndPr/>
    <w:sdtContent>
      <w:p w14:paraId="15440B84" w14:textId="1CF3D13C" w:rsidR="00D5401B" w:rsidRDefault="00D5401B">
        <w:pPr>
          <w:pStyle w:val="Stopka"/>
          <w:jc w:val="right"/>
        </w:pPr>
        <w:r>
          <w:fldChar w:fldCharType="begin"/>
        </w:r>
        <w:r>
          <w:instrText>PAGE   \* MERGEFORMAT</w:instrText>
        </w:r>
        <w:r>
          <w:fldChar w:fldCharType="separate"/>
        </w:r>
        <w:r w:rsidR="00E60620">
          <w:rPr>
            <w:noProof/>
          </w:rPr>
          <w:t>21</w:t>
        </w:r>
        <w:r>
          <w:fldChar w:fldCharType="end"/>
        </w:r>
      </w:p>
    </w:sdtContent>
  </w:sdt>
  <w:p w14:paraId="728252FF" w14:textId="77777777" w:rsidR="00D5401B" w:rsidRDefault="00D5401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E4482" w14:textId="77777777" w:rsidR="00E23F1F" w:rsidRDefault="00E23F1F" w:rsidP="0076673E">
      <w:pPr>
        <w:spacing w:after="0" w:line="240" w:lineRule="auto"/>
      </w:pPr>
      <w:r>
        <w:separator/>
      </w:r>
    </w:p>
  </w:footnote>
  <w:footnote w:type="continuationSeparator" w:id="0">
    <w:p w14:paraId="3016C930" w14:textId="77777777" w:rsidR="00E23F1F" w:rsidRDefault="00E23F1F" w:rsidP="0076673E">
      <w:pPr>
        <w:spacing w:after="0" w:line="240" w:lineRule="auto"/>
      </w:pPr>
      <w:r>
        <w:continuationSeparator/>
      </w:r>
    </w:p>
  </w:footnote>
  <w:footnote w:type="continuationNotice" w:id="1">
    <w:p w14:paraId="71FD56FE" w14:textId="77777777" w:rsidR="00E23F1F" w:rsidRDefault="00E23F1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hNYfDy/rjgkG47" int2:id="w02ELVK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C40"/>
    <w:multiLevelType w:val="hybridMultilevel"/>
    <w:tmpl w:val="E5BE6E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320B14"/>
    <w:multiLevelType w:val="hybridMultilevel"/>
    <w:tmpl w:val="46A470F6"/>
    <w:lvl w:ilvl="0" w:tplc="2AAA16C8">
      <w:start w:val="1"/>
      <w:numFmt w:val="bullet"/>
      <w:lvlText w:val=""/>
      <w:lvlJc w:val="left"/>
      <w:pPr>
        <w:tabs>
          <w:tab w:val="num" w:pos="720"/>
        </w:tabs>
        <w:ind w:left="720" w:hanging="360"/>
      </w:pPr>
      <w:rPr>
        <w:rFonts w:ascii="Wingdings" w:hAnsi="Wingdings" w:hint="default"/>
      </w:rPr>
    </w:lvl>
    <w:lvl w:ilvl="1" w:tplc="3A02EBF6" w:tentative="1">
      <w:start w:val="1"/>
      <w:numFmt w:val="bullet"/>
      <w:lvlText w:val=""/>
      <w:lvlJc w:val="left"/>
      <w:pPr>
        <w:tabs>
          <w:tab w:val="num" w:pos="1440"/>
        </w:tabs>
        <w:ind w:left="1440" w:hanging="360"/>
      </w:pPr>
      <w:rPr>
        <w:rFonts w:ascii="Wingdings" w:hAnsi="Wingdings" w:hint="default"/>
      </w:rPr>
    </w:lvl>
    <w:lvl w:ilvl="2" w:tplc="DB280562" w:tentative="1">
      <w:start w:val="1"/>
      <w:numFmt w:val="bullet"/>
      <w:lvlText w:val=""/>
      <w:lvlJc w:val="left"/>
      <w:pPr>
        <w:tabs>
          <w:tab w:val="num" w:pos="2160"/>
        </w:tabs>
        <w:ind w:left="2160" w:hanging="360"/>
      </w:pPr>
      <w:rPr>
        <w:rFonts w:ascii="Wingdings" w:hAnsi="Wingdings" w:hint="default"/>
      </w:rPr>
    </w:lvl>
    <w:lvl w:ilvl="3" w:tplc="E0A6BEBE" w:tentative="1">
      <w:start w:val="1"/>
      <w:numFmt w:val="bullet"/>
      <w:lvlText w:val=""/>
      <w:lvlJc w:val="left"/>
      <w:pPr>
        <w:tabs>
          <w:tab w:val="num" w:pos="2880"/>
        </w:tabs>
        <w:ind w:left="2880" w:hanging="360"/>
      </w:pPr>
      <w:rPr>
        <w:rFonts w:ascii="Wingdings" w:hAnsi="Wingdings" w:hint="default"/>
      </w:rPr>
    </w:lvl>
    <w:lvl w:ilvl="4" w:tplc="F79CCBE0" w:tentative="1">
      <w:start w:val="1"/>
      <w:numFmt w:val="bullet"/>
      <w:lvlText w:val=""/>
      <w:lvlJc w:val="left"/>
      <w:pPr>
        <w:tabs>
          <w:tab w:val="num" w:pos="3600"/>
        </w:tabs>
        <w:ind w:left="3600" w:hanging="360"/>
      </w:pPr>
      <w:rPr>
        <w:rFonts w:ascii="Wingdings" w:hAnsi="Wingdings" w:hint="default"/>
      </w:rPr>
    </w:lvl>
    <w:lvl w:ilvl="5" w:tplc="04BE61D0" w:tentative="1">
      <w:start w:val="1"/>
      <w:numFmt w:val="bullet"/>
      <w:lvlText w:val=""/>
      <w:lvlJc w:val="left"/>
      <w:pPr>
        <w:tabs>
          <w:tab w:val="num" w:pos="4320"/>
        </w:tabs>
        <w:ind w:left="4320" w:hanging="360"/>
      </w:pPr>
      <w:rPr>
        <w:rFonts w:ascii="Wingdings" w:hAnsi="Wingdings" w:hint="default"/>
      </w:rPr>
    </w:lvl>
    <w:lvl w:ilvl="6" w:tplc="F822CD26" w:tentative="1">
      <w:start w:val="1"/>
      <w:numFmt w:val="bullet"/>
      <w:lvlText w:val=""/>
      <w:lvlJc w:val="left"/>
      <w:pPr>
        <w:tabs>
          <w:tab w:val="num" w:pos="5040"/>
        </w:tabs>
        <w:ind w:left="5040" w:hanging="360"/>
      </w:pPr>
      <w:rPr>
        <w:rFonts w:ascii="Wingdings" w:hAnsi="Wingdings" w:hint="default"/>
      </w:rPr>
    </w:lvl>
    <w:lvl w:ilvl="7" w:tplc="D75C79A6" w:tentative="1">
      <w:start w:val="1"/>
      <w:numFmt w:val="bullet"/>
      <w:lvlText w:val=""/>
      <w:lvlJc w:val="left"/>
      <w:pPr>
        <w:tabs>
          <w:tab w:val="num" w:pos="5760"/>
        </w:tabs>
        <w:ind w:left="5760" w:hanging="360"/>
      </w:pPr>
      <w:rPr>
        <w:rFonts w:ascii="Wingdings" w:hAnsi="Wingdings" w:hint="default"/>
      </w:rPr>
    </w:lvl>
    <w:lvl w:ilvl="8" w:tplc="52E6BD8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F6240"/>
    <w:multiLevelType w:val="hybridMultilevel"/>
    <w:tmpl w:val="1F241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734E11"/>
    <w:multiLevelType w:val="hybridMultilevel"/>
    <w:tmpl w:val="BA1668A6"/>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78B1D23"/>
    <w:multiLevelType w:val="hybridMultilevel"/>
    <w:tmpl w:val="BDB210C6"/>
    <w:lvl w:ilvl="0" w:tplc="FFFFFFFF">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0E737C"/>
    <w:multiLevelType w:val="hybridMultilevel"/>
    <w:tmpl w:val="62560A3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E005A7D"/>
    <w:multiLevelType w:val="multilevel"/>
    <w:tmpl w:val="81EC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D143C"/>
    <w:multiLevelType w:val="hybridMultilevel"/>
    <w:tmpl w:val="99DAC744"/>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E67B20"/>
    <w:multiLevelType w:val="hybridMultilevel"/>
    <w:tmpl w:val="B4BE8E84"/>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852497A"/>
    <w:multiLevelType w:val="hybridMultilevel"/>
    <w:tmpl w:val="FEFCB280"/>
    <w:lvl w:ilvl="0" w:tplc="33F82404">
      <w:start w:val="1"/>
      <w:numFmt w:val="decimal"/>
      <w:lvlText w:val="%1."/>
      <w:lvlJc w:val="left"/>
      <w:pPr>
        <w:ind w:left="1056" w:hanging="360"/>
      </w:pPr>
      <w:rPr>
        <w:rFonts w:hint="default"/>
      </w:rPr>
    </w:lvl>
    <w:lvl w:ilvl="1" w:tplc="04150019" w:tentative="1">
      <w:start w:val="1"/>
      <w:numFmt w:val="lowerLetter"/>
      <w:lvlText w:val="%2."/>
      <w:lvlJc w:val="left"/>
      <w:pPr>
        <w:ind w:left="1776" w:hanging="360"/>
      </w:pPr>
    </w:lvl>
    <w:lvl w:ilvl="2" w:tplc="0415001B" w:tentative="1">
      <w:start w:val="1"/>
      <w:numFmt w:val="lowerRoman"/>
      <w:lvlText w:val="%3."/>
      <w:lvlJc w:val="right"/>
      <w:pPr>
        <w:ind w:left="2496" w:hanging="180"/>
      </w:pPr>
    </w:lvl>
    <w:lvl w:ilvl="3" w:tplc="0415000F" w:tentative="1">
      <w:start w:val="1"/>
      <w:numFmt w:val="decimal"/>
      <w:lvlText w:val="%4."/>
      <w:lvlJc w:val="left"/>
      <w:pPr>
        <w:ind w:left="3216" w:hanging="360"/>
      </w:pPr>
    </w:lvl>
    <w:lvl w:ilvl="4" w:tplc="04150019" w:tentative="1">
      <w:start w:val="1"/>
      <w:numFmt w:val="lowerLetter"/>
      <w:lvlText w:val="%5."/>
      <w:lvlJc w:val="left"/>
      <w:pPr>
        <w:ind w:left="3936" w:hanging="360"/>
      </w:pPr>
    </w:lvl>
    <w:lvl w:ilvl="5" w:tplc="0415001B" w:tentative="1">
      <w:start w:val="1"/>
      <w:numFmt w:val="lowerRoman"/>
      <w:lvlText w:val="%6."/>
      <w:lvlJc w:val="right"/>
      <w:pPr>
        <w:ind w:left="4656" w:hanging="180"/>
      </w:pPr>
    </w:lvl>
    <w:lvl w:ilvl="6" w:tplc="0415000F" w:tentative="1">
      <w:start w:val="1"/>
      <w:numFmt w:val="decimal"/>
      <w:lvlText w:val="%7."/>
      <w:lvlJc w:val="left"/>
      <w:pPr>
        <w:ind w:left="5376" w:hanging="360"/>
      </w:pPr>
    </w:lvl>
    <w:lvl w:ilvl="7" w:tplc="04150019" w:tentative="1">
      <w:start w:val="1"/>
      <w:numFmt w:val="lowerLetter"/>
      <w:lvlText w:val="%8."/>
      <w:lvlJc w:val="left"/>
      <w:pPr>
        <w:ind w:left="6096" w:hanging="360"/>
      </w:pPr>
    </w:lvl>
    <w:lvl w:ilvl="8" w:tplc="0415001B" w:tentative="1">
      <w:start w:val="1"/>
      <w:numFmt w:val="lowerRoman"/>
      <w:lvlText w:val="%9."/>
      <w:lvlJc w:val="right"/>
      <w:pPr>
        <w:ind w:left="6816" w:hanging="180"/>
      </w:pPr>
    </w:lvl>
  </w:abstractNum>
  <w:abstractNum w:abstractNumId="10" w15:restartNumberingAfterBreak="0">
    <w:nsid w:val="1A5B5182"/>
    <w:multiLevelType w:val="hybridMultilevel"/>
    <w:tmpl w:val="520AD85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91F8E8"/>
    <w:multiLevelType w:val="hybridMultilevel"/>
    <w:tmpl w:val="CDF6D176"/>
    <w:lvl w:ilvl="0" w:tplc="1624E142">
      <w:start w:val="1"/>
      <w:numFmt w:val="bullet"/>
      <w:lvlText w:val=""/>
      <w:lvlJc w:val="left"/>
      <w:pPr>
        <w:ind w:left="720" w:hanging="360"/>
      </w:pPr>
      <w:rPr>
        <w:rFonts w:ascii="Symbol" w:hAnsi="Symbol" w:hint="default"/>
      </w:rPr>
    </w:lvl>
    <w:lvl w:ilvl="1" w:tplc="339E8724">
      <w:start w:val="1"/>
      <w:numFmt w:val="bullet"/>
      <w:lvlText w:val="o"/>
      <w:lvlJc w:val="left"/>
      <w:pPr>
        <w:ind w:left="1440" w:hanging="360"/>
      </w:pPr>
      <w:rPr>
        <w:rFonts w:ascii="Courier New" w:hAnsi="Courier New" w:hint="default"/>
      </w:rPr>
    </w:lvl>
    <w:lvl w:ilvl="2" w:tplc="D0B2F1EC">
      <w:start w:val="1"/>
      <w:numFmt w:val="bullet"/>
      <w:lvlText w:val=""/>
      <w:lvlJc w:val="left"/>
      <w:pPr>
        <w:ind w:left="2160" w:hanging="360"/>
      </w:pPr>
      <w:rPr>
        <w:rFonts w:ascii="Wingdings" w:hAnsi="Wingdings" w:hint="default"/>
      </w:rPr>
    </w:lvl>
    <w:lvl w:ilvl="3" w:tplc="6E621A80">
      <w:start w:val="1"/>
      <w:numFmt w:val="bullet"/>
      <w:lvlText w:val=""/>
      <w:lvlJc w:val="left"/>
      <w:pPr>
        <w:ind w:left="2880" w:hanging="360"/>
      </w:pPr>
      <w:rPr>
        <w:rFonts w:ascii="Symbol" w:hAnsi="Symbol" w:hint="default"/>
      </w:rPr>
    </w:lvl>
    <w:lvl w:ilvl="4" w:tplc="177A07B0">
      <w:start w:val="1"/>
      <w:numFmt w:val="bullet"/>
      <w:lvlText w:val="o"/>
      <w:lvlJc w:val="left"/>
      <w:pPr>
        <w:ind w:left="3600" w:hanging="360"/>
      </w:pPr>
      <w:rPr>
        <w:rFonts w:ascii="Courier New" w:hAnsi="Courier New" w:hint="default"/>
      </w:rPr>
    </w:lvl>
    <w:lvl w:ilvl="5" w:tplc="49D86E00">
      <w:start w:val="1"/>
      <w:numFmt w:val="bullet"/>
      <w:lvlText w:val=""/>
      <w:lvlJc w:val="left"/>
      <w:pPr>
        <w:ind w:left="4320" w:hanging="360"/>
      </w:pPr>
      <w:rPr>
        <w:rFonts w:ascii="Wingdings" w:hAnsi="Wingdings" w:hint="default"/>
      </w:rPr>
    </w:lvl>
    <w:lvl w:ilvl="6" w:tplc="894E0654">
      <w:start w:val="1"/>
      <w:numFmt w:val="bullet"/>
      <w:lvlText w:val=""/>
      <w:lvlJc w:val="left"/>
      <w:pPr>
        <w:ind w:left="5040" w:hanging="360"/>
      </w:pPr>
      <w:rPr>
        <w:rFonts w:ascii="Symbol" w:hAnsi="Symbol" w:hint="default"/>
      </w:rPr>
    </w:lvl>
    <w:lvl w:ilvl="7" w:tplc="2646B37C">
      <w:start w:val="1"/>
      <w:numFmt w:val="bullet"/>
      <w:lvlText w:val="o"/>
      <w:lvlJc w:val="left"/>
      <w:pPr>
        <w:ind w:left="5760" w:hanging="360"/>
      </w:pPr>
      <w:rPr>
        <w:rFonts w:ascii="Courier New" w:hAnsi="Courier New" w:hint="default"/>
      </w:rPr>
    </w:lvl>
    <w:lvl w:ilvl="8" w:tplc="45649786">
      <w:start w:val="1"/>
      <w:numFmt w:val="bullet"/>
      <w:lvlText w:val=""/>
      <w:lvlJc w:val="left"/>
      <w:pPr>
        <w:ind w:left="6480" w:hanging="360"/>
      </w:pPr>
      <w:rPr>
        <w:rFonts w:ascii="Wingdings" w:hAnsi="Wingdings" w:hint="default"/>
      </w:rPr>
    </w:lvl>
  </w:abstractNum>
  <w:abstractNum w:abstractNumId="12" w15:restartNumberingAfterBreak="0">
    <w:nsid w:val="1EA01F52"/>
    <w:multiLevelType w:val="hybridMultilevel"/>
    <w:tmpl w:val="7054BC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2329B7"/>
    <w:multiLevelType w:val="hybridMultilevel"/>
    <w:tmpl w:val="FC088A3E"/>
    <w:lvl w:ilvl="0" w:tplc="01FA1DDC">
      <w:start w:val="1"/>
      <w:numFmt w:val="decimal"/>
      <w:lvlText w:val="%1."/>
      <w:lvlJc w:val="left"/>
      <w:pPr>
        <w:ind w:left="720" w:hanging="360"/>
      </w:pPr>
      <w:rPr>
        <w:rFonts w:ascii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822BC2"/>
    <w:multiLevelType w:val="hybridMultilevel"/>
    <w:tmpl w:val="F03A6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7C60D6A"/>
    <w:multiLevelType w:val="hybridMultilevel"/>
    <w:tmpl w:val="97AC473A"/>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6" w15:restartNumberingAfterBreak="0">
    <w:nsid w:val="282C5472"/>
    <w:multiLevelType w:val="hybridMultilevel"/>
    <w:tmpl w:val="F6B66C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661C69"/>
    <w:multiLevelType w:val="hybridMultilevel"/>
    <w:tmpl w:val="5F72FABA"/>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8" w15:restartNumberingAfterBreak="0">
    <w:nsid w:val="2C25516C"/>
    <w:multiLevelType w:val="hybridMultilevel"/>
    <w:tmpl w:val="B3929730"/>
    <w:lvl w:ilvl="0" w:tplc="0415000F">
      <w:start w:val="1"/>
      <w:numFmt w:val="decimal"/>
      <w:lvlText w:val="%1."/>
      <w:lvlJc w:val="left"/>
      <w:pPr>
        <w:tabs>
          <w:tab w:val="num" w:pos="720"/>
        </w:tabs>
        <w:ind w:left="720" w:hanging="360"/>
      </w:pPr>
      <w:rPr>
        <w:rFonts w:hint="default"/>
      </w:rPr>
    </w:lvl>
    <w:lvl w:ilvl="1" w:tplc="8D42B2B6" w:tentative="1">
      <w:start w:val="1"/>
      <w:numFmt w:val="bullet"/>
      <w:lvlText w:val=""/>
      <w:lvlJc w:val="left"/>
      <w:pPr>
        <w:tabs>
          <w:tab w:val="num" w:pos="1440"/>
        </w:tabs>
        <w:ind w:left="1440" w:hanging="360"/>
      </w:pPr>
      <w:rPr>
        <w:rFonts w:ascii="Wingdings 3" w:hAnsi="Wingdings 3" w:hint="default"/>
      </w:rPr>
    </w:lvl>
    <w:lvl w:ilvl="2" w:tplc="6840FC6E" w:tentative="1">
      <w:start w:val="1"/>
      <w:numFmt w:val="bullet"/>
      <w:lvlText w:val=""/>
      <w:lvlJc w:val="left"/>
      <w:pPr>
        <w:tabs>
          <w:tab w:val="num" w:pos="2160"/>
        </w:tabs>
        <w:ind w:left="2160" w:hanging="360"/>
      </w:pPr>
      <w:rPr>
        <w:rFonts w:ascii="Wingdings 3" w:hAnsi="Wingdings 3" w:hint="default"/>
      </w:rPr>
    </w:lvl>
    <w:lvl w:ilvl="3" w:tplc="ABE291F4" w:tentative="1">
      <w:start w:val="1"/>
      <w:numFmt w:val="bullet"/>
      <w:lvlText w:val=""/>
      <w:lvlJc w:val="left"/>
      <w:pPr>
        <w:tabs>
          <w:tab w:val="num" w:pos="2880"/>
        </w:tabs>
        <w:ind w:left="2880" w:hanging="360"/>
      </w:pPr>
      <w:rPr>
        <w:rFonts w:ascii="Wingdings 3" w:hAnsi="Wingdings 3" w:hint="default"/>
      </w:rPr>
    </w:lvl>
    <w:lvl w:ilvl="4" w:tplc="CD26BF4A" w:tentative="1">
      <w:start w:val="1"/>
      <w:numFmt w:val="bullet"/>
      <w:lvlText w:val=""/>
      <w:lvlJc w:val="left"/>
      <w:pPr>
        <w:tabs>
          <w:tab w:val="num" w:pos="3600"/>
        </w:tabs>
        <w:ind w:left="3600" w:hanging="360"/>
      </w:pPr>
      <w:rPr>
        <w:rFonts w:ascii="Wingdings 3" w:hAnsi="Wingdings 3" w:hint="default"/>
      </w:rPr>
    </w:lvl>
    <w:lvl w:ilvl="5" w:tplc="1592F7AA" w:tentative="1">
      <w:start w:val="1"/>
      <w:numFmt w:val="bullet"/>
      <w:lvlText w:val=""/>
      <w:lvlJc w:val="left"/>
      <w:pPr>
        <w:tabs>
          <w:tab w:val="num" w:pos="4320"/>
        </w:tabs>
        <w:ind w:left="4320" w:hanging="360"/>
      </w:pPr>
      <w:rPr>
        <w:rFonts w:ascii="Wingdings 3" w:hAnsi="Wingdings 3" w:hint="default"/>
      </w:rPr>
    </w:lvl>
    <w:lvl w:ilvl="6" w:tplc="FFD06044" w:tentative="1">
      <w:start w:val="1"/>
      <w:numFmt w:val="bullet"/>
      <w:lvlText w:val=""/>
      <w:lvlJc w:val="left"/>
      <w:pPr>
        <w:tabs>
          <w:tab w:val="num" w:pos="5040"/>
        </w:tabs>
        <w:ind w:left="5040" w:hanging="360"/>
      </w:pPr>
      <w:rPr>
        <w:rFonts w:ascii="Wingdings 3" w:hAnsi="Wingdings 3" w:hint="default"/>
      </w:rPr>
    </w:lvl>
    <w:lvl w:ilvl="7" w:tplc="AE72F38E" w:tentative="1">
      <w:start w:val="1"/>
      <w:numFmt w:val="bullet"/>
      <w:lvlText w:val=""/>
      <w:lvlJc w:val="left"/>
      <w:pPr>
        <w:tabs>
          <w:tab w:val="num" w:pos="5760"/>
        </w:tabs>
        <w:ind w:left="5760" w:hanging="360"/>
      </w:pPr>
      <w:rPr>
        <w:rFonts w:ascii="Wingdings 3" w:hAnsi="Wingdings 3" w:hint="default"/>
      </w:rPr>
    </w:lvl>
    <w:lvl w:ilvl="8" w:tplc="10EA241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2D935EF8"/>
    <w:multiLevelType w:val="hybridMultilevel"/>
    <w:tmpl w:val="420C34C0"/>
    <w:lvl w:ilvl="0" w:tplc="268060CE">
      <w:start w:val="1"/>
      <w:numFmt w:val="bullet"/>
      <w:lvlText w:val="o"/>
      <w:lvlJc w:val="left"/>
      <w:pPr>
        <w:ind w:left="720" w:hanging="360"/>
      </w:pPr>
      <w:rPr>
        <w:rFonts w:ascii="Courier New" w:hAnsi="Courier New" w:hint="default"/>
      </w:rPr>
    </w:lvl>
    <w:lvl w:ilvl="1" w:tplc="39D048B2">
      <w:start w:val="1"/>
      <w:numFmt w:val="bullet"/>
      <w:lvlText w:val="o"/>
      <w:lvlJc w:val="left"/>
      <w:pPr>
        <w:ind w:left="1440" w:hanging="360"/>
      </w:pPr>
      <w:rPr>
        <w:rFonts w:ascii="Courier New" w:hAnsi="Courier New" w:hint="default"/>
      </w:rPr>
    </w:lvl>
    <w:lvl w:ilvl="2" w:tplc="2696ABB2">
      <w:start w:val="1"/>
      <w:numFmt w:val="bullet"/>
      <w:lvlText w:val=""/>
      <w:lvlJc w:val="left"/>
      <w:pPr>
        <w:ind w:left="2160" w:hanging="360"/>
      </w:pPr>
      <w:rPr>
        <w:rFonts w:ascii="Wingdings" w:hAnsi="Wingdings" w:hint="default"/>
      </w:rPr>
    </w:lvl>
    <w:lvl w:ilvl="3" w:tplc="67B62290">
      <w:start w:val="1"/>
      <w:numFmt w:val="bullet"/>
      <w:lvlText w:val=""/>
      <w:lvlJc w:val="left"/>
      <w:pPr>
        <w:ind w:left="2880" w:hanging="360"/>
      </w:pPr>
      <w:rPr>
        <w:rFonts w:ascii="Symbol" w:hAnsi="Symbol" w:hint="default"/>
      </w:rPr>
    </w:lvl>
    <w:lvl w:ilvl="4" w:tplc="4BECF47C">
      <w:start w:val="1"/>
      <w:numFmt w:val="bullet"/>
      <w:lvlText w:val="o"/>
      <w:lvlJc w:val="left"/>
      <w:pPr>
        <w:ind w:left="3600" w:hanging="360"/>
      </w:pPr>
      <w:rPr>
        <w:rFonts w:ascii="Courier New" w:hAnsi="Courier New" w:hint="default"/>
      </w:rPr>
    </w:lvl>
    <w:lvl w:ilvl="5" w:tplc="BBAC4428">
      <w:start w:val="1"/>
      <w:numFmt w:val="bullet"/>
      <w:lvlText w:val=""/>
      <w:lvlJc w:val="left"/>
      <w:pPr>
        <w:ind w:left="4320" w:hanging="360"/>
      </w:pPr>
      <w:rPr>
        <w:rFonts w:ascii="Wingdings" w:hAnsi="Wingdings" w:hint="default"/>
      </w:rPr>
    </w:lvl>
    <w:lvl w:ilvl="6" w:tplc="21E81B18">
      <w:start w:val="1"/>
      <w:numFmt w:val="bullet"/>
      <w:lvlText w:val=""/>
      <w:lvlJc w:val="left"/>
      <w:pPr>
        <w:ind w:left="5040" w:hanging="360"/>
      </w:pPr>
      <w:rPr>
        <w:rFonts w:ascii="Symbol" w:hAnsi="Symbol" w:hint="default"/>
      </w:rPr>
    </w:lvl>
    <w:lvl w:ilvl="7" w:tplc="E3D85948">
      <w:start w:val="1"/>
      <w:numFmt w:val="bullet"/>
      <w:lvlText w:val="o"/>
      <w:lvlJc w:val="left"/>
      <w:pPr>
        <w:ind w:left="5760" w:hanging="360"/>
      </w:pPr>
      <w:rPr>
        <w:rFonts w:ascii="Courier New" w:hAnsi="Courier New" w:hint="default"/>
      </w:rPr>
    </w:lvl>
    <w:lvl w:ilvl="8" w:tplc="99D03788">
      <w:start w:val="1"/>
      <w:numFmt w:val="bullet"/>
      <w:lvlText w:val=""/>
      <w:lvlJc w:val="left"/>
      <w:pPr>
        <w:ind w:left="6480" w:hanging="360"/>
      </w:pPr>
      <w:rPr>
        <w:rFonts w:ascii="Wingdings" w:hAnsi="Wingdings" w:hint="default"/>
      </w:rPr>
    </w:lvl>
  </w:abstractNum>
  <w:abstractNum w:abstractNumId="20" w15:restartNumberingAfterBreak="0">
    <w:nsid w:val="2DA24DA7"/>
    <w:multiLevelType w:val="multilevel"/>
    <w:tmpl w:val="668C6AB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E959626"/>
    <w:multiLevelType w:val="hybridMultilevel"/>
    <w:tmpl w:val="FFFFFFFF"/>
    <w:lvl w:ilvl="0" w:tplc="BBF43348">
      <w:start w:val="1"/>
      <w:numFmt w:val="bullet"/>
      <w:lvlText w:val=""/>
      <w:lvlJc w:val="left"/>
      <w:pPr>
        <w:ind w:left="720" w:hanging="360"/>
      </w:pPr>
      <w:rPr>
        <w:rFonts w:ascii="Symbol" w:hAnsi="Symbol" w:hint="default"/>
      </w:rPr>
    </w:lvl>
    <w:lvl w:ilvl="1" w:tplc="9B242EFA">
      <w:start w:val="1"/>
      <w:numFmt w:val="bullet"/>
      <w:lvlText w:val="o"/>
      <w:lvlJc w:val="left"/>
      <w:pPr>
        <w:ind w:left="1440" w:hanging="360"/>
      </w:pPr>
      <w:rPr>
        <w:rFonts w:ascii="Courier New" w:hAnsi="Courier New" w:hint="default"/>
      </w:rPr>
    </w:lvl>
    <w:lvl w:ilvl="2" w:tplc="9EEC2B92">
      <w:start w:val="1"/>
      <w:numFmt w:val="bullet"/>
      <w:lvlText w:val=""/>
      <w:lvlJc w:val="left"/>
      <w:pPr>
        <w:ind w:left="2160" w:hanging="360"/>
      </w:pPr>
      <w:rPr>
        <w:rFonts w:ascii="Wingdings" w:hAnsi="Wingdings" w:hint="default"/>
      </w:rPr>
    </w:lvl>
    <w:lvl w:ilvl="3" w:tplc="00F05330">
      <w:start w:val="1"/>
      <w:numFmt w:val="bullet"/>
      <w:lvlText w:val=""/>
      <w:lvlJc w:val="left"/>
      <w:pPr>
        <w:ind w:left="2880" w:hanging="360"/>
      </w:pPr>
      <w:rPr>
        <w:rFonts w:ascii="Symbol" w:hAnsi="Symbol" w:hint="default"/>
      </w:rPr>
    </w:lvl>
    <w:lvl w:ilvl="4" w:tplc="D7E2882A">
      <w:start w:val="1"/>
      <w:numFmt w:val="bullet"/>
      <w:lvlText w:val="o"/>
      <w:lvlJc w:val="left"/>
      <w:pPr>
        <w:ind w:left="3600" w:hanging="360"/>
      </w:pPr>
      <w:rPr>
        <w:rFonts w:ascii="Courier New" w:hAnsi="Courier New" w:hint="default"/>
      </w:rPr>
    </w:lvl>
    <w:lvl w:ilvl="5" w:tplc="1A440BF8">
      <w:start w:val="1"/>
      <w:numFmt w:val="bullet"/>
      <w:lvlText w:val=""/>
      <w:lvlJc w:val="left"/>
      <w:pPr>
        <w:ind w:left="4320" w:hanging="360"/>
      </w:pPr>
      <w:rPr>
        <w:rFonts w:ascii="Wingdings" w:hAnsi="Wingdings" w:hint="default"/>
      </w:rPr>
    </w:lvl>
    <w:lvl w:ilvl="6" w:tplc="841C8B62">
      <w:start w:val="1"/>
      <w:numFmt w:val="bullet"/>
      <w:lvlText w:val=""/>
      <w:lvlJc w:val="left"/>
      <w:pPr>
        <w:ind w:left="5040" w:hanging="360"/>
      </w:pPr>
      <w:rPr>
        <w:rFonts w:ascii="Symbol" w:hAnsi="Symbol" w:hint="default"/>
      </w:rPr>
    </w:lvl>
    <w:lvl w:ilvl="7" w:tplc="9C56FDB0">
      <w:start w:val="1"/>
      <w:numFmt w:val="bullet"/>
      <w:lvlText w:val="o"/>
      <w:lvlJc w:val="left"/>
      <w:pPr>
        <w:ind w:left="5760" w:hanging="360"/>
      </w:pPr>
      <w:rPr>
        <w:rFonts w:ascii="Courier New" w:hAnsi="Courier New" w:hint="default"/>
      </w:rPr>
    </w:lvl>
    <w:lvl w:ilvl="8" w:tplc="07CC7C1C">
      <w:start w:val="1"/>
      <w:numFmt w:val="bullet"/>
      <w:lvlText w:val=""/>
      <w:lvlJc w:val="left"/>
      <w:pPr>
        <w:ind w:left="6480" w:hanging="360"/>
      </w:pPr>
      <w:rPr>
        <w:rFonts w:ascii="Wingdings" w:hAnsi="Wingdings" w:hint="default"/>
      </w:rPr>
    </w:lvl>
  </w:abstractNum>
  <w:abstractNum w:abstractNumId="22" w15:restartNumberingAfterBreak="0">
    <w:nsid w:val="2F755534"/>
    <w:multiLevelType w:val="hybridMultilevel"/>
    <w:tmpl w:val="ABBAAC7A"/>
    <w:lvl w:ilvl="0" w:tplc="51CC8D28">
      <w:start w:val="1"/>
      <w:numFmt w:val="upperLetter"/>
      <w:lvlText w:val="%1."/>
      <w:lvlJc w:val="left"/>
      <w:pPr>
        <w:ind w:left="720" w:hanging="360"/>
      </w:pPr>
      <w:rPr>
        <w:rFonts w:hint="default"/>
        <w:color w:val="00000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6C67C0C"/>
    <w:multiLevelType w:val="hybridMultilevel"/>
    <w:tmpl w:val="5DDAD5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0C3718"/>
    <w:multiLevelType w:val="hybridMultilevel"/>
    <w:tmpl w:val="A34C2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9C5C1A"/>
    <w:multiLevelType w:val="multilevel"/>
    <w:tmpl w:val="29DA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882412"/>
    <w:multiLevelType w:val="hybridMultilevel"/>
    <w:tmpl w:val="E1F4091C"/>
    <w:lvl w:ilvl="0" w:tplc="C3AE7800">
      <w:start w:val="1"/>
      <w:numFmt w:val="bullet"/>
      <w:lvlText w:val=""/>
      <w:lvlJc w:val="left"/>
      <w:pPr>
        <w:tabs>
          <w:tab w:val="num" w:pos="720"/>
        </w:tabs>
        <w:ind w:left="720" w:hanging="360"/>
      </w:pPr>
      <w:rPr>
        <w:rFonts w:ascii="Wingdings 3" w:hAnsi="Wingdings 3" w:hint="default"/>
      </w:rPr>
    </w:lvl>
    <w:lvl w:ilvl="1" w:tplc="F35A8610" w:tentative="1">
      <w:start w:val="1"/>
      <w:numFmt w:val="bullet"/>
      <w:lvlText w:val=""/>
      <w:lvlJc w:val="left"/>
      <w:pPr>
        <w:tabs>
          <w:tab w:val="num" w:pos="1440"/>
        </w:tabs>
        <w:ind w:left="1440" w:hanging="360"/>
      </w:pPr>
      <w:rPr>
        <w:rFonts w:ascii="Wingdings 3" w:hAnsi="Wingdings 3" w:hint="default"/>
      </w:rPr>
    </w:lvl>
    <w:lvl w:ilvl="2" w:tplc="7CAEBB06" w:tentative="1">
      <w:start w:val="1"/>
      <w:numFmt w:val="bullet"/>
      <w:lvlText w:val=""/>
      <w:lvlJc w:val="left"/>
      <w:pPr>
        <w:tabs>
          <w:tab w:val="num" w:pos="2160"/>
        </w:tabs>
        <w:ind w:left="2160" w:hanging="360"/>
      </w:pPr>
      <w:rPr>
        <w:rFonts w:ascii="Wingdings 3" w:hAnsi="Wingdings 3" w:hint="default"/>
      </w:rPr>
    </w:lvl>
    <w:lvl w:ilvl="3" w:tplc="6F9056DE" w:tentative="1">
      <w:start w:val="1"/>
      <w:numFmt w:val="bullet"/>
      <w:lvlText w:val=""/>
      <w:lvlJc w:val="left"/>
      <w:pPr>
        <w:tabs>
          <w:tab w:val="num" w:pos="2880"/>
        </w:tabs>
        <w:ind w:left="2880" w:hanging="360"/>
      </w:pPr>
      <w:rPr>
        <w:rFonts w:ascii="Wingdings 3" w:hAnsi="Wingdings 3" w:hint="default"/>
      </w:rPr>
    </w:lvl>
    <w:lvl w:ilvl="4" w:tplc="EE06F786" w:tentative="1">
      <w:start w:val="1"/>
      <w:numFmt w:val="bullet"/>
      <w:lvlText w:val=""/>
      <w:lvlJc w:val="left"/>
      <w:pPr>
        <w:tabs>
          <w:tab w:val="num" w:pos="3600"/>
        </w:tabs>
        <w:ind w:left="3600" w:hanging="360"/>
      </w:pPr>
      <w:rPr>
        <w:rFonts w:ascii="Wingdings 3" w:hAnsi="Wingdings 3" w:hint="default"/>
      </w:rPr>
    </w:lvl>
    <w:lvl w:ilvl="5" w:tplc="8DD0E7C2" w:tentative="1">
      <w:start w:val="1"/>
      <w:numFmt w:val="bullet"/>
      <w:lvlText w:val=""/>
      <w:lvlJc w:val="left"/>
      <w:pPr>
        <w:tabs>
          <w:tab w:val="num" w:pos="4320"/>
        </w:tabs>
        <w:ind w:left="4320" w:hanging="360"/>
      </w:pPr>
      <w:rPr>
        <w:rFonts w:ascii="Wingdings 3" w:hAnsi="Wingdings 3" w:hint="default"/>
      </w:rPr>
    </w:lvl>
    <w:lvl w:ilvl="6" w:tplc="9B0477DC" w:tentative="1">
      <w:start w:val="1"/>
      <w:numFmt w:val="bullet"/>
      <w:lvlText w:val=""/>
      <w:lvlJc w:val="left"/>
      <w:pPr>
        <w:tabs>
          <w:tab w:val="num" w:pos="5040"/>
        </w:tabs>
        <w:ind w:left="5040" w:hanging="360"/>
      </w:pPr>
      <w:rPr>
        <w:rFonts w:ascii="Wingdings 3" w:hAnsi="Wingdings 3" w:hint="default"/>
      </w:rPr>
    </w:lvl>
    <w:lvl w:ilvl="7" w:tplc="B9AEED3C" w:tentative="1">
      <w:start w:val="1"/>
      <w:numFmt w:val="bullet"/>
      <w:lvlText w:val=""/>
      <w:lvlJc w:val="left"/>
      <w:pPr>
        <w:tabs>
          <w:tab w:val="num" w:pos="5760"/>
        </w:tabs>
        <w:ind w:left="5760" w:hanging="360"/>
      </w:pPr>
      <w:rPr>
        <w:rFonts w:ascii="Wingdings 3" w:hAnsi="Wingdings 3" w:hint="default"/>
      </w:rPr>
    </w:lvl>
    <w:lvl w:ilvl="8" w:tplc="9EBE7BF0"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3C165526"/>
    <w:multiLevelType w:val="multilevel"/>
    <w:tmpl w:val="AFCE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503F1A"/>
    <w:multiLevelType w:val="hybridMultilevel"/>
    <w:tmpl w:val="91201E3E"/>
    <w:lvl w:ilvl="0" w:tplc="6394B992">
      <w:start w:val="1"/>
      <w:numFmt w:val="bullet"/>
      <w:lvlText w:val=""/>
      <w:lvlJc w:val="left"/>
      <w:pPr>
        <w:ind w:left="720" w:hanging="360"/>
      </w:pPr>
      <w:rPr>
        <w:rFonts w:ascii="Wingdings" w:hAnsi="Wingdings" w:hint="default"/>
      </w:rPr>
    </w:lvl>
    <w:lvl w:ilvl="1" w:tplc="AB9AC51C">
      <w:start w:val="1"/>
      <w:numFmt w:val="bullet"/>
      <w:lvlText w:val="o"/>
      <w:lvlJc w:val="left"/>
      <w:pPr>
        <w:ind w:left="1440" w:hanging="360"/>
      </w:pPr>
      <w:rPr>
        <w:rFonts w:ascii="Courier New" w:hAnsi="Courier New" w:cs="Courier New" w:hint="default"/>
      </w:rPr>
    </w:lvl>
    <w:lvl w:ilvl="2" w:tplc="6AD02B00">
      <w:start w:val="1"/>
      <w:numFmt w:val="bullet"/>
      <w:lvlText w:val=""/>
      <w:lvlJc w:val="left"/>
      <w:pPr>
        <w:ind w:left="2160" w:hanging="360"/>
      </w:pPr>
      <w:rPr>
        <w:rFonts w:ascii="Wingdings" w:hAnsi="Wingdings" w:hint="default"/>
      </w:rPr>
    </w:lvl>
    <w:lvl w:ilvl="3" w:tplc="0E1CCC4C">
      <w:start w:val="1"/>
      <w:numFmt w:val="bullet"/>
      <w:lvlText w:val=""/>
      <w:lvlJc w:val="left"/>
      <w:pPr>
        <w:ind w:left="2880" w:hanging="360"/>
      </w:pPr>
      <w:rPr>
        <w:rFonts w:ascii="Symbol" w:hAnsi="Symbol" w:hint="default"/>
      </w:rPr>
    </w:lvl>
    <w:lvl w:ilvl="4" w:tplc="33E4222A">
      <w:start w:val="1"/>
      <w:numFmt w:val="bullet"/>
      <w:lvlText w:val="o"/>
      <w:lvlJc w:val="left"/>
      <w:pPr>
        <w:ind w:left="3600" w:hanging="360"/>
      </w:pPr>
      <w:rPr>
        <w:rFonts w:ascii="Courier New" w:hAnsi="Courier New" w:cs="Courier New" w:hint="default"/>
      </w:rPr>
    </w:lvl>
    <w:lvl w:ilvl="5" w:tplc="1EAC1E62">
      <w:start w:val="1"/>
      <w:numFmt w:val="bullet"/>
      <w:lvlText w:val=""/>
      <w:lvlJc w:val="left"/>
      <w:pPr>
        <w:ind w:left="4320" w:hanging="360"/>
      </w:pPr>
      <w:rPr>
        <w:rFonts w:ascii="Wingdings" w:hAnsi="Wingdings" w:hint="default"/>
      </w:rPr>
    </w:lvl>
    <w:lvl w:ilvl="6" w:tplc="15E40F6A">
      <w:start w:val="1"/>
      <w:numFmt w:val="bullet"/>
      <w:lvlText w:val=""/>
      <w:lvlJc w:val="left"/>
      <w:pPr>
        <w:ind w:left="5040" w:hanging="360"/>
      </w:pPr>
      <w:rPr>
        <w:rFonts w:ascii="Symbol" w:hAnsi="Symbol" w:hint="default"/>
      </w:rPr>
    </w:lvl>
    <w:lvl w:ilvl="7" w:tplc="CF56D43A">
      <w:start w:val="1"/>
      <w:numFmt w:val="bullet"/>
      <w:lvlText w:val="o"/>
      <w:lvlJc w:val="left"/>
      <w:pPr>
        <w:ind w:left="5760" w:hanging="360"/>
      </w:pPr>
      <w:rPr>
        <w:rFonts w:ascii="Courier New" w:hAnsi="Courier New" w:cs="Courier New" w:hint="default"/>
      </w:rPr>
    </w:lvl>
    <w:lvl w:ilvl="8" w:tplc="4D30940A">
      <w:start w:val="1"/>
      <w:numFmt w:val="bullet"/>
      <w:lvlText w:val=""/>
      <w:lvlJc w:val="left"/>
      <w:pPr>
        <w:ind w:left="6480" w:hanging="360"/>
      </w:pPr>
      <w:rPr>
        <w:rFonts w:ascii="Wingdings" w:hAnsi="Wingdings" w:hint="default"/>
      </w:rPr>
    </w:lvl>
  </w:abstractNum>
  <w:abstractNum w:abstractNumId="29" w15:restartNumberingAfterBreak="0">
    <w:nsid w:val="3EBB58D7"/>
    <w:multiLevelType w:val="multilevel"/>
    <w:tmpl w:val="E19C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2A6D11"/>
    <w:multiLevelType w:val="hybridMultilevel"/>
    <w:tmpl w:val="83583D3A"/>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433C257F"/>
    <w:multiLevelType w:val="hybridMultilevel"/>
    <w:tmpl w:val="66A68F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5731063"/>
    <w:multiLevelType w:val="multilevel"/>
    <w:tmpl w:val="AD82C3E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72A665D"/>
    <w:multiLevelType w:val="hybridMultilevel"/>
    <w:tmpl w:val="8A905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8C91164"/>
    <w:multiLevelType w:val="hybridMultilevel"/>
    <w:tmpl w:val="DAB84C6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49260976"/>
    <w:multiLevelType w:val="multilevel"/>
    <w:tmpl w:val="979A5EB6"/>
    <w:lvl w:ilvl="0">
      <w:start w:val="1"/>
      <w:numFmt w:val="decimal"/>
      <w:lvlText w:val="%1."/>
      <w:lvlJc w:val="left"/>
      <w:pPr>
        <w:ind w:left="360" w:hanging="360"/>
      </w:pPr>
      <w:rPr>
        <w:b/>
        <w:bCs/>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1281A56"/>
    <w:multiLevelType w:val="hybridMultilevel"/>
    <w:tmpl w:val="6150AD7C"/>
    <w:lvl w:ilvl="0" w:tplc="21FC0F30">
      <w:start w:val="1"/>
      <w:numFmt w:val="bullet"/>
      <w:lvlText w:val=""/>
      <w:lvlJc w:val="left"/>
      <w:pPr>
        <w:ind w:left="1068" w:hanging="360"/>
      </w:pPr>
      <w:rPr>
        <w:rFonts w:ascii="Symbol" w:hAnsi="Symbol" w:hint="default"/>
      </w:rPr>
    </w:lvl>
    <w:lvl w:ilvl="1" w:tplc="FD62234C">
      <w:start w:val="1"/>
      <w:numFmt w:val="bullet"/>
      <w:lvlText w:val="o"/>
      <w:lvlJc w:val="left"/>
      <w:pPr>
        <w:ind w:left="1788" w:hanging="360"/>
      </w:pPr>
      <w:rPr>
        <w:rFonts w:ascii="Courier New" w:hAnsi="Courier New" w:hint="default"/>
      </w:rPr>
    </w:lvl>
    <w:lvl w:ilvl="2" w:tplc="78A848C4">
      <w:start w:val="1"/>
      <w:numFmt w:val="bullet"/>
      <w:lvlText w:val=""/>
      <w:lvlJc w:val="left"/>
      <w:pPr>
        <w:ind w:left="2508" w:hanging="360"/>
      </w:pPr>
      <w:rPr>
        <w:rFonts w:ascii="Wingdings" w:hAnsi="Wingdings" w:hint="default"/>
      </w:rPr>
    </w:lvl>
    <w:lvl w:ilvl="3" w:tplc="D856D77A">
      <w:start w:val="1"/>
      <w:numFmt w:val="bullet"/>
      <w:lvlText w:val=""/>
      <w:lvlJc w:val="left"/>
      <w:pPr>
        <w:ind w:left="3228" w:hanging="360"/>
      </w:pPr>
      <w:rPr>
        <w:rFonts w:ascii="Symbol" w:hAnsi="Symbol" w:hint="default"/>
      </w:rPr>
    </w:lvl>
    <w:lvl w:ilvl="4" w:tplc="0052C5F0">
      <w:start w:val="1"/>
      <w:numFmt w:val="bullet"/>
      <w:lvlText w:val="o"/>
      <w:lvlJc w:val="left"/>
      <w:pPr>
        <w:ind w:left="3948" w:hanging="360"/>
      </w:pPr>
      <w:rPr>
        <w:rFonts w:ascii="Courier New" w:hAnsi="Courier New" w:hint="default"/>
      </w:rPr>
    </w:lvl>
    <w:lvl w:ilvl="5" w:tplc="076865C4">
      <w:start w:val="1"/>
      <w:numFmt w:val="bullet"/>
      <w:lvlText w:val=""/>
      <w:lvlJc w:val="left"/>
      <w:pPr>
        <w:ind w:left="4668" w:hanging="360"/>
      </w:pPr>
      <w:rPr>
        <w:rFonts w:ascii="Wingdings" w:hAnsi="Wingdings" w:hint="default"/>
      </w:rPr>
    </w:lvl>
    <w:lvl w:ilvl="6" w:tplc="88F82F28">
      <w:start w:val="1"/>
      <w:numFmt w:val="bullet"/>
      <w:lvlText w:val=""/>
      <w:lvlJc w:val="left"/>
      <w:pPr>
        <w:ind w:left="5388" w:hanging="360"/>
      </w:pPr>
      <w:rPr>
        <w:rFonts w:ascii="Symbol" w:hAnsi="Symbol" w:hint="default"/>
      </w:rPr>
    </w:lvl>
    <w:lvl w:ilvl="7" w:tplc="5B16F382">
      <w:start w:val="1"/>
      <w:numFmt w:val="bullet"/>
      <w:lvlText w:val="o"/>
      <w:lvlJc w:val="left"/>
      <w:pPr>
        <w:ind w:left="6108" w:hanging="360"/>
      </w:pPr>
      <w:rPr>
        <w:rFonts w:ascii="Courier New" w:hAnsi="Courier New" w:hint="default"/>
      </w:rPr>
    </w:lvl>
    <w:lvl w:ilvl="8" w:tplc="5BB8128E">
      <w:start w:val="1"/>
      <w:numFmt w:val="bullet"/>
      <w:lvlText w:val=""/>
      <w:lvlJc w:val="left"/>
      <w:pPr>
        <w:ind w:left="6828" w:hanging="360"/>
      </w:pPr>
      <w:rPr>
        <w:rFonts w:ascii="Wingdings" w:hAnsi="Wingdings" w:hint="default"/>
      </w:rPr>
    </w:lvl>
  </w:abstractNum>
  <w:abstractNum w:abstractNumId="37" w15:restartNumberingAfterBreak="0">
    <w:nsid w:val="554D6E7C"/>
    <w:multiLevelType w:val="hybridMultilevel"/>
    <w:tmpl w:val="7988F4A6"/>
    <w:lvl w:ilvl="0" w:tplc="2D6265BC">
      <w:start w:val="1"/>
      <w:numFmt w:val="bullet"/>
      <w:lvlText w:val=""/>
      <w:lvlJc w:val="left"/>
      <w:pPr>
        <w:ind w:left="1068" w:hanging="360"/>
      </w:pPr>
      <w:rPr>
        <w:rFonts w:ascii="Symbol" w:hAnsi="Symbol" w:hint="default"/>
      </w:rPr>
    </w:lvl>
    <w:lvl w:ilvl="1" w:tplc="5778F3BC">
      <w:start w:val="1"/>
      <w:numFmt w:val="bullet"/>
      <w:lvlText w:val="o"/>
      <w:lvlJc w:val="left"/>
      <w:pPr>
        <w:ind w:left="1788" w:hanging="360"/>
      </w:pPr>
      <w:rPr>
        <w:rFonts w:ascii="Courier New" w:hAnsi="Courier New" w:hint="default"/>
      </w:rPr>
    </w:lvl>
    <w:lvl w:ilvl="2" w:tplc="0A3E6692">
      <w:start w:val="1"/>
      <w:numFmt w:val="bullet"/>
      <w:lvlText w:val=""/>
      <w:lvlJc w:val="left"/>
      <w:pPr>
        <w:ind w:left="2508" w:hanging="360"/>
      </w:pPr>
      <w:rPr>
        <w:rFonts w:ascii="Wingdings" w:hAnsi="Wingdings" w:hint="default"/>
      </w:rPr>
    </w:lvl>
    <w:lvl w:ilvl="3" w:tplc="4D24CC50">
      <w:start w:val="1"/>
      <w:numFmt w:val="bullet"/>
      <w:lvlText w:val=""/>
      <w:lvlJc w:val="left"/>
      <w:pPr>
        <w:ind w:left="3228" w:hanging="360"/>
      </w:pPr>
      <w:rPr>
        <w:rFonts w:ascii="Symbol" w:hAnsi="Symbol" w:hint="default"/>
      </w:rPr>
    </w:lvl>
    <w:lvl w:ilvl="4" w:tplc="92987FBA">
      <w:start w:val="1"/>
      <w:numFmt w:val="bullet"/>
      <w:lvlText w:val="o"/>
      <w:lvlJc w:val="left"/>
      <w:pPr>
        <w:ind w:left="3948" w:hanging="360"/>
      </w:pPr>
      <w:rPr>
        <w:rFonts w:ascii="Courier New" w:hAnsi="Courier New" w:hint="default"/>
      </w:rPr>
    </w:lvl>
    <w:lvl w:ilvl="5" w:tplc="95C64E1C">
      <w:start w:val="1"/>
      <w:numFmt w:val="bullet"/>
      <w:lvlText w:val=""/>
      <w:lvlJc w:val="left"/>
      <w:pPr>
        <w:ind w:left="4668" w:hanging="360"/>
      </w:pPr>
      <w:rPr>
        <w:rFonts w:ascii="Wingdings" w:hAnsi="Wingdings" w:hint="default"/>
      </w:rPr>
    </w:lvl>
    <w:lvl w:ilvl="6" w:tplc="DA186DE8">
      <w:start w:val="1"/>
      <w:numFmt w:val="bullet"/>
      <w:lvlText w:val=""/>
      <w:lvlJc w:val="left"/>
      <w:pPr>
        <w:ind w:left="5388" w:hanging="360"/>
      </w:pPr>
      <w:rPr>
        <w:rFonts w:ascii="Symbol" w:hAnsi="Symbol" w:hint="default"/>
      </w:rPr>
    </w:lvl>
    <w:lvl w:ilvl="7" w:tplc="CE089CB0">
      <w:start w:val="1"/>
      <w:numFmt w:val="bullet"/>
      <w:lvlText w:val="o"/>
      <w:lvlJc w:val="left"/>
      <w:pPr>
        <w:ind w:left="6108" w:hanging="360"/>
      </w:pPr>
      <w:rPr>
        <w:rFonts w:ascii="Courier New" w:hAnsi="Courier New" w:hint="default"/>
      </w:rPr>
    </w:lvl>
    <w:lvl w:ilvl="8" w:tplc="8B94168C">
      <w:start w:val="1"/>
      <w:numFmt w:val="bullet"/>
      <w:lvlText w:val=""/>
      <w:lvlJc w:val="left"/>
      <w:pPr>
        <w:ind w:left="6828" w:hanging="360"/>
      </w:pPr>
      <w:rPr>
        <w:rFonts w:ascii="Wingdings" w:hAnsi="Wingdings" w:hint="default"/>
      </w:rPr>
    </w:lvl>
  </w:abstractNum>
  <w:abstractNum w:abstractNumId="38" w15:restartNumberingAfterBreak="0">
    <w:nsid w:val="5D026464"/>
    <w:multiLevelType w:val="multilevel"/>
    <w:tmpl w:val="27E015EA"/>
    <w:lvl w:ilvl="0">
      <w:start w:val="1"/>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9" w15:restartNumberingAfterBreak="0">
    <w:nsid w:val="64542CC6"/>
    <w:multiLevelType w:val="hybridMultilevel"/>
    <w:tmpl w:val="3BB6394A"/>
    <w:lvl w:ilvl="0" w:tplc="5C8279CA">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66A62CE3"/>
    <w:multiLevelType w:val="multilevel"/>
    <w:tmpl w:val="66F2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3E50BB"/>
    <w:multiLevelType w:val="hybridMultilevel"/>
    <w:tmpl w:val="AE6AB3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B3C2E79"/>
    <w:multiLevelType w:val="multilevel"/>
    <w:tmpl w:val="3938A96C"/>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7151120C"/>
    <w:multiLevelType w:val="hybridMultilevel"/>
    <w:tmpl w:val="0E66D2A2"/>
    <w:lvl w:ilvl="0" w:tplc="1D7C9BCE">
      <w:start w:val="1"/>
      <w:numFmt w:val="bullet"/>
      <w:lvlText w:val=""/>
      <w:lvlJc w:val="left"/>
      <w:pPr>
        <w:tabs>
          <w:tab w:val="num" w:pos="720"/>
        </w:tabs>
        <w:ind w:left="720" w:hanging="360"/>
      </w:pPr>
      <w:rPr>
        <w:rFonts w:ascii="Wingdings" w:hAnsi="Wingdings" w:hint="default"/>
      </w:rPr>
    </w:lvl>
    <w:lvl w:ilvl="1" w:tplc="BA5E61C6" w:tentative="1">
      <w:start w:val="1"/>
      <w:numFmt w:val="bullet"/>
      <w:lvlText w:val=""/>
      <w:lvlJc w:val="left"/>
      <w:pPr>
        <w:tabs>
          <w:tab w:val="num" w:pos="1440"/>
        </w:tabs>
        <w:ind w:left="1440" w:hanging="360"/>
      </w:pPr>
      <w:rPr>
        <w:rFonts w:ascii="Wingdings" w:hAnsi="Wingdings" w:hint="default"/>
      </w:rPr>
    </w:lvl>
    <w:lvl w:ilvl="2" w:tplc="694A9372" w:tentative="1">
      <w:start w:val="1"/>
      <w:numFmt w:val="bullet"/>
      <w:lvlText w:val=""/>
      <w:lvlJc w:val="left"/>
      <w:pPr>
        <w:tabs>
          <w:tab w:val="num" w:pos="2160"/>
        </w:tabs>
        <w:ind w:left="2160" w:hanging="360"/>
      </w:pPr>
      <w:rPr>
        <w:rFonts w:ascii="Wingdings" w:hAnsi="Wingdings" w:hint="default"/>
      </w:rPr>
    </w:lvl>
    <w:lvl w:ilvl="3" w:tplc="011E4DF8" w:tentative="1">
      <w:start w:val="1"/>
      <w:numFmt w:val="bullet"/>
      <w:lvlText w:val=""/>
      <w:lvlJc w:val="left"/>
      <w:pPr>
        <w:tabs>
          <w:tab w:val="num" w:pos="2880"/>
        </w:tabs>
        <w:ind w:left="2880" w:hanging="360"/>
      </w:pPr>
      <w:rPr>
        <w:rFonts w:ascii="Wingdings" w:hAnsi="Wingdings" w:hint="default"/>
      </w:rPr>
    </w:lvl>
    <w:lvl w:ilvl="4" w:tplc="817615BE" w:tentative="1">
      <w:start w:val="1"/>
      <w:numFmt w:val="bullet"/>
      <w:lvlText w:val=""/>
      <w:lvlJc w:val="left"/>
      <w:pPr>
        <w:tabs>
          <w:tab w:val="num" w:pos="3600"/>
        </w:tabs>
        <w:ind w:left="3600" w:hanging="360"/>
      </w:pPr>
      <w:rPr>
        <w:rFonts w:ascii="Wingdings" w:hAnsi="Wingdings" w:hint="default"/>
      </w:rPr>
    </w:lvl>
    <w:lvl w:ilvl="5" w:tplc="62CC8B0C" w:tentative="1">
      <w:start w:val="1"/>
      <w:numFmt w:val="bullet"/>
      <w:lvlText w:val=""/>
      <w:lvlJc w:val="left"/>
      <w:pPr>
        <w:tabs>
          <w:tab w:val="num" w:pos="4320"/>
        </w:tabs>
        <w:ind w:left="4320" w:hanging="360"/>
      </w:pPr>
      <w:rPr>
        <w:rFonts w:ascii="Wingdings" w:hAnsi="Wingdings" w:hint="default"/>
      </w:rPr>
    </w:lvl>
    <w:lvl w:ilvl="6" w:tplc="DCC6437E" w:tentative="1">
      <w:start w:val="1"/>
      <w:numFmt w:val="bullet"/>
      <w:lvlText w:val=""/>
      <w:lvlJc w:val="left"/>
      <w:pPr>
        <w:tabs>
          <w:tab w:val="num" w:pos="5040"/>
        </w:tabs>
        <w:ind w:left="5040" w:hanging="360"/>
      </w:pPr>
      <w:rPr>
        <w:rFonts w:ascii="Wingdings" w:hAnsi="Wingdings" w:hint="default"/>
      </w:rPr>
    </w:lvl>
    <w:lvl w:ilvl="7" w:tplc="B4DAA14E" w:tentative="1">
      <w:start w:val="1"/>
      <w:numFmt w:val="bullet"/>
      <w:lvlText w:val=""/>
      <w:lvlJc w:val="left"/>
      <w:pPr>
        <w:tabs>
          <w:tab w:val="num" w:pos="5760"/>
        </w:tabs>
        <w:ind w:left="5760" w:hanging="360"/>
      </w:pPr>
      <w:rPr>
        <w:rFonts w:ascii="Wingdings" w:hAnsi="Wingdings" w:hint="default"/>
      </w:rPr>
    </w:lvl>
    <w:lvl w:ilvl="8" w:tplc="A10A708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6D4FF4"/>
    <w:multiLevelType w:val="multilevel"/>
    <w:tmpl w:val="4582E426"/>
    <w:lvl w:ilvl="0">
      <w:start w:val="5"/>
      <w:numFmt w:val="decimal"/>
      <w:lvlText w:val="%1."/>
      <w:lvlJc w:val="left"/>
      <w:pPr>
        <w:ind w:left="360" w:hanging="360"/>
      </w:pPr>
      <w:rPr>
        <w:rFonts w:hint="default"/>
        <w:b/>
        <w:bCs/>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5E777A0"/>
    <w:multiLevelType w:val="multilevel"/>
    <w:tmpl w:val="FD94D9B4"/>
    <w:lvl w:ilvl="0">
      <w:start w:val="1"/>
      <w:numFmt w:val="decimal"/>
      <w:pStyle w:val="Styl1"/>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13" w:hanging="504"/>
      </w:pPr>
      <w:rPr>
        <w:rFonts w:ascii="Times New Roman" w:hAnsi="Times New Roman" w:cs="Times New Roman" w:hint="default"/>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6E20FB4"/>
    <w:multiLevelType w:val="multilevel"/>
    <w:tmpl w:val="4074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EA0F4D"/>
    <w:multiLevelType w:val="multilevel"/>
    <w:tmpl w:val="7A6A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8366AC"/>
    <w:multiLevelType w:val="hybridMultilevel"/>
    <w:tmpl w:val="F9C6B712"/>
    <w:lvl w:ilvl="0" w:tplc="B56EEEC8">
      <w:start w:val="1"/>
      <w:numFmt w:val="decimal"/>
      <w:lvlText w:val="%1."/>
      <w:lvlJc w:val="left"/>
      <w:pPr>
        <w:ind w:left="720" w:hanging="360"/>
      </w:pPr>
      <w:rPr>
        <w:rFonts w:hint="default"/>
        <w:color w:val="0000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33209652">
    <w:abstractNumId w:val="37"/>
  </w:num>
  <w:num w:numId="2" w16cid:durableId="1230386557">
    <w:abstractNumId w:val="21"/>
  </w:num>
  <w:num w:numId="3" w16cid:durableId="1796828031">
    <w:abstractNumId w:val="18"/>
  </w:num>
  <w:num w:numId="4" w16cid:durableId="1544439632">
    <w:abstractNumId w:val="12"/>
  </w:num>
  <w:num w:numId="5" w16cid:durableId="1082024656">
    <w:abstractNumId w:val="33"/>
  </w:num>
  <w:num w:numId="6" w16cid:durableId="689333656">
    <w:abstractNumId w:val="26"/>
  </w:num>
  <w:num w:numId="7" w16cid:durableId="899553953">
    <w:abstractNumId w:val="31"/>
  </w:num>
  <w:num w:numId="8" w16cid:durableId="291178168">
    <w:abstractNumId w:val="35"/>
  </w:num>
  <w:num w:numId="9" w16cid:durableId="499274504">
    <w:abstractNumId w:val="20"/>
  </w:num>
  <w:num w:numId="10" w16cid:durableId="955059164">
    <w:abstractNumId w:val="42"/>
  </w:num>
  <w:num w:numId="11" w16cid:durableId="1503086235">
    <w:abstractNumId w:val="38"/>
  </w:num>
  <w:num w:numId="12" w16cid:durableId="1083528720">
    <w:abstractNumId w:val="32"/>
  </w:num>
  <w:num w:numId="13" w16cid:durableId="1380743134">
    <w:abstractNumId w:val="45"/>
  </w:num>
  <w:num w:numId="14" w16cid:durableId="2138521847">
    <w:abstractNumId w:val="27"/>
  </w:num>
  <w:num w:numId="15" w16cid:durableId="434207714">
    <w:abstractNumId w:val="29"/>
  </w:num>
  <w:num w:numId="16" w16cid:durableId="1968462183">
    <w:abstractNumId w:val="34"/>
  </w:num>
  <w:num w:numId="17" w16cid:durableId="2075539702">
    <w:abstractNumId w:val="5"/>
  </w:num>
  <w:num w:numId="18" w16cid:durableId="1535922134">
    <w:abstractNumId w:val="0"/>
  </w:num>
  <w:num w:numId="19" w16cid:durableId="438794776">
    <w:abstractNumId w:val="44"/>
  </w:num>
  <w:num w:numId="20" w16cid:durableId="1944875923">
    <w:abstractNumId w:val="6"/>
  </w:num>
  <w:num w:numId="21" w16cid:durableId="356472803">
    <w:abstractNumId w:val="25"/>
  </w:num>
  <w:num w:numId="22" w16cid:durableId="1345667269">
    <w:abstractNumId w:val="9"/>
  </w:num>
  <w:num w:numId="23" w16cid:durableId="35130810">
    <w:abstractNumId w:val="46"/>
  </w:num>
  <w:num w:numId="24" w16cid:durableId="473647184">
    <w:abstractNumId w:val="13"/>
  </w:num>
  <w:num w:numId="25" w16cid:durableId="1694528453">
    <w:abstractNumId w:val="14"/>
  </w:num>
  <w:num w:numId="26" w16cid:durableId="1346247615">
    <w:abstractNumId w:val="40"/>
  </w:num>
  <w:num w:numId="27" w16cid:durableId="2058433341">
    <w:abstractNumId w:val="28"/>
  </w:num>
  <w:num w:numId="28" w16cid:durableId="1187138690">
    <w:abstractNumId w:val="47"/>
  </w:num>
  <w:num w:numId="29" w16cid:durableId="2121683362">
    <w:abstractNumId w:val="24"/>
  </w:num>
  <w:num w:numId="30" w16cid:durableId="2081322162">
    <w:abstractNumId w:val="39"/>
  </w:num>
  <w:num w:numId="31" w16cid:durableId="1551772245">
    <w:abstractNumId w:val="17"/>
  </w:num>
  <w:num w:numId="32" w16cid:durableId="307053274">
    <w:abstractNumId w:val="4"/>
  </w:num>
  <w:num w:numId="33" w16cid:durableId="1155072916">
    <w:abstractNumId w:val="10"/>
  </w:num>
  <w:num w:numId="34" w16cid:durableId="435709661">
    <w:abstractNumId w:val="41"/>
  </w:num>
  <w:num w:numId="35" w16cid:durableId="2008898500">
    <w:abstractNumId w:val="23"/>
  </w:num>
  <w:num w:numId="36" w16cid:durableId="1138456710">
    <w:abstractNumId w:val="3"/>
  </w:num>
  <w:num w:numId="37" w16cid:durableId="1363938098">
    <w:abstractNumId w:val="3"/>
  </w:num>
  <w:num w:numId="38" w16cid:durableId="1177423457">
    <w:abstractNumId w:val="8"/>
  </w:num>
  <w:num w:numId="39" w16cid:durableId="44959854">
    <w:abstractNumId w:val="30"/>
  </w:num>
  <w:num w:numId="40" w16cid:durableId="1505899353">
    <w:abstractNumId w:val="19"/>
  </w:num>
  <w:num w:numId="41" w16cid:durableId="691151304">
    <w:abstractNumId w:val="36"/>
  </w:num>
  <w:num w:numId="42" w16cid:durableId="420951215">
    <w:abstractNumId w:val="11"/>
  </w:num>
  <w:num w:numId="43" w16cid:durableId="40137535">
    <w:abstractNumId w:val="15"/>
  </w:num>
  <w:num w:numId="44" w16cid:durableId="1901750722">
    <w:abstractNumId w:val="2"/>
  </w:num>
  <w:num w:numId="45" w16cid:durableId="848640591">
    <w:abstractNumId w:val="15"/>
  </w:num>
  <w:num w:numId="46" w16cid:durableId="2131776171">
    <w:abstractNumId w:val="16"/>
  </w:num>
  <w:num w:numId="47" w16cid:durableId="163278869">
    <w:abstractNumId w:val="1"/>
  </w:num>
  <w:num w:numId="48" w16cid:durableId="1830363736">
    <w:abstractNumId w:val="43"/>
  </w:num>
  <w:num w:numId="49" w16cid:durableId="1990472799">
    <w:abstractNumId w:val="7"/>
  </w:num>
  <w:num w:numId="50" w16cid:durableId="35005596">
    <w:abstractNumId w:val="22"/>
  </w:num>
  <w:num w:numId="51" w16cid:durableId="413667187">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92"/>
    <w:rsid w:val="00000065"/>
    <w:rsid w:val="0000067C"/>
    <w:rsid w:val="00000DCE"/>
    <w:rsid w:val="000019F4"/>
    <w:rsid w:val="00002231"/>
    <w:rsid w:val="00002FB8"/>
    <w:rsid w:val="00003854"/>
    <w:rsid w:val="000038CA"/>
    <w:rsid w:val="000056CB"/>
    <w:rsid w:val="000079F2"/>
    <w:rsid w:val="00007EE2"/>
    <w:rsid w:val="00010A0E"/>
    <w:rsid w:val="00010CE9"/>
    <w:rsid w:val="000121E9"/>
    <w:rsid w:val="00012707"/>
    <w:rsid w:val="00012806"/>
    <w:rsid w:val="000144CB"/>
    <w:rsid w:val="00014757"/>
    <w:rsid w:val="000147AC"/>
    <w:rsid w:val="000149A4"/>
    <w:rsid w:val="00015148"/>
    <w:rsid w:val="00015959"/>
    <w:rsid w:val="00016082"/>
    <w:rsid w:val="00016884"/>
    <w:rsid w:val="000172F2"/>
    <w:rsid w:val="00020D0A"/>
    <w:rsid w:val="00022658"/>
    <w:rsid w:val="00022C1A"/>
    <w:rsid w:val="00023123"/>
    <w:rsid w:val="00023FF6"/>
    <w:rsid w:val="00024371"/>
    <w:rsid w:val="0002466F"/>
    <w:rsid w:val="000258FB"/>
    <w:rsid w:val="0002637D"/>
    <w:rsid w:val="00027152"/>
    <w:rsid w:val="0003010A"/>
    <w:rsid w:val="00030C10"/>
    <w:rsid w:val="00031652"/>
    <w:rsid w:val="00031665"/>
    <w:rsid w:val="00031735"/>
    <w:rsid w:val="00031B02"/>
    <w:rsid w:val="00031D21"/>
    <w:rsid w:val="00032D24"/>
    <w:rsid w:val="00032EDE"/>
    <w:rsid w:val="00033918"/>
    <w:rsid w:val="000342CD"/>
    <w:rsid w:val="00034AB0"/>
    <w:rsid w:val="00034C95"/>
    <w:rsid w:val="00034D3C"/>
    <w:rsid w:val="00035150"/>
    <w:rsid w:val="0003674F"/>
    <w:rsid w:val="00036DE8"/>
    <w:rsid w:val="00037458"/>
    <w:rsid w:val="00040537"/>
    <w:rsid w:val="000407D5"/>
    <w:rsid w:val="00040F26"/>
    <w:rsid w:val="000423E9"/>
    <w:rsid w:val="000427E8"/>
    <w:rsid w:val="00042C10"/>
    <w:rsid w:val="00043CB3"/>
    <w:rsid w:val="0004581B"/>
    <w:rsid w:val="0004583B"/>
    <w:rsid w:val="00045D4B"/>
    <w:rsid w:val="00050A3E"/>
    <w:rsid w:val="00050A43"/>
    <w:rsid w:val="00050F80"/>
    <w:rsid w:val="0005175B"/>
    <w:rsid w:val="000529D4"/>
    <w:rsid w:val="00053E4D"/>
    <w:rsid w:val="000544E4"/>
    <w:rsid w:val="0005479C"/>
    <w:rsid w:val="00054838"/>
    <w:rsid w:val="00054F64"/>
    <w:rsid w:val="00055CCB"/>
    <w:rsid w:val="00055DEA"/>
    <w:rsid w:val="00055F2F"/>
    <w:rsid w:val="000566CF"/>
    <w:rsid w:val="00056DE9"/>
    <w:rsid w:val="000574AB"/>
    <w:rsid w:val="0005787D"/>
    <w:rsid w:val="00057966"/>
    <w:rsid w:val="00057CF8"/>
    <w:rsid w:val="00060650"/>
    <w:rsid w:val="0006074D"/>
    <w:rsid w:val="00060E3B"/>
    <w:rsid w:val="00061614"/>
    <w:rsid w:val="00061693"/>
    <w:rsid w:val="00061DB7"/>
    <w:rsid w:val="000624BE"/>
    <w:rsid w:val="00063B6E"/>
    <w:rsid w:val="0006455C"/>
    <w:rsid w:val="00064562"/>
    <w:rsid w:val="00064C71"/>
    <w:rsid w:val="00065728"/>
    <w:rsid w:val="00066F53"/>
    <w:rsid w:val="000671B4"/>
    <w:rsid w:val="00067370"/>
    <w:rsid w:val="0006763D"/>
    <w:rsid w:val="00067BEB"/>
    <w:rsid w:val="00067E0C"/>
    <w:rsid w:val="00070D55"/>
    <w:rsid w:val="00070F50"/>
    <w:rsid w:val="00071BA6"/>
    <w:rsid w:val="00071EE5"/>
    <w:rsid w:val="0007203D"/>
    <w:rsid w:val="00072573"/>
    <w:rsid w:val="00074983"/>
    <w:rsid w:val="000757A5"/>
    <w:rsid w:val="000759D9"/>
    <w:rsid w:val="00077A13"/>
    <w:rsid w:val="000810CD"/>
    <w:rsid w:val="00081A34"/>
    <w:rsid w:val="00081D81"/>
    <w:rsid w:val="00082A0D"/>
    <w:rsid w:val="00082D52"/>
    <w:rsid w:val="0008357F"/>
    <w:rsid w:val="00083685"/>
    <w:rsid w:val="000837A9"/>
    <w:rsid w:val="00084DA6"/>
    <w:rsid w:val="000853D1"/>
    <w:rsid w:val="0008654C"/>
    <w:rsid w:val="00086E48"/>
    <w:rsid w:val="00087182"/>
    <w:rsid w:val="00087467"/>
    <w:rsid w:val="000876C1"/>
    <w:rsid w:val="00090525"/>
    <w:rsid w:val="00091034"/>
    <w:rsid w:val="000917DD"/>
    <w:rsid w:val="0009211D"/>
    <w:rsid w:val="00093284"/>
    <w:rsid w:val="00094892"/>
    <w:rsid w:val="00094D64"/>
    <w:rsid w:val="00094EF9"/>
    <w:rsid w:val="00095AE1"/>
    <w:rsid w:val="000963A7"/>
    <w:rsid w:val="00097E89"/>
    <w:rsid w:val="00097FA2"/>
    <w:rsid w:val="000A0807"/>
    <w:rsid w:val="000A08A7"/>
    <w:rsid w:val="000A18EA"/>
    <w:rsid w:val="000A258A"/>
    <w:rsid w:val="000A2EA3"/>
    <w:rsid w:val="000A32D7"/>
    <w:rsid w:val="000A51C0"/>
    <w:rsid w:val="000A56D0"/>
    <w:rsid w:val="000A67D2"/>
    <w:rsid w:val="000B0F38"/>
    <w:rsid w:val="000B115D"/>
    <w:rsid w:val="000B14F3"/>
    <w:rsid w:val="000B1906"/>
    <w:rsid w:val="000B215A"/>
    <w:rsid w:val="000B2C96"/>
    <w:rsid w:val="000B4127"/>
    <w:rsid w:val="000B4DB7"/>
    <w:rsid w:val="000B55EC"/>
    <w:rsid w:val="000B5ED4"/>
    <w:rsid w:val="000B6367"/>
    <w:rsid w:val="000B6555"/>
    <w:rsid w:val="000B6BEE"/>
    <w:rsid w:val="000C0A1F"/>
    <w:rsid w:val="000C0E35"/>
    <w:rsid w:val="000C1B26"/>
    <w:rsid w:val="000C1D01"/>
    <w:rsid w:val="000C20E6"/>
    <w:rsid w:val="000C2DFC"/>
    <w:rsid w:val="000C36CB"/>
    <w:rsid w:val="000C64AD"/>
    <w:rsid w:val="000C7ACE"/>
    <w:rsid w:val="000D1ECD"/>
    <w:rsid w:val="000D2092"/>
    <w:rsid w:val="000D2707"/>
    <w:rsid w:val="000D285F"/>
    <w:rsid w:val="000D33E8"/>
    <w:rsid w:val="000D362B"/>
    <w:rsid w:val="000D4ED7"/>
    <w:rsid w:val="000D66DB"/>
    <w:rsid w:val="000D6A5E"/>
    <w:rsid w:val="000D72E2"/>
    <w:rsid w:val="000D7ADC"/>
    <w:rsid w:val="000D7C7E"/>
    <w:rsid w:val="000E0EB8"/>
    <w:rsid w:val="000E1629"/>
    <w:rsid w:val="000E1998"/>
    <w:rsid w:val="000E19ED"/>
    <w:rsid w:val="000E2499"/>
    <w:rsid w:val="000E32F7"/>
    <w:rsid w:val="000E36F0"/>
    <w:rsid w:val="000E5A03"/>
    <w:rsid w:val="000E5F4C"/>
    <w:rsid w:val="000E6BD7"/>
    <w:rsid w:val="000F1C0C"/>
    <w:rsid w:val="000F1C64"/>
    <w:rsid w:val="000F1E5A"/>
    <w:rsid w:val="000F24F6"/>
    <w:rsid w:val="000F2A16"/>
    <w:rsid w:val="000F3B83"/>
    <w:rsid w:val="000F680C"/>
    <w:rsid w:val="000F7451"/>
    <w:rsid w:val="000F7CE2"/>
    <w:rsid w:val="00100726"/>
    <w:rsid w:val="00100FAA"/>
    <w:rsid w:val="0010112D"/>
    <w:rsid w:val="001013A2"/>
    <w:rsid w:val="001022B3"/>
    <w:rsid w:val="0010625F"/>
    <w:rsid w:val="001075DB"/>
    <w:rsid w:val="00107A70"/>
    <w:rsid w:val="00110A45"/>
    <w:rsid w:val="001116DA"/>
    <w:rsid w:val="00112516"/>
    <w:rsid w:val="00112763"/>
    <w:rsid w:val="00112791"/>
    <w:rsid w:val="00113382"/>
    <w:rsid w:val="00113CA4"/>
    <w:rsid w:val="00115800"/>
    <w:rsid w:val="00115A81"/>
    <w:rsid w:val="00116EE9"/>
    <w:rsid w:val="00117571"/>
    <w:rsid w:val="00117CBC"/>
    <w:rsid w:val="0012114D"/>
    <w:rsid w:val="001213CB"/>
    <w:rsid w:val="0012197B"/>
    <w:rsid w:val="00122AED"/>
    <w:rsid w:val="001245DF"/>
    <w:rsid w:val="00124DCC"/>
    <w:rsid w:val="00125556"/>
    <w:rsid w:val="00125F97"/>
    <w:rsid w:val="001268CF"/>
    <w:rsid w:val="001269BF"/>
    <w:rsid w:val="0012749F"/>
    <w:rsid w:val="00127590"/>
    <w:rsid w:val="00127DD6"/>
    <w:rsid w:val="00131032"/>
    <w:rsid w:val="00131A4B"/>
    <w:rsid w:val="00131ACD"/>
    <w:rsid w:val="00133174"/>
    <w:rsid w:val="00133A95"/>
    <w:rsid w:val="00135996"/>
    <w:rsid w:val="00135B87"/>
    <w:rsid w:val="00136F10"/>
    <w:rsid w:val="00140DBF"/>
    <w:rsid w:val="00141F05"/>
    <w:rsid w:val="00143868"/>
    <w:rsid w:val="0014428C"/>
    <w:rsid w:val="001443DE"/>
    <w:rsid w:val="00146863"/>
    <w:rsid w:val="00146CD3"/>
    <w:rsid w:val="00147ABF"/>
    <w:rsid w:val="001505E1"/>
    <w:rsid w:val="00150779"/>
    <w:rsid w:val="00151204"/>
    <w:rsid w:val="00151ABC"/>
    <w:rsid w:val="00151FCA"/>
    <w:rsid w:val="001526F3"/>
    <w:rsid w:val="00152A42"/>
    <w:rsid w:val="00152D8B"/>
    <w:rsid w:val="00153018"/>
    <w:rsid w:val="001543F4"/>
    <w:rsid w:val="001555DB"/>
    <w:rsid w:val="00155AB8"/>
    <w:rsid w:val="0015630B"/>
    <w:rsid w:val="0015759B"/>
    <w:rsid w:val="00157920"/>
    <w:rsid w:val="00157FEB"/>
    <w:rsid w:val="00162301"/>
    <w:rsid w:val="00162AFB"/>
    <w:rsid w:val="00163830"/>
    <w:rsid w:val="00165143"/>
    <w:rsid w:val="00165FB3"/>
    <w:rsid w:val="00170D6C"/>
    <w:rsid w:val="00171B26"/>
    <w:rsid w:val="00171BBD"/>
    <w:rsid w:val="00172075"/>
    <w:rsid w:val="00172939"/>
    <w:rsid w:val="00172CA2"/>
    <w:rsid w:val="0017403F"/>
    <w:rsid w:val="00174276"/>
    <w:rsid w:val="00174A5E"/>
    <w:rsid w:val="0017554A"/>
    <w:rsid w:val="0017573E"/>
    <w:rsid w:val="00175FC7"/>
    <w:rsid w:val="0017667E"/>
    <w:rsid w:val="001779C8"/>
    <w:rsid w:val="00177BD5"/>
    <w:rsid w:val="00177BFB"/>
    <w:rsid w:val="00177F60"/>
    <w:rsid w:val="00181B81"/>
    <w:rsid w:val="0018421A"/>
    <w:rsid w:val="00185DF5"/>
    <w:rsid w:val="001868BE"/>
    <w:rsid w:val="00186F23"/>
    <w:rsid w:val="001876D5"/>
    <w:rsid w:val="00187C29"/>
    <w:rsid w:val="001900E3"/>
    <w:rsid w:val="001906D6"/>
    <w:rsid w:val="00191AE5"/>
    <w:rsid w:val="00191CB4"/>
    <w:rsid w:val="00192E18"/>
    <w:rsid w:val="001930D6"/>
    <w:rsid w:val="00194D6A"/>
    <w:rsid w:val="00194FA4"/>
    <w:rsid w:val="00194FC5"/>
    <w:rsid w:val="00195088"/>
    <w:rsid w:val="00195DAD"/>
    <w:rsid w:val="00196D38"/>
    <w:rsid w:val="00197680"/>
    <w:rsid w:val="00197EF9"/>
    <w:rsid w:val="001A004C"/>
    <w:rsid w:val="001A1456"/>
    <w:rsid w:val="001A16EC"/>
    <w:rsid w:val="001A1B5A"/>
    <w:rsid w:val="001A2AC1"/>
    <w:rsid w:val="001A2E0E"/>
    <w:rsid w:val="001A37AD"/>
    <w:rsid w:val="001A44EB"/>
    <w:rsid w:val="001A4E55"/>
    <w:rsid w:val="001A5786"/>
    <w:rsid w:val="001A5D36"/>
    <w:rsid w:val="001A65C9"/>
    <w:rsid w:val="001A6B64"/>
    <w:rsid w:val="001A7C8C"/>
    <w:rsid w:val="001B0378"/>
    <w:rsid w:val="001B051B"/>
    <w:rsid w:val="001B18CB"/>
    <w:rsid w:val="001B1BED"/>
    <w:rsid w:val="001B1D20"/>
    <w:rsid w:val="001B1F4A"/>
    <w:rsid w:val="001B25E5"/>
    <w:rsid w:val="001B273A"/>
    <w:rsid w:val="001B3534"/>
    <w:rsid w:val="001B397F"/>
    <w:rsid w:val="001B3DD6"/>
    <w:rsid w:val="001B5F3E"/>
    <w:rsid w:val="001B5F83"/>
    <w:rsid w:val="001B715C"/>
    <w:rsid w:val="001C16E6"/>
    <w:rsid w:val="001C25A0"/>
    <w:rsid w:val="001C2796"/>
    <w:rsid w:val="001C2B9B"/>
    <w:rsid w:val="001C2C31"/>
    <w:rsid w:val="001C3548"/>
    <w:rsid w:val="001C38A6"/>
    <w:rsid w:val="001C451C"/>
    <w:rsid w:val="001C458E"/>
    <w:rsid w:val="001C5059"/>
    <w:rsid w:val="001C52D9"/>
    <w:rsid w:val="001C5609"/>
    <w:rsid w:val="001C5E79"/>
    <w:rsid w:val="001C63EC"/>
    <w:rsid w:val="001C7E30"/>
    <w:rsid w:val="001D061D"/>
    <w:rsid w:val="001D1B8E"/>
    <w:rsid w:val="001D1C6A"/>
    <w:rsid w:val="001D2FCA"/>
    <w:rsid w:val="001D3908"/>
    <w:rsid w:val="001D3C20"/>
    <w:rsid w:val="001D453E"/>
    <w:rsid w:val="001D45AA"/>
    <w:rsid w:val="001D4A5C"/>
    <w:rsid w:val="001D4AED"/>
    <w:rsid w:val="001D5949"/>
    <w:rsid w:val="001D5AE7"/>
    <w:rsid w:val="001D5C7F"/>
    <w:rsid w:val="001D5CEF"/>
    <w:rsid w:val="001D6FB8"/>
    <w:rsid w:val="001E06AF"/>
    <w:rsid w:val="001E07C0"/>
    <w:rsid w:val="001E08B9"/>
    <w:rsid w:val="001E1566"/>
    <w:rsid w:val="001E1D00"/>
    <w:rsid w:val="001E20E3"/>
    <w:rsid w:val="001E21B3"/>
    <w:rsid w:val="001E2788"/>
    <w:rsid w:val="001E298F"/>
    <w:rsid w:val="001E2D20"/>
    <w:rsid w:val="001E413A"/>
    <w:rsid w:val="001E54A4"/>
    <w:rsid w:val="001E56A5"/>
    <w:rsid w:val="001E5F7B"/>
    <w:rsid w:val="001E673C"/>
    <w:rsid w:val="001E6E65"/>
    <w:rsid w:val="001E7CD6"/>
    <w:rsid w:val="001E7D53"/>
    <w:rsid w:val="001E7E01"/>
    <w:rsid w:val="001F03BD"/>
    <w:rsid w:val="001F1482"/>
    <w:rsid w:val="001F1D24"/>
    <w:rsid w:val="001F2D33"/>
    <w:rsid w:val="001F3E6C"/>
    <w:rsid w:val="001F479D"/>
    <w:rsid w:val="001F5ACA"/>
    <w:rsid w:val="001F5BB8"/>
    <w:rsid w:val="001F67FA"/>
    <w:rsid w:val="001F71AD"/>
    <w:rsid w:val="001F7A4A"/>
    <w:rsid w:val="001F7BB3"/>
    <w:rsid w:val="00200454"/>
    <w:rsid w:val="00200E82"/>
    <w:rsid w:val="00201A36"/>
    <w:rsid w:val="00201F12"/>
    <w:rsid w:val="00202380"/>
    <w:rsid w:val="002025BF"/>
    <w:rsid w:val="00203152"/>
    <w:rsid w:val="0020396E"/>
    <w:rsid w:val="00204829"/>
    <w:rsid w:val="002063C1"/>
    <w:rsid w:val="00207498"/>
    <w:rsid w:val="002075BC"/>
    <w:rsid w:val="00210013"/>
    <w:rsid w:val="00210891"/>
    <w:rsid w:val="00210E5F"/>
    <w:rsid w:val="002122E9"/>
    <w:rsid w:val="002147F9"/>
    <w:rsid w:val="00215716"/>
    <w:rsid w:val="00215B66"/>
    <w:rsid w:val="00215CFD"/>
    <w:rsid w:val="0021614A"/>
    <w:rsid w:val="002210CE"/>
    <w:rsid w:val="002214AF"/>
    <w:rsid w:val="00221D94"/>
    <w:rsid w:val="00221F83"/>
    <w:rsid w:val="00222272"/>
    <w:rsid w:val="0022282F"/>
    <w:rsid w:val="00222EFD"/>
    <w:rsid w:val="00223003"/>
    <w:rsid w:val="002231ED"/>
    <w:rsid w:val="00223473"/>
    <w:rsid w:val="00224218"/>
    <w:rsid w:val="00224A38"/>
    <w:rsid w:val="0022625B"/>
    <w:rsid w:val="0023045C"/>
    <w:rsid w:val="002308E5"/>
    <w:rsid w:val="0023202F"/>
    <w:rsid w:val="002328F9"/>
    <w:rsid w:val="0023295A"/>
    <w:rsid w:val="0023301B"/>
    <w:rsid w:val="00233D54"/>
    <w:rsid w:val="002344FC"/>
    <w:rsid w:val="00236965"/>
    <w:rsid w:val="00240C24"/>
    <w:rsid w:val="002414A6"/>
    <w:rsid w:val="00241718"/>
    <w:rsid w:val="0024288F"/>
    <w:rsid w:val="002436C2"/>
    <w:rsid w:val="002437CC"/>
    <w:rsid w:val="002440B8"/>
    <w:rsid w:val="00245544"/>
    <w:rsid w:val="00245889"/>
    <w:rsid w:val="00247241"/>
    <w:rsid w:val="002475C9"/>
    <w:rsid w:val="00251076"/>
    <w:rsid w:val="00251838"/>
    <w:rsid w:val="0025211B"/>
    <w:rsid w:val="00252934"/>
    <w:rsid w:val="00252CFB"/>
    <w:rsid w:val="0025319A"/>
    <w:rsid w:val="002534A4"/>
    <w:rsid w:val="00253552"/>
    <w:rsid w:val="0025384B"/>
    <w:rsid w:val="00253E37"/>
    <w:rsid w:val="00254D00"/>
    <w:rsid w:val="00254D5D"/>
    <w:rsid w:val="00257F66"/>
    <w:rsid w:val="00264BC9"/>
    <w:rsid w:val="00264C69"/>
    <w:rsid w:val="00265456"/>
    <w:rsid w:val="002666D6"/>
    <w:rsid w:val="00267A9D"/>
    <w:rsid w:val="00270506"/>
    <w:rsid w:val="00270663"/>
    <w:rsid w:val="00272831"/>
    <w:rsid w:val="002749CC"/>
    <w:rsid w:val="00275FC5"/>
    <w:rsid w:val="00276277"/>
    <w:rsid w:val="0027724A"/>
    <w:rsid w:val="0027735F"/>
    <w:rsid w:val="00277536"/>
    <w:rsid w:val="0028019D"/>
    <w:rsid w:val="00281CAF"/>
    <w:rsid w:val="0028226D"/>
    <w:rsid w:val="002822FD"/>
    <w:rsid w:val="002826F2"/>
    <w:rsid w:val="00282B1A"/>
    <w:rsid w:val="00283145"/>
    <w:rsid w:val="0028500E"/>
    <w:rsid w:val="00285736"/>
    <w:rsid w:val="002858F6"/>
    <w:rsid w:val="00286524"/>
    <w:rsid w:val="00286891"/>
    <w:rsid w:val="002871BD"/>
    <w:rsid w:val="0028788B"/>
    <w:rsid w:val="00287C85"/>
    <w:rsid w:val="00287FE5"/>
    <w:rsid w:val="0029154D"/>
    <w:rsid w:val="0029277C"/>
    <w:rsid w:val="00292937"/>
    <w:rsid w:val="00292A42"/>
    <w:rsid w:val="00292A58"/>
    <w:rsid w:val="00292B2B"/>
    <w:rsid w:val="00292D4B"/>
    <w:rsid w:val="00293B6E"/>
    <w:rsid w:val="0029471D"/>
    <w:rsid w:val="0029608D"/>
    <w:rsid w:val="00296399"/>
    <w:rsid w:val="00297937"/>
    <w:rsid w:val="002A07A7"/>
    <w:rsid w:val="002A082C"/>
    <w:rsid w:val="002A0E50"/>
    <w:rsid w:val="002A0E7D"/>
    <w:rsid w:val="002A1AE8"/>
    <w:rsid w:val="002A2089"/>
    <w:rsid w:val="002A2205"/>
    <w:rsid w:val="002A2B75"/>
    <w:rsid w:val="002A2F7C"/>
    <w:rsid w:val="002A3187"/>
    <w:rsid w:val="002A40EC"/>
    <w:rsid w:val="002A4145"/>
    <w:rsid w:val="002A634D"/>
    <w:rsid w:val="002A6AB7"/>
    <w:rsid w:val="002A6E95"/>
    <w:rsid w:val="002A7A2E"/>
    <w:rsid w:val="002B1D87"/>
    <w:rsid w:val="002B1F3F"/>
    <w:rsid w:val="002B2128"/>
    <w:rsid w:val="002B2B63"/>
    <w:rsid w:val="002B2B6C"/>
    <w:rsid w:val="002B331E"/>
    <w:rsid w:val="002B3760"/>
    <w:rsid w:val="002B3A4F"/>
    <w:rsid w:val="002B3CBC"/>
    <w:rsid w:val="002B57B4"/>
    <w:rsid w:val="002B59D4"/>
    <w:rsid w:val="002B60AA"/>
    <w:rsid w:val="002B66D7"/>
    <w:rsid w:val="002B745A"/>
    <w:rsid w:val="002B7738"/>
    <w:rsid w:val="002B791D"/>
    <w:rsid w:val="002B7EDE"/>
    <w:rsid w:val="002C0B07"/>
    <w:rsid w:val="002C1DE8"/>
    <w:rsid w:val="002C1F86"/>
    <w:rsid w:val="002C251A"/>
    <w:rsid w:val="002C2B68"/>
    <w:rsid w:val="002C378D"/>
    <w:rsid w:val="002C3B14"/>
    <w:rsid w:val="002C496B"/>
    <w:rsid w:val="002C5A7E"/>
    <w:rsid w:val="002C68B9"/>
    <w:rsid w:val="002C71F4"/>
    <w:rsid w:val="002C7816"/>
    <w:rsid w:val="002D095E"/>
    <w:rsid w:val="002D1C60"/>
    <w:rsid w:val="002D3E42"/>
    <w:rsid w:val="002D4BA5"/>
    <w:rsid w:val="002D5F93"/>
    <w:rsid w:val="002D6CD0"/>
    <w:rsid w:val="002D6E24"/>
    <w:rsid w:val="002D7A17"/>
    <w:rsid w:val="002E0E63"/>
    <w:rsid w:val="002E2F8B"/>
    <w:rsid w:val="002E3968"/>
    <w:rsid w:val="002E3F37"/>
    <w:rsid w:val="002E4D8D"/>
    <w:rsid w:val="002E54E6"/>
    <w:rsid w:val="002E57E8"/>
    <w:rsid w:val="002E5F2E"/>
    <w:rsid w:val="002F00EC"/>
    <w:rsid w:val="002F244D"/>
    <w:rsid w:val="002F48CB"/>
    <w:rsid w:val="002F48D9"/>
    <w:rsid w:val="002F48DF"/>
    <w:rsid w:val="002F4DD4"/>
    <w:rsid w:val="002F5E25"/>
    <w:rsid w:val="002F73F6"/>
    <w:rsid w:val="002F750D"/>
    <w:rsid w:val="002F757A"/>
    <w:rsid w:val="002F7942"/>
    <w:rsid w:val="002F7CB4"/>
    <w:rsid w:val="00300054"/>
    <w:rsid w:val="00300781"/>
    <w:rsid w:val="0030188D"/>
    <w:rsid w:val="00301B47"/>
    <w:rsid w:val="0030385D"/>
    <w:rsid w:val="00303F92"/>
    <w:rsid w:val="00304245"/>
    <w:rsid w:val="003042AC"/>
    <w:rsid w:val="00304324"/>
    <w:rsid w:val="00305143"/>
    <w:rsid w:val="00305718"/>
    <w:rsid w:val="00305E50"/>
    <w:rsid w:val="00307C52"/>
    <w:rsid w:val="00310CF6"/>
    <w:rsid w:val="00311736"/>
    <w:rsid w:val="003117F7"/>
    <w:rsid w:val="00311D39"/>
    <w:rsid w:val="00311E4E"/>
    <w:rsid w:val="003136B7"/>
    <w:rsid w:val="00313D4E"/>
    <w:rsid w:val="00313FA2"/>
    <w:rsid w:val="003142D0"/>
    <w:rsid w:val="003148FC"/>
    <w:rsid w:val="003149FC"/>
    <w:rsid w:val="003152B2"/>
    <w:rsid w:val="0031585A"/>
    <w:rsid w:val="00315BB4"/>
    <w:rsid w:val="00315FDC"/>
    <w:rsid w:val="00316773"/>
    <w:rsid w:val="003168C1"/>
    <w:rsid w:val="00316C40"/>
    <w:rsid w:val="003174EA"/>
    <w:rsid w:val="00320F74"/>
    <w:rsid w:val="00321072"/>
    <w:rsid w:val="0032192B"/>
    <w:rsid w:val="00321E7D"/>
    <w:rsid w:val="00321FFF"/>
    <w:rsid w:val="0032225A"/>
    <w:rsid w:val="003228AE"/>
    <w:rsid w:val="003228CD"/>
    <w:rsid w:val="0032347C"/>
    <w:rsid w:val="0032352E"/>
    <w:rsid w:val="00323572"/>
    <w:rsid w:val="00323F21"/>
    <w:rsid w:val="00323F95"/>
    <w:rsid w:val="0032445A"/>
    <w:rsid w:val="00325654"/>
    <w:rsid w:val="0032611F"/>
    <w:rsid w:val="00326574"/>
    <w:rsid w:val="00326896"/>
    <w:rsid w:val="00326CD7"/>
    <w:rsid w:val="00327A8B"/>
    <w:rsid w:val="00330637"/>
    <w:rsid w:val="0033122F"/>
    <w:rsid w:val="00331B10"/>
    <w:rsid w:val="00331B23"/>
    <w:rsid w:val="00331D88"/>
    <w:rsid w:val="00332108"/>
    <w:rsid w:val="0033227E"/>
    <w:rsid w:val="003324A7"/>
    <w:rsid w:val="003339F8"/>
    <w:rsid w:val="00333A46"/>
    <w:rsid w:val="00333AA0"/>
    <w:rsid w:val="003348F3"/>
    <w:rsid w:val="0033513B"/>
    <w:rsid w:val="003351BA"/>
    <w:rsid w:val="003405AE"/>
    <w:rsid w:val="00341521"/>
    <w:rsid w:val="003416CB"/>
    <w:rsid w:val="00343099"/>
    <w:rsid w:val="00344CEB"/>
    <w:rsid w:val="00345715"/>
    <w:rsid w:val="00345BF6"/>
    <w:rsid w:val="00346BCE"/>
    <w:rsid w:val="0034715B"/>
    <w:rsid w:val="00347D24"/>
    <w:rsid w:val="0035024D"/>
    <w:rsid w:val="003503F3"/>
    <w:rsid w:val="003509F4"/>
    <w:rsid w:val="00351D93"/>
    <w:rsid w:val="00351E26"/>
    <w:rsid w:val="00352C21"/>
    <w:rsid w:val="00353422"/>
    <w:rsid w:val="00353A1B"/>
    <w:rsid w:val="003549F0"/>
    <w:rsid w:val="0035679E"/>
    <w:rsid w:val="00357980"/>
    <w:rsid w:val="00360D78"/>
    <w:rsid w:val="003621C1"/>
    <w:rsid w:val="003621E2"/>
    <w:rsid w:val="003629FB"/>
    <w:rsid w:val="00362ECD"/>
    <w:rsid w:val="00363B50"/>
    <w:rsid w:val="00363C70"/>
    <w:rsid w:val="003641F8"/>
    <w:rsid w:val="00364343"/>
    <w:rsid w:val="00364E7F"/>
    <w:rsid w:val="00365224"/>
    <w:rsid w:val="00365A17"/>
    <w:rsid w:val="00365F6F"/>
    <w:rsid w:val="003670D7"/>
    <w:rsid w:val="003675DB"/>
    <w:rsid w:val="00370587"/>
    <w:rsid w:val="0037264C"/>
    <w:rsid w:val="0037413F"/>
    <w:rsid w:val="0037498C"/>
    <w:rsid w:val="00374BEF"/>
    <w:rsid w:val="00375CA5"/>
    <w:rsid w:val="003801BE"/>
    <w:rsid w:val="00380983"/>
    <w:rsid w:val="003833DC"/>
    <w:rsid w:val="00383798"/>
    <w:rsid w:val="00383D5C"/>
    <w:rsid w:val="00384D47"/>
    <w:rsid w:val="003857D4"/>
    <w:rsid w:val="00385840"/>
    <w:rsid w:val="00385D7A"/>
    <w:rsid w:val="00385F5B"/>
    <w:rsid w:val="00387285"/>
    <w:rsid w:val="00387A48"/>
    <w:rsid w:val="0039017A"/>
    <w:rsid w:val="0039051E"/>
    <w:rsid w:val="0039144D"/>
    <w:rsid w:val="00391499"/>
    <w:rsid w:val="00391EE3"/>
    <w:rsid w:val="00392179"/>
    <w:rsid w:val="003929F4"/>
    <w:rsid w:val="00392C08"/>
    <w:rsid w:val="00392F45"/>
    <w:rsid w:val="00393CBD"/>
    <w:rsid w:val="00395E16"/>
    <w:rsid w:val="003969B1"/>
    <w:rsid w:val="00396EF3"/>
    <w:rsid w:val="00396FD3"/>
    <w:rsid w:val="003A0601"/>
    <w:rsid w:val="003A0AB9"/>
    <w:rsid w:val="003A23A8"/>
    <w:rsid w:val="003A30D7"/>
    <w:rsid w:val="003A34CC"/>
    <w:rsid w:val="003A382B"/>
    <w:rsid w:val="003A39EC"/>
    <w:rsid w:val="003A3F13"/>
    <w:rsid w:val="003A5967"/>
    <w:rsid w:val="003A5B8E"/>
    <w:rsid w:val="003A5CEE"/>
    <w:rsid w:val="003A5CF5"/>
    <w:rsid w:val="003A66B9"/>
    <w:rsid w:val="003A6C53"/>
    <w:rsid w:val="003A70E7"/>
    <w:rsid w:val="003A7331"/>
    <w:rsid w:val="003B099A"/>
    <w:rsid w:val="003B1201"/>
    <w:rsid w:val="003B3117"/>
    <w:rsid w:val="003B3599"/>
    <w:rsid w:val="003B3CF5"/>
    <w:rsid w:val="003B4F6C"/>
    <w:rsid w:val="003B714C"/>
    <w:rsid w:val="003B71E5"/>
    <w:rsid w:val="003B72EA"/>
    <w:rsid w:val="003B7CA6"/>
    <w:rsid w:val="003B7DDE"/>
    <w:rsid w:val="003B7DE0"/>
    <w:rsid w:val="003C0863"/>
    <w:rsid w:val="003C0A01"/>
    <w:rsid w:val="003C0C00"/>
    <w:rsid w:val="003C1ECE"/>
    <w:rsid w:val="003C349F"/>
    <w:rsid w:val="003C4398"/>
    <w:rsid w:val="003C59EE"/>
    <w:rsid w:val="003C5AA9"/>
    <w:rsid w:val="003C5ADB"/>
    <w:rsid w:val="003C5BE1"/>
    <w:rsid w:val="003C751A"/>
    <w:rsid w:val="003C7926"/>
    <w:rsid w:val="003C7C9E"/>
    <w:rsid w:val="003C7ED8"/>
    <w:rsid w:val="003CA1DC"/>
    <w:rsid w:val="003D0850"/>
    <w:rsid w:val="003D14B6"/>
    <w:rsid w:val="003D1583"/>
    <w:rsid w:val="003D1617"/>
    <w:rsid w:val="003D2526"/>
    <w:rsid w:val="003D3653"/>
    <w:rsid w:val="003D3B6B"/>
    <w:rsid w:val="003D3C14"/>
    <w:rsid w:val="003D40BC"/>
    <w:rsid w:val="003D4600"/>
    <w:rsid w:val="003D46FD"/>
    <w:rsid w:val="003D5574"/>
    <w:rsid w:val="003D68F8"/>
    <w:rsid w:val="003D6F94"/>
    <w:rsid w:val="003D7E76"/>
    <w:rsid w:val="003D7EC2"/>
    <w:rsid w:val="003E05EE"/>
    <w:rsid w:val="003E0607"/>
    <w:rsid w:val="003E0DC7"/>
    <w:rsid w:val="003E14F2"/>
    <w:rsid w:val="003E1B91"/>
    <w:rsid w:val="003E2328"/>
    <w:rsid w:val="003E2D81"/>
    <w:rsid w:val="003E36E7"/>
    <w:rsid w:val="003E3794"/>
    <w:rsid w:val="003E3F29"/>
    <w:rsid w:val="003E5598"/>
    <w:rsid w:val="003E66C5"/>
    <w:rsid w:val="003E6ACB"/>
    <w:rsid w:val="003E73C2"/>
    <w:rsid w:val="003E7AA5"/>
    <w:rsid w:val="003F0342"/>
    <w:rsid w:val="003F059C"/>
    <w:rsid w:val="003F1585"/>
    <w:rsid w:val="003F195C"/>
    <w:rsid w:val="003F2497"/>
    <w:rsid w:val="003F3548"/>
    <w:rsid w:val="003F3BD6"/>
    <w:rsid w:val="003F3E1A"/>
    <w:rsid w:val="003F4200"/>
    <w:rsid w:val="003F445E"/>
    <w:rsid w:val="003F47DE"/>
    <w:rsid w:val="003F5507"/>
    <w:rsid w:val="003F5D0D"/>
    <w:rsid w:val="003F5F1D"/>
    <w:rsid w:val="003F6117"/>
    <w:rsid w:val="003F6334"/>
    <w:rsid w:val="003F695A"/>
    <w:rsid w:val="003F6DC0"/>
    <w:rsid w:val="00401BEA"/>
    <w:rsid w:val="00401E83"/>
    <w:rsid w:val="0040221C"/>
    <w:rsid w:val="0040251E"/>
    <w:rsid w:val="00402876"/>
    <w:rsid w:val="00403A86"/>
    <w:rsid w:val="00403D2C"/>
    <w:rsid w:val="00403DB5"/>
    <w:rsid w:val="00405BD1"/>
    <w:rsid w:val="00406788"/>
    <w:rsid w:val="0040704F"/>
    <w:rsid w:val="004078A6"/>
    <w:rsid w:val="00407A61"/>
    <w:rsid w:val="00407FC5"/>
    <w:rsid w:val="004102B7"/>
    <w:rsid w:val="00411527"/>
    <w:rsid w:val="004127DB"/>
    <w:rsid w:val="00412BAD"/>
    <w:rsid w:val="00413336"/>
    <w:rsid w:val="00413BF8"/>
    <w:rsid w:val="004157E2"/>
    <w:rsid w:val="00415F73"/>
    <w:rsid w:val="00417E50"/>
    <w:rsid w:val="00420BB4"/>
    <w:rsid w:val="0042248B"/>
    <w:rsid w:val="00422ACF"/>
    <w:rsid w:val="00422FF5"/>
    <w:rsid w:val="0042308A"/>
    <w:rsid w:val="00423AF8"/>
    <w:rsid w:val="00423C5E"/>
    <w:rsid w:val="00423DBF"/>
    <w:rsid w:val="00423DF1"/>
    <w:rsid w:val="00425F7A"/>
    <w:rsid w:val="0042635D"/>
    <w:rsid w:val="004265B2"/>
    <w:rsid w:val="00426BC9"/>
    <w:rsid w:val="00427112"/>
    <w:rsid w:val="00427A82"/>
    <w:rsid w:val="004304F6"/>
    <w:rsid w:val="00430D88"/>
    <w:rsid w:val="004317C7"/>
    <w:rsid w:val="004320C3"/>
    <w:rsid w:val="00432853"/>
    <w:rsid w:val="004328CD"/>
    <w:rsid w:val="00433918"/>
    <w:rsid w:val="004345E7"/>
    <w:rsid w:val="00436618"/>
    <w:rsid w:val="0043667A"/>
    <w:rsid w:val="0043779B"/>
    <w:rsid w:val="004378F8"/>
    <w:rsid w:val="00437BCB"/>
    <w:rsid w:val="004402D2"/>
    <w:rsid w:val="004405E7"/>
    <w:rsid w:val="00442129"/>
    <w:rsid w:val="00442546"/>
    <w:rsid w:val="0044301F"/>
    <w:rsid w:val="004435CE"/>
    <w:rsid w:val="004436E1"/>
    <w:rsid w:val="00443BB3"/>
    <w:rsid w:val="00443F4D"/>
    <w:rsid w:val="0044443D"/>
    <w:rsid w:val="00444F18"/>
    <w:rsid w:val="00445133"/>
    <w:rsid w:val="00446B69"/>
    <w:rsid w:val="00446E1E"/>
    <w:rsid w:val="00446E92"/>
    <w:rsid w:val="00446FEF"/>
    <w:rsid w:val="00447A45"/>
    <w:rsid w:val="0045058E"/>
    <w:rsid w:val="00450CC6"/>
    <w:rsid w:val="00451D5B"/>
    <w:rsid w:val="00451E00"/>
    <w:rsid w:val="004532B9"/>
    <w:rsid w:val="00453309"/>
    <w:rsid w:val="0045352A"/>
    <w:rsid w:val="0045638A"/>
    <w:rsid w:val="00456558"/>
    <w:rsid w:val="00456A58"/>
    <w:rsid w:val="004573CC"/>
    <w:rsid w:val="004615DA"/>
    <w:rsid w:val="00461898"/>
    <w:rsid w:val="00461F89"/>
    <w:rsid w:val="004623F7"/>
    <w:rsid w:val="00462486"/>
    <w:rsid w:val="00462718"/>
    <w:rsid w:val="004636AF"/>
    <w:rsid w:val="00463998"/>
    <w:rsid w:val="00463D11"/>
    <w:rsid w:val="00463FAA"/>
    <w:rsid w:val="004649F4"/>
    <w:rsid w:val="004652DD"/>
    <w:rsid w:val="00465937"/>
    <w:rsid w:val="00465FBE"/>
    <w:rsid w:val="00466DDE"/>
    <w:rsid w:val="0047007E"/>
    <w:rsid w:val="004700EB"/>
    <w:rsid w:val="00470153"/>
    <w:rsid w:val="00470306"/>
    <w:rsid w:val="004704FB"/>
    <w:rsid w:val="0047052D"/>
    <w:rsid w:val="004706ED"/>
    <w:rsid w:val="004723E3"/>
    <w:rsid w:val="00472533"/>
    <w:rsid w:val="004733CB"/>
    <w:rsid w:val="00474429"/>
    <w:rsid w:val="00474E18"/>
    <w:rsid w:val="00475EAA"/>
    <w:rsid w:val="00475FFB"/>
    <w:rsid w:val="00476CF0"/>
    <w:rsid w:val="00477616"/>
    <w:rsid w:val="00477EF4"/>
    <w:rsid w:val="00480A13"/>
    <w:rsid w:val="004812DB"/>
    <w:rsid w:val="00481601"/>
    <w:rsid w:val="004818CD"/>
    <w:rsid w:val="00481A00"/>
    <w:rsid w:val="004823BE"/>
    <w:rsid w:val="004824E3"/>
    <w:rsid w:val="00482D91"/>
    <w:rsid w:val="00483408"/>
    <w:rsid w:val="00483AD0"/>
    <w:rsid w:val="00483DC8"/>
    <w:rsid w:val="00484402"/>
    <w:rsid w:val="004867B1"/>
    <w:rsid w:val="00486BBC"/>
    <w:rsid w:val="00486EAE"/>
    <w:rsid w:val="004872DE"/>
    <w:rsid w:val="00490F42"/>
    <w:rsid w:val="0049146F"/>
    <w:rsid w:val="00491C5A"/>
    <w:rsid w:val="00492D32"/>
    <w:rsid w:val="004934C9"/>
    <w:rsid w:val="00493C32"/>
    <w:rsid w:val="00494472"/>
    <w:rsid w:val="00495086"/>
    <w:rsid w:val="00496515"/>
    <w:rsid w:val="00496DA4"/>
    <w:rsid w:val="004978FD"/>
    <w:rsid w:val="00497B9F"/>
    <w:rsid w:val="00497BE8"/>
    <w:rsid w:val="004A0814"/>
    <w:rsid w:val="004A0F16"/>
    <w:rsid w:val="004A1772"/>
    <w:rsid w:val="004A1A99"/>
    <w:rsid w:val="004A25F4"/>
    <w:rsid w:val="004A2913"/>
    <w:rsid w:val="004A38DC"/>
    <w:rsid w:val="004A39A2"/>
    <w:rsid w:val="004A4C07"/>
    <w:rsid w:val="004A5814"/>
    <w:rsid w:val="004A5D96"/>
    <w:rsid w:val="004A6062"/>
    <w:rsid w:val="004A6171"/>
    <w:rsid w:val="004A7048"/>
    <w:rsid w:val="004A764D"/>
    <w:rsid w:val="004B1AC5"/>
    <w:rsid w:val="004B1EC0"/>
    <w:rsid w:val="004B2261"/>
    <w:rsid w:val="004B443D"/>
    <w:rsid w:val="004B4716"/>
    <w:rsid w:val="004B4F47"/>
    <w:rsid w:val="004B50A4"/>
    <w:rsid w:val="004B5C3F"/>
    <w:rsid w:val="004B6227"/>
    <w:rsid w:val="004B6C8C"/>
    <w:rsid w:val="004B7135"/>
    <w:rsid w:val="004B7152"/>
    <w:rsid w:val="004B7937"/>
    <w:rsid w:val="004B7BF8"/>
    <w:rsid w:val="004C0BBA"/>
    <w:rsid w:val="004C1F28"/>
    <w:rsid w:val="004C2655"/>
    <w:rsid w:val="004C369D"/>
    <w:rsid w:val="004C373F"/>
    <w:rsid w:val="004C595A"/>
    <w:rsid w:val="004C62BA"/>
    <w:rsid w:val="004C6A26"/>
    <w:rsid w:val="004C6B08"/>
    <w:rsid w:val="004C742B"/>
    <w:rsid w:val="004C777E"/>
    <w:rsid w:val="004D05CD"/>
    <w:rsid w:val="004D1538"/>
    <w:rsid w:val="004D35DF"/>
    <w:rsid w:val="004D438F"/>
    <w:rsid w:val="004D4E9E"/>
    <w:rsid w:val="004D511A"/>
    <w:rsid w:val="004D5E1E"/>
    <w:rsid w:val="004D6FF1"/>
    <w:rsid w:val="004D74AC"/>
    <w:rsid w:val="004D7D11"/>
    <w:rsid w:val="004E099D"/>
    <w:rsid w:val="004E0C60"/>
    <w:rsid w:val="004E11FA"/>
    <w:rsid w:val="004E12E4"/>
    <w:rsid w:val="004E1D5F"/>
    <w:rsid w:val="004E4980"/>
    <w:rsid w:val="004E5535"/>
    <w:rsid w:val="004E5F01"/>
    <w:rsid w:val="004E6020"/>
    <w:rsid w:val="004E6156"/>
    <w:rsid w:val="004E61C9"/>
    <w:rsid w:val="004E62AF"/>
    <w:rsid w:val="004E6B13"/>
    <w:rsid w:val="004F13EF"/>
    <w:rsid w:val="004F15F1"/>
    <w:rsid w:val="004F17E3"/>
    <w:rsid w:val="004F1BAC"/>
    <w:rsid w:val="004F23F1"/>
    <w:rsid w:val="004F2F5A"/>
    <w:rsid w:val="004F3041"/>
    <w:rsid w:val="004F3571"/>
    <w:rsid w:val="004F3DD6"/>
    <w:rsid w:val="004F42DA"/>
    <w:rsid w:val="004F4B08"/>
    <w:rsid w:val="004F6E80"/>
    <w:rsid w:val="004F6F7A"/>
    <w:rsid w:val="004F7E49"/>
    <w:rsid w:val="00500E75"/>
    <w:rsid w:val="00501592"/>
    <w:rsid w:val="00501AEF"/>
    <w:rsid w:val="00502922"/>
    <w:rsid w:val="005030A7"/>
    <w:rsid w:val="00503201"/>
    <w:rsid w:val="00503FAE"/>
    <w:rsid w:val="00503FB8"/>
    <w:rsid w:val="00504FCC"/>
    <w:rsid w:val="00505EA5"/>
    <w:rsid w:val="00506EAD"/>
    <w:rsid w:val="005103EC"/>
    <w:rsid w:val="00510BE7"/>
    <w:rsid w:val="00511480"/>
    <w:rsid w:val="00511F65"/>
    <w:rsid w:val="00512008"/>
    <w:rsid w:val="0051314C"/>
    <w:rsid w:val="00513245"/>
    <w:rsid w:val="005135E1"/>
    <w:rsid w:val="005136BC"/>
    <w:rsid w:val="005146E5"/>
    <w:rsid w:val="0051517B"/>
    <w:rsid w:val="0051702C"/>
    <w:rsid w:val="0052020C"/>
    <w:rsid w:val="00521295"/>
    <w:rsid w:val="0052140C"/>
    <w:rsid w:val="00521647"/>
    <w:rsid w:val="00521B8D"/>
    <w:rsid w:val="00521C69"/>
    <w:rsid w:val="005223DE"/>
    <w:rsid w:val="00522A7A"/>
    <w:rsid w:val="005234A0"/>
    <w:rsid w:val="00524267"/>
    <w:rsid w:val="005252E1"/>
    <w:rsid w:val="005266D5"/>
    <w:rsid w:val="005266F6"/>
    <w:rsid w:val="00526B54"/>
    <w:rsid w:val="00527269"/>
    <w:rsid w:val="00527443"/>
    <w:rsid w:val="00530A32"/>
    <w:rsid w:val="00530C30"/>
    <w:rsid w:val="00531B1A"/>
    <w:rsid w:val="005322F9"/>
    <w:rsid w:val="0053230B"/>
    <w:rsid w:val="00534DDC"/>
    <w:rsid w:val="00534E1A"/>
    <w:rsid w:val="00537CCE"/>
    <w:rsid w:val="0054022D"/>
    <w:rsid w:val="0054042F"/>
    <w:rsid w:val="005407CF"/>
    <w:rsid w:val="00541A13"/>
    <w:rsid w:val="00542B7D"/>
    <w:rsid w:val="0054366F"/>
    <w:rsid w:val="00543BA2"/>
    <w:rsid w:val="00543BDE"/>
    <w:rsid w:val="00544148"/>
    <w:rsid w:val="005441F6"/>
    <w:rsid w:val="00544232"/>
    <w:rsid w:val="005447BD"/>
    <w:rsid w:val="00550D3A"/>
    <w:rsid w:val="00550E4A"/>
    <w:rsid w:val="00551F79"/>
    <w:rsid w:val="00552582"/>
    <w:rsid w:val="005528DB"/>
    <w:rsid w:val="00552A3E"/>
    <w:rsid w:val="00552D47"/>
    <w:rsid w:val="00552F23"/>
    <w:rsid w:val="0055485E"/>
    <w:rsid w:val="00554E08"/>
    <w:rsid w:val="00554E7D"/>
    <w:rsid w:val="00556339"/>
    <w:rsid w:val="005564C9"/>
    <w:rsid w:val="00557147"/>
    <w:rsid w:val="0056160B"/>
    <w:rsid w:val="00562223"/>
    <w:rsid w:val="00563627"/>
    <w:rsid w:val="00563BAF"/>
    <w:rsid w:val="00565733"/>
    <w:rsid w:val="00566249"/>
    <w:rsid w:val="00566471"/>
    <w:rsid w:val="00567F00"/>
    <w:rsid w:val="005703FB"/>
    <w:rsid w:val="00570884"/>
    <w:rsid w:val="005714D5"/>
    <w:rsid w:val="00571ABA"/>
    <w:rsid w:val="00572CA1"/>
    <w:rsid w:val="0057367A"/>
    <w:rsid w:val="00573A5A"/>
    <w:rsid w:val="005748B7"/>
    <w:rsid w:val="00574F00"/>
    <w:rsid w:val="00577590"/>
    <w:rsid w:val="00577F26"/>
    <w:rsid w:val="005800E8"/>
    <w:rsid w:val="00582C9B"/>
    <w:rsid w:val="00584469"/>
    <w:rsid w:val="0058463B"/>
    <w:rsid w:val="00584670"/>
    <w:rsid w:val="00584873"/>
    <w:rsid w:val="0058534A"/>
    <w:rsid w:val="00587809"/>
    <w:rsid w:val="0058792C"/>
    <w:rsid w:val="00590097"/>
    <w:rsid w:val="005905CA"/>
    <w:rsid w:val="00591B56"/>
    <w:rsid w:val="005938D9"/>
    <w:rsid w:val="0059471C"/>
    <w:rsid w:val="005949C8"/>
    <w:rsid w:val="00594AD5"/>
    <w:rsid w:val="00595134"/>
    <w:rsid w:val="005959E2"/>
    <w:rsid w:val="0059620C"/>
    <w:rsid w:val="00597888"/>
    <w:rsid w:val="005A0238"/>
    <w:rsid w:val="005A12A3"/>
    <w:rsid w:val="005A1DDE"/>
    <w:rsid w:val="005A21F1"/>
    <w:rsid w:val="005A2BBE"/>
    <w:rsid w:val="005A2D91"/>
    <w:rsid w:val="005A7473"/>
    <w:rsid w:val="005A781C"/>
    <w:rsid w:val="005A7DDD"/>
    <w:rsid w:val="005B0822"/>
    <w:rsid w:val="005B0E9A"/>
    <w:rsid w:val="005B1D31"/>
    <w:rsid w:val="005B239A"/>
    <w:rsid w:val="005B257B"/>
    <w:rsid w:val="005B2988"/>
    <w:rsid w:val="005B357B"/>
    <w:rsid w:val="005B417D"/>
    <w:rsid w:val="005B445D"/>
    <w:rsid w:val="005B4870"/>
    <w:rsid w:val="005B4B65"/>
    <w:rsid w:val="005B4D69"/>
    <w:rsid w:val="005B4E73"/>
    <w:rsid w:val="005B581B"/>
    <w:rsid w:val="005B5E09"/>
    <w:rsid w:val="005C03D5"/>
    <w:rsid w:val="005C0839"/>
    <w:rsid w:val="005C0D3E"/>
    <w:rsid w:val="005C11CD"/>
    <w:rsid w:val="005C1C9E"/>
    <w:rsid w:val="005C3A16"/>
    <w:rsid w:val="005C47BF"/>
    <w:rsid w:val="005C66AE"/>
    <w:rsid w:val="005C6997"/>
    <w:rsid w:val="005C7048"/>
    <w:rsid w:val="005C73DB"/>
    <w:rsid w:val="005D00DE"/>
    <w:rsid w:val="005D1332"/>
    <w:rsid w:val="005D3183"/>
    <w:rsid w:val="005D344C"/>
    <w:rsid w:val="005D5E11"/>
    <w:rsid w:val="005D68DE"/>
    <w:rsid w:val="005D6B15"/>
    <w:rsid w:val="005E1EBF"/>
    <w:rsid w:val="005E2744"/>
    <w:rsid w:val="005E3BE3"/>
    <w:rsid w:val="005E3FE9"/>
    <w:rsid w:val="005E4C7A"/>
    <w:rsid w:val="005E4D94"/>
    <w:rsid w:val="005E52FD"/>
    <w:rsid w:val="005E5511"/>
    <w:rsid w:val="005E62E1"/>
    <w:rsid w:val="005E6B38"/>
    <w:rsid w:val="005E708A"/>
    <w:rsid w:val="005F0028"/>
    <w:rsid w:val="005F02E9"/>
    <w:rsid w:val="005F0EFB"/>
    <w:rsid w:val="005F1567"/>
    <w:rsid w:val="005F2787"/>
    <w:rsid w:val="005F404C"/>
    <w:rsid w:val="005F4769"/>
    <w:rsid w:val="005F4838"/>
    <w:rsid w:val="005F55C2"/>
    <w:rsid w:val="005F5D9C"/>
    <w:rsid w:val="005F70C6"/>
    <w:rsid w:val="005F7146"/>
    <w:rsid w:val="005F7CE4"/>
    <w:rsid w:val="005F7F96"/>
    <w:rsid w:val="00600F99"/>
    <w:rsid w:val="00601973"/>
    <w:rsid w:val="00602E86"/>
    <w:rsid w:val="0060367A"/>
    <w:rsid w:val="00603D96"/>
    <w:rsid w:val="00604313"/>
    <w:rsid w:val="00605388"/>
    <w:rsid w:val="00605E0A"/>
    <w:rsid w:val="0060617E"/>
    <w:rsid w:val="00606A2E"/>
    <w:rsid w:val="00606A32"/>
    <w:rsid w:val="0061028F"/>
    <w:rsid w:val="00611455"/>
    <w:rsid w:val="006118E2"/>
    <w:rsid w:val="00611B58"/>
    <w:rsid w:val="0061219D"/>
    <w:rsid w:val="006122A6"/>
    <w:rsid w:val="00612354"/>
    <w:rsid w:val="00612A35"/>
    <w:rsid w:val="00612C17"/>
    <w:rsid w:val="00612D29"/>
    <w:rsid w:val="006131DF"/>
    <w:rsid w:val="00613204"/>
    <w:rsid w:val="00614556"/>
    <w:rsid w:val="00614D1F"/>
    <w:rsid w:val="006150A0"/>
    <w:rsid w:val="006221EE"/>
    <w:rsid w:val="006229C0"/>
    <w:rsid w:val="00623284"/>
    <w:rsid w:val="00623D64"/>
    <w:rsid w:val="00624171"/>
    <w:rsid w:val="00624275"/>
    <w:rsid w:val="0062515E"/>
    <w:rsid w:val="00625737"/>
    <w:rsid w:val="00625E87"/>
    <w:rsid w:val="00627258"/>
    <w:rsid w:val="00627895"/>
    <w:rsid w:val="00627D78"/>
    <w:rsid w:val="00630466"/>
    <w:rsid w:val="0063232C"/>
    <w:rsid w:val="00633117"/>
    <w:rsid w:val="00633FEF"/>
    <w:rsid w:val="0063441C"/>
    <w:rsid w:val="00634C4A"/>
    <w:rsid w:val="00634FD6"/>
    <w:rsid w:val="00635B92"/>
    <w:rsid w:val="006368DF"/>
    <w:rsid w:val="00636C3B"/>
    <w:rsid w:val="0063764B"/>
    <w:rsid w:val="00640907"/>
    <w:rsid w:val="00641641"/>
    <w:rsid w:val="0064238E"/>
    <w:rsid w:val="00642CC9"/>
    <w:rsid w:val="00643B37"/>
    <w:rsid w:val="00643E36"/>
    <w:rsid w:val="00643E65"/>
    <w:rsid w:val="00644241"/>
    <w:rsid w:val="00644D28"/>
    <w:rsid w:val="00644EEE"/>
    <w:rsid w:val="00646B4C"/>
    <w:rsid w:val="00647728"/>
    <w:rsid w:val="00647CEB"/>
    <w:rsid w:val="00647F0A"/>
    <w:rsid w:val="006500FE"/>
    <w:rsid w:val="006511AA"/>
    <w:rsid w:val="00651EFE"/>
    <w:rsid w:val="006521D1"/>
    <w:rsid w:val="00654432"/>
    <w:rsid w:val="0065576F"/>
    <w:rsid w:val="00656C55"/>
    <w:rsid w:val="0065719B"/>
    <w:rsid w:val="0065764E"/>
    <w:rsid w:val="00660275"/>
    <w:rsid w:val="006606B2"/>
    <w:rsid w:val="00660826"/>
    <w:rsid w:val="00662DA9"/>
    <w:rsid w:val="00665100"/>
    <w:rsid w:val="006660ED"/>
    <w:rsid w:val="006664DE"/>
    <w:rsid w:val="00667999"/>
    <w:rsid w:val="00667B92"/>
    <w:rsid w:val="00667E00"/>
    <w:rsid w:val="00670870"/>
    <w:rsid w:val="00670F49"/>
    <w:rsid w:val="00672747"/>
    <w:rsid w:val="00674368"/>
    <w:rsid w:val="00674A78"/>
    <w:rsid w:val="006758FF"/>
    <w:rsid w:val="006767A1"/>
    <w:rsid w:val="00676E7A"/>
    <w:rsid w:val="006774B1"/>
    <w:rsid w:val="00677C20"/>
    <w:rsid w:val="006824EB"/>
    <w:rsid w:val="006826C4"/>
    <w:rsid w:val="00682BC7"/>
    <w:rsid w:val="0068349B"/>
    <w:rsid w:val="00683B84"/>
    <w:rsid w:val="006848FD"/>
    <w:rsid w:val="0068557A"/>
    <w:rsid w:val="00686351"/>
    <w:rsid w:val="006876E7"/>
    <w:rsid w:val="006901CB"/>
    <w:rsid w:val="00690C6B"/>
    <w:rsid w:val="006915E1"/>
    <w:rsid w:val="006936F3"/>
    <w:rsid w:val="006942C4"/>
    <w:rsid w:val="00694A0B"/>
    <w:rsid w:val="0069577A"/>
    <w:rsid w:val="0069586A"/>
    <w:rsid w:val="00695977"/>
    <w:rsid w:val="006964B1"/>
    <w:rsid w:val="00696524"/>
    <w:rsid w:val="00696EAD"/>
    <w:rsid w:val="006A00BC"/>
    <w:rsid w:val="006A131E"/>
    <w:rsid w:val="006A2C00"/>
    <w:rsid w:val="006A38A6"/>
    <w:rsid w:val="006A3BC4"/>
    <w:rsid w:val="006A3FE8"/>
    <w:rsid w:val="006A5BE6"/>
    <w:rsid w:val="006A6A30"/>
    <w:rsid w:val="006B0017"/>
    <w:rsid w:val="006B09CA"/>
    <w:rsid w:val="006B0BCB"/>
    <w:rsid w:val="006B1297"/>
    <w:rsid w:val="006B24C0"/>
    <w:rsid w:val="006B3F20"/>
    <w:rsid w:val="006B425E"/>
    <w:rsid w:val="006B6D54"/>
    <w:rsid w:val="006B6DEA"/>
    <w:rsid w:val="006C0FBD"/>
    <w:rsid w:val="006C23AE"/>
    <w:rsid w:val="006C27C3"/>
    <w:rsid w:val="006C3231"/>
    <w:rsid w:val="006C4A83"/>
    <w:rsid w:val="006C6CAA"/>
    <w:rsid w:val="006C6FEF"/>
    <w:rsid w:val="006C79BD"/>
    <w:rsid w:val="006D06E5"/>
    <w:rsid w:val="006D0EA3"/>
    <w:rsid w:val="006D17E9"/>
    <w:rsid w:val="006D1C60"/>
    <w:rsid w:val="006D27B2"/>
    <w:rsid w:val="006D4046"/>
    <w:rsid w:val="006D4AFC"/>
    <w:rsid w:val="006D70B5"/>
    <w:rsid w:val="006D73C3"/>
    <w:rsid w:val="006E06AE"/>
    <w:rsid w:val="006E20B5"/>
    <w:rsid w:val="006E21D6"/>
    <w:rsid w:val="006E25EF"/>
    <w:rsid w:val="006E2DB7"/>
    <w:rsid w:val="006E2F09"/>
    <w:rsid w:val="006E2F35"/>
    <w:rsid w:val="006E4634"/>
    <w:rsid w:val="006E482A"/>
    <w:rsid w:val="006E4F8A"/>
    <w:rsid w:val="006E5F09"/>
    <w:rsid w:val="006E630D"/>
    <w:rsid w:val="006E644F"/>
    <w:rsid w:val="006E7A6E"/>
    <w:rsid w:val="006F000E"/>
    <w:rsid w:val="006F14E0"/>
    <w:rsid w:val="006F1BA8"/>
    <w:rsid w:val="006F21AC"/>
    <w:rsid w:val="006F2260"/>
    <w:rsid w:val="006F252E"/>
    <w:rsid w:val="006F44C4"/>
    <w:rsid w:val="006F4720"/>
    <w:rsid w:val="006F6462"/>
    <w:rsid w:val="006F64B0"/>
    <w:rsid w:val="00701121"/>
    <w:rsid w:val="00701FB4"/>
    <w:rsid w:val="00702FBE"/>
    <w:rsid w:val="00704EF7"/>
    <w:rsid w:val="0070546C"/>
    <w:rsid w:val="0070608B"/>
    <w:rsid w:val="007072CA"/>
    <w:rsid w:val="0071002F"/>
    <w:rsid w:val="0071058E"/>
    <w:rsid w:val="00711CBA"/>
    <w:rsid w:val="0071314B"/>
    <w:rsid w:val="00713DDD"/>
    <w:rsid w:val="00713F30"/>
    <w:rsid w:val="0071429C"/>
    <w:rsid w:val="007147B5"/>
    <w:rsid w:val="00714D2C"/>
    <w:rsid w:val="007154CE"/>
    <w:rsid w:val="00716918"/>
    <w:rsid w:val="00717AEA"/>
    <w:rsid w:val="00717FE4"/>
    <w:rsid w:val="007200B8"/>
    <w:rsid w:val="00720A11"/>
    <w:rsid w:val="00721029"/>
    <w:rsid w:val="00722735"/>
    <w:rsid w:val="00723DAA"/>
    <w:rsid w:val="00723FCC"/>
    <w:rsid w:val="00724E46"/>
    <w:rsid w:val="007268BB"/>
    <w:rsid w:val="00726D9C"/>
    <w:rsid w:val="00727B5E"/>
    <w:rsid w:val="0073176E"/>
    <w:rsid w:val="00732609"/>
    <w:rsid w:val="00732D5C"/>
    <w:rsid w:val="0073377E"/>
    <w:rsid w:val="0073396B"/>
    <w:rsid w:val="007359ED"/>
    <w:rsid w:val="00737D7C"/>
    <w:rsid w:val="00740743"/>
    <w:rsid w:val="00743369"/>
    <w:rsid w:val="00743659"/>
    <w:rsid w:val="007436F2"/>
    <w:rsid w:val="00743999"/>
    <w:rsid w:val="00746B4E"/>
    <w:rsid w:val="007471C9"/>
    <w:rsid w:val="00752183"/>
    <w:rsid w:val="007532E8"/>
    <w:rsid w:val="007533CE"/>
    <w:rsid w:val="007538F5"/>
    <w:rsid w:val="0075400B"/>
    <w:rsid w:val="007543E3"/>
    <w:rsid w:val="00755CAD"/>
    <w:rsid w:val="00756293"/>
    <w:rsid w:val="007564E9"/>
    <w:rsid w:val="00757487"/>
    <w:rsid w:val="00757A95"/>
    <w:rsid w:val="0076079B"/>
    <w:rsid w:val="00760DF6"/>
    <w:rsid w:val="00761884"/>
    <w:rsid w:val="007622D3"/>
    <w:rsid w:val="007626C9"/>
    <w:rsid w:val="00763677"/>
    <w:rsid w:val="00765E19"/>
    <w:rsid w:val="0076673E"/>
    <w:rsid w:val="007676A5"/>
    <w:rsid w:val="007678D0"/>
    <w:rsid w:val="007700A8"/>
    <w:rsid w:val="0077086F"/>
    <w:rsid w:val="007713F4"/>
    <w:rsid w:val="00771D60"/>
    <w:rsid w:val="00772344"/>
    <w:rsid w:val="007732CC"/>
    <w:rsid w:val="0077380F"/>
    <w:rsid w:val="00773C70"/>
    <w:rsid w:val="00774519"/>
    <w:rsid w:val="007747A3"/>
    <w:rsid w:val="007748CC"/>
    <w:rsid w:val="00775214"/>
    <w:rsid w:val="0077539D"/>
    <w:rsid w:val="00776173"/>
    <w:rsid w:val="0077633B"/>
    <w:rsid w:val="00776779"/>
    <w:rsid w:val="0077772B"/>
    <w:rsid w:val="00777B27"/>
    <w:rsid w:val="00781B4A"/>
    <w:rsid w:val="00783C17"/>
    <w:rsid w:val="00784C61"/>
    <w:rsid w:val="00786FB3"/>
    <w:rsid w:val="00787789"/>
    <w:rsid w:val="00787EBB"/>
    <w:rsid w:val="00790032"/>
    <w:rsid w:val="007909F2"/>
    <w:rsid w:val="00790A89"/>
    <w:rsid w:val="007918B4"/>
    <w:rsid w:val="00791A4C"/>
    <w:rsid w:val="00791B64"/>
    <w:rsid w:val="0079266E"/>
    <w:rsid w:val="00792F48"/>
    <w:rsid w:val="00793363"/>
    <w:rsid w:val="00793B69"/>
    <w:rsid w:val="0079476E"/>
    <w:rsid w:val="00794ADD"/>
    <w:rsid w:val="00794BBE"/>
    <w:rsid w:val="007961D0"/>
    <w:rsid w:val="007962A4"/>
    <w:rsid w:val="007967DD"/>
    <w:rsid w:val="00796CE0"/>
    <w:rsid w:val="007978A7"/>
    <w:rsid w:val="007A0034"/>
    <w:rsid w:val="007A056F"/>
    <w:rsid w:val="007A05A9"/>
    <w:rsid w:val="007A193B"/>
    <w:rsid w:val="007A6AF0"/>
    <w:rsid w:val="007A6DBE"/>
    <w:rsid w:val="007A7981"/>
    <w:rsid w:val="007B0C74"/>
    <w:rsid w:val="007B12BA"/>
    <w:rsid w:val="007B13FB"/>
    <w:rsid w:val="007B1663"/>
    <w:rsid w:val="007B21B7"/>
    <w:rsid w:val="007B2276"/>
    <w:rsid w:val="007B2FF4"/>
    <w:rsid w:val="007B3294"/>
    <w:rsid w:val="007B4E8A"/>
    <w:rsid w:val="007B528C"/>
    <w:rsid w:val="007B56F3"/>
    <w:rsid w:val="007B691F"/>
    <w:rsid w:val="007C07BC"/>
    <w:rsid w:val="007C11E1"/>
    <w:rsid w:val="007C1222"/>
    <w:rsid w:val="007C3887"/>
    <w:rsid w:val="007C40E5"/>
    <w:rsid w:val="007C51DC"/>
    <w:rsid w:val="007C5D7D"/>
    <w:rsid w:val="007D00AC"/>
    <w:rsid w:val="007D250E"/>
    <w:rsid w:val="007D2D5F"/>
    <w:rsid w:val="007D2DA5"/>
    <w:rsid w:val="007D35C8"/>
    <w:rsid w:val="007D53CF"/>
    <w:rsid w:val="007D54B6"/>
    <w:rsid w:val="007D57C4"/>
    <w:rsid w:val="007D5AF2"/>
    <w:rsid w:val="007E029A"/>
    <w:rsid w:val="007E237D"/>
    <w:rsid w:val="007E2430"/>
    <w:rsid w:val="007E31FD"/>
    <w:rsid w:val="007E36AA"/>
    <w:rsid w:val="007E37CA"/>
    <w:rsid w:val="007E3AF6"/>
    <w:rsid w:val="007E3B00"/>
    <w:rsid w:val="007E443A"/>
    <w:rsid w:val="007E456F"/>
    <w:rsid w:val="007E46F9"/>
    <w:rsid w:val="007E52B3"/>
    <w:rsid w:val="007E7884"/>
    <w:rsid w:val="007E7A27"/>
    <w:rsid w:val="007F02D1"/>
    <w:rsid w:val="007F099D"/>
    <w:rsid w:val="007F0C44"/>
    <w:rsid w:val="007F0DE9"/>
    <w:rsid w:val="007F0FC9"/>
    <w:rsid w:val="007F121B"/>
    <w:rsid w:val="007F142D"/>
    <w:rsid w:val="007F169C"/>
    <w:rsid w:val="007F1E91"/>
    <w:rsid w:val="007F1E96"/>
    <w:rsid w:val="007F2406"/>
    <w:rsid w:val="007F2DEA"/>
    <w:rsid w:val="007F3500"/>
    <w:rsid w:val="007F39AA"/>
    <w:rsid w:val="007F6823"/>
    <w:rsid w:val="007F74AC"/>
    <w:rsid w:val="007F76E7"/>
    <w:rsid w:val="007F779F"/>
    <w:rsid w:val="007F7C32"/>
    <w:rsid w:val="0080016E"/>
    <w:rsid w:val="008016E8"/>
    <w:rsid w:val="00802119"/>
    <w:rsid w:val="0080237D"/>
    <w:rsid w:val="00802484"/>
    <w:rsid w:val="00802886"/>
    <w:rsid w:val="008035D1"/>
    <w:rsid w:val="008041F9"/>
    <w:rsid w:val="008044FB"/>
    <w:rsid w:val="00805A5D"/>
    <w:rsid w:val="00805F49"/>
    <w:rsid w:val="00806085"/>
    <w:rsid w:val="00806492"/>
    <w:rsid w:val="00806728"/>
    <w:rsid w:val="0080679E"/>
    <w:rsid w:val="00806B86"/>
    <w:rsid w:val="008072AB"/>
    <w:rsid w:val="00807492"/>
    <w:rsid w:val="00807D00"/>
    <w:rsid w:val="00810B12"/>
    <w:rsid w:val="00811367"/>
    <w:rsid w:val="00814780"/>
    <w:rsid w:val="00814D49"/>
    <w:rsid w:val="008150C1"/>
    <w:rsid w:val="008153B4"/>
    <w:rsid w:val="00815663"/>
    <w:rsid w:val="00816BF3"/>
    <w:rsid w:val="00816EF9"/>
    <w:rsid w:val="00820085"/>
    <w:rsid w:val="008208F2"/>
    <w:rsid w:val="00821448"/>
    <w:rsid w:val="00821AC1"/>
    <w:rsid w:val="00821E67"/>
    <w:rsid w:val="008228E0"/>
    <w:rsid w:val="00824D39"/>
    <w:rsid w:val="008255EE"/>
    <w:rsid w:val="008258ED"/>
    <w:rsid w:val="00826275"/>
    <w:rsid w:val="0082667D"/>
    <w:rsid w:val="00826D72"/>
    <w:rsid w:val="0083141E"/>
    <w:rsid w:val="00831778"/>
    <w:rsid w:val="00832221"/>
    <w:rsid w:val="008322D3"/>
    <w:rsid w:val="00832A5E"/>
    <w:rsid w:val="00833642"/>
    <w:rsid w:val="00833878"/>
    <w:rsid w:val="00833C0C"/>
    <w:rsid w:val="00833F90"/>
    <w:rsid w:val="00835FA9"/>
    <w:rsid w:val="00836EE3"/>
    <w:rsid w:val="00837405"/>
    <w:rsid w:val="00837F93"/>
    <w:rsid w:val="00840310"/>
    <w:rsid w:val="00840825"/>
    <w:rsid w:val="008408D9"/>
    <w:rsid w:val="00840AE0"/>
    <w:rsid w:val="00840C97"/>
    <w:rsid w:val="008427BB"/>
    <w:rsid w:val="008429C3"/>
    <w:rsid w:val="00842C6D"/>
    <w:rsid w:val="00842F69"/>
    <w:rsid w:val="008446AA"/>
    <w:rsid w:val="00844D29"/>
    <w:rsid w:val="00845C6B"/>
    <w:rsid w:val="00847571"/>
    <w:rsid w:val="00850053"/>
    <w:rsid w:val="00851135"/>
    <w:rsid w:val="00851331"/>
    <w:rsid w:val="00852146"/>
    <w:rsid w:val="0085241B"/>
    <w:rsid w:val="0085297C"/>
    <w:rsid w:val="00853D22"/>
    <w:rsid w:val="00853F0C"/>
    <w:rsid w:val="008546A8"/>
    <w:rsid w:val="00854AFD"/>
    <w:rsid w:val="008558F6"/>
    <w:rsid w:val="008562E7"/>
    <w:rsid w:val="00856ABF"/>
    <w:rsid w:val="00856B09"/>
    <w:rsid w:val="0085785E"/>
    <w:rsid w:val="00860127"/>
    <w:rsid w:val="0086056F"/>
    <w:rsid w:val="00860899"/>
    <w:rsid w:val="00860B19"/>
    <w:rsid w:val="008619DB"/>
    <w:rsid w:val="008622E0"/>
    <w:rsid w:val="00862357"/>
    <w:rsid w:val="0086251D"/>
    <w:rsid w:val="00862DB0"/>
    <w:rsid w:val="0086396D"/>
    <w:rsid w:val="00864EE1"/>
    <w:rsid w:val="00865DB3"/>
    <w:rsid w:val="0086665F"/>
    <w:rsid w:val="008669A6"/>
    <w:rsid w:val="008672A8"/>
    <w:rsid w:val="00867834"/>
    <w:rsid w:val="00870637"/>
    <w:rsid w:val="00873BE8"/>
    <w:rsid w:val="00875D4E"/>
    <w:rsid w:val="0087706E"/>
    <w:rsid w:val="00880720"/>
    <w:rsid w:val="008807C2"/>
    <w:rsid w:val="008808C3"/>
    <w:rsid w:val="00880CF8"/>
    <w:rsid w:val="008818BA"/>
    <w:rsid w:val="00882077"/>
    <w:rsid w:val="00884EEA"/>
    <w:rsid w:val="00884FD0"/>
    <w:rsid w:val="00885CED"/>
    <w:rsid w:val="008863A3"/>
    <w:rsid w:val="0088666F"/>
    <w:rsid w:val="00887534"/>
    <w:rsid w:val="00892BB5"/>
    <w:rsid w:val="008939C7"/>
    <w:rsid w:val="00894C7E"/>
    <w:rsid w:val="008958A2"/>
    <w:rsid w:val="008968C0"/>
    <w:rsid w:val="00896B5B"/>
    <w:rsid w:val="00897496"/>
    <w:rsid w:val="008A1417"/>
    <w:rsid w:val="008A1853"/>
    <w:rsid w:val="008A4B16"/>
    <w:rsid w:val="008A5E16"/>
    <w:rsid w:val="008A7600"/>
    <w:rsid w:val="008B0828"/>
    <w:rsid w:val="008B0F68"/>
    <w:rsid w:val="008B1778"/>
    <w:rsid w:val="008B29F0"/>
    <w:rsid w:val="008B2BA4"/>
    <w:rsid w:val="008B2C07"/>
    <w:rsid w:val="008B3132"/>
    <w:rsid w:val="008B44B8"/>
    <w:rsid w:val="008B4E3A"/>
    <w:rsid w:val="008B4F15"/>
    <w:rsid w:val="008B56AA"/>
    <w:rsid w:val="008B6259"/>
    <w:rsid w:val="008B68CF"/>
    <w:rsid w:val="008B7953"/>
    <w:rsid w:val="008C0364"/>
    <w:rsid w:val="008C06E2"/>
    <w:rsid w:val="008C099C"/>
    <w:rsid w:val="008C0A53"/>
    <w:rsid w:val="008C0BC5"/>
    <w:rsid w:val="008C0D9A"/>
    <w:rsid w:val="008C113B"/>
    <w:rsid w:val="008C14E2"/>
    <w:rsid w:val="008C1E66"/>
    <w:rsid w:val="008C33E3"/>
    <w:rsid w:val="008C3C5B"/>
    <w:rsid w:val="008C3E7D"/>
    <w:rsid w:val="008C4556"/>
    <w:rsid w:val="008C59D7"/>
    <w:rsid w:val="008C5CF2"/>
    <w:rsid w:val="008C6054"/>
    <w:rsid w:val="008C64AF"/>
    <w:rsid w:val="008C7AFD"/>
    <w:rsid w:val="008D0CAF"/>
    <w:rsid w:val="008D0DBD"/>
    <w:rsid w:val="008D310F"/>
    <w:rsid w:val="008D3636"/>
    <w:rsid w:val="008D3887"/>
    <w:rsid w:val="008D4F26"/>
    <w:rsid w:val="008D518D"/>
    <w:rsid w:val="008D540B"/>
    <w:rsid w:val="008D54FF"/>
    <w:rsid w:val="008D59C9"/>
    <w:rsid w:val="008D6CEA"/>
    <w:rsid w:val="008D76F5"/>
    <w:rsid w:val="008D7761"/>
    <w:rsid w:val="008E0F4A"/>
    <w:rsid w:val="008E1201"/>
    <w:rsid w:val="008E15A3"/>
    <w:rsid w:val="008E1D1E"/>
    <w:rsid w:val="008E224C"/>
    <w:rsid w:val="008E22AD"/>
    <w:rsid w:val="008E281A"/>
    <w:rsid w:val="008E409E"/>
    <w:rsid w:val="008E45F5"/>
    <w:rsid w:val="008E4638"/>
    <w:rsid w:val="008E4790"/>
    <w:rsid w:val="008E5A6D"/>
    <w:rsid w:val="008E6608"/>
    <w:rsid w:val="008E681B"/>
    <w:rsid w:val="008E6963"/>
    <w:rsid w:val="008E7486"/>
    <w:rsid w:val="008E74BD"/>
    <w:rsid w:val="008E7A97"/>
    <w:rsid w:val="008F0222"/>
    <w:rsid w:val="008F02AA"/>
    <w:rsid w:val="008F2B71"/>
    <w:rsid w:val="008F2C7E"/>
    <w:rsid w:val="008F312D"/>
    <w:rsid w:val="008F5148"/>
    <w:rsid w:val="008F5B8D"/>
    <w:rsid w:val="008F6872"/>
    <w:rsid w:val="008F6979"/>
    <w:rsid w:val="008F6F09"/>
    <w:rsid w:val="008F7AF2"/>
    <w:rsid w:val="008F7D17"/>
    <w:rsid w:val="00900152"/>
    <w:rsid w:val="009005A7"/>
    <w:rsid w:val="00900F85"/>
    <w:rsid w:val="00901502"/>
    <w:rsid w:val="00901A28"/>
    <w:rsid w:val="00902F0D"/>
    <w:rsid w:val="009034B1"/>
    <w:rsid w:val="009055FB"/>
    <w:rsid w:val="00905CFA"/>
    <w:rsid w:val="00905F9D"/>
    <w:rsid w:val="009062B2"/>
    <w:rsid w:val="00906B10"/>
    <w:rsid w:val="00906C34"/>
    <w:rsid w:val="00907E2F"/>
    <w:rsid w:val="00911636"/>
    <w:rsid w:val="00912AF8"/>
    <w:rsid w:val="009134CC"/>
    <w:rsid w:val="0091459E"/>
    <w:rsid w:val="00914CA4"/>
    <w:rsid w:val="00914E78"/>
    <w:rsid w:val="009163F1"/>
    <w:rsid w:val="00917561"/>
    <w:rsid w:val="00917A08"/>
    <w:rsid w:val="00920DC0"/>
    <w:rsid w:val="00920FF1"/>
    <w:rsid w:val="009237B4"/>
    <w:rsid w:val="00924FA8"/>
    <w:rsid w:val="00925704"/>
    <w:rsid w:val="0092698D"/>
    <w:rsid w:val="009303CC"/>
    <w:rsid w:val="00930DBB"/>
    <w:rsid w:val="00931625"/>
    <w:rsid w:val="00933082"/>
    <w:rsid w:val="009338D1"/>
    <w:rsid w:val="009341BF"/>
    <w:rsid w:val="0093596E"/>
    <w:rsid w:val="00935A02"/>
    <w:rsid w:val="00937655"/>
    <w:rsid w:val="0094018A"/>
    <w:rsid w:val="00940FE8"/>
    <w:rsid w:val="0094223E"/>
    <w:rsid w:val="00942632"/>
    <w:rsid w:val="00942D10"/>
    <w:rsid w:val="00943730"/>
    <w:rsid w:val="00945175"/>
    <w:rsid w:val="00945363"/>
    <w:rsid w:val="00945F3E"/>
    <w:rsid w:val="00946225"/>
    <w:rsid w:val="0094699E"/>
    <w:rsid w:val="00946A8E"/>
    <w:rsid w:val="00947530"/>
    <w:rsid w:val="00947F5B"/>
    <w:rsid w:val="0095067B"/>
    <w:rsid w:val="00950956"/>
    <w:rsid w:val="00950CCC"/>
    <w:rsid w:val="00950E22"/>
    <w:rsid w:val="00951486"/>
    <w:rsid w:val="00952B30"/>
    <w:rsid w:val="00953AE5"/>
    <w:rsid w:val="00953F21"/>
    <w:rsid w:val="0095455C"/>
    <w:rsid w:val="00955318"/>
    <w:rsid w:val="00956CA2"/>
    <w:rsid w:val="00956CBC"/>
    <w:rsid w:val="00956ED9"/>
    <w:rsid w:val="009621BB"/>
    <w:rsid w:val="00964B1D"/>
    <w:rsid w:val="00965070"/>
    <w:rsid w:val="00965151"/>
    <w:rsid w:val="00966933"/>
    <w:rsid w:val="00970C5D"/>
    <w:rsid w:val="00970CBF"/>
    <w:rsid w:val="00971004"/>
    <w:rsid w:val="0097250D"/>
    <w:rsid w:val="009725A1"/>
    <w:rsid w:val="00975E89"/>
    <w:rsid w:val="00976C6F"/>
    <w:rsid w:val="00977642"/>
    <w:rsid w:val="009815F7"/>
    <w:rsid w:val="00982B3A"/>
    <w:rsid w:val="00983837"/>
    <w:rsid w:val="00984373"/>
    <w:rsid w:val="009864B7"/>
    <w:rsid w:val="00986846"/>
    <w:rsid w:val="00986E55"/>
    <w:rsid w:val="009873B7"/>
    <w:rsid w:val="00987C36"/>
    <w:rsid w:val="00990636"/>
    <w:rsid w:val="0099092F"/>
    <w:rsid w:val="0099126B"/>
    <w:rsid w:val="00992FB0"/>
    <w:rsid w:val="009934EA"/>
    <w:rsid w:val="00994217"/>
    <w:rsid w:val="00994FD5"/>
    <w:rsid w:val="00995241"/>
    <w:rsid w:val="00995E98"/>
    <w:rsid w:val="009970B0"/>
    <w:rsid w:val="00997E56"/>
    <w:rsid w:val="009A0D37"/>
    <w:rsid w:val="009A0E57"/>
    <w:rsid w:val="009A0E95"/>
    <w:rsid w:val="009A0F56"/>
    <w:rsid w:val="009A13D6"/>
    <w:rsid w:val="009A1995"/>
    <w:rsid w:val="009A2385"/>
    <w:rsid w:val="009A2493"/>
    <w:rsid w:val="009A2879"/>
    <w:rsid w:val="009A3ACC"/>
    <w:rsid w:val="009A3B33"/>
    <w:rsid w:val="009A4D54"/>
    <w:rsid w:val="009A5067"/>
    <w:rsid w:val="009A79D0"/>
    <w:rsid w:val="009B00C1"/>
    <w:rsid w:val="009B0117"/>
    <w:rsid w:val="009B06F5"/>
    <w:rsid w:val="009B1D5D"/>
    <w:rsid w:val="009B4151"/>
    <w:rsid w:val="009B49E1"/>
    <w:rsid w:val="009B5B32"/>
    <w:rsid w:val="009B6C47"/>
    <w:rsid w:val="009C0305"/>
    <w:rsid w:val="009C07A9"/>
    <w:rsid w:val="009C1115"/>
    <w:rsid w:val="009C11C2"/>
    <w:rsid w:val="009C2124"/>
    <w:rsid w:val="009C223B"/>
    <w:rsid w:val="009C265D"/>
    <w:rsid w:val="009C2919"/>
    <w:rsid w:val="009C365B"/>
    <w:rsid w:val="009C4547"/>
    <w:rsid w:val="009C5DDB"/>
    <w:rsid w:val="009C677B"/>
    <w:rsid w:val="009C6780"/>
    <w:rsid w:val="009C75D6"/>
    <w:rsid w:val="009C77A4"/>
    <w:rsid w:val="009C78EF"/>
    <w:rsid w:val="009D0A73"/>
    <w:rsid w:val="009D16B1"/>
    <w:rsid w:val="009D1980"/>
    <w:rsid w:val="009D2418"/>
    <w:rsid w:val="009D42B6"/>
    <w:rsid w:val="009D460A"/>
    <w:rsid w:val="009D4D39"/>
    <w:rsid w:val="009D5267"/>
    <w:rsid w:val="009D64C5"/>
    <w:rsid w:val="009D6AE2"/>
    <w:rsid w:val="009D76D5"/>
    <w:rsid w:val="009D7783"/>
    <w:rsid w:val="009D7D8A"/>
    <w:rsid w:val="009E12BB"/>
    <w:rsid w:val="009E1904"/>
    <w:rsid w:val="009E3FB8"/>
    <w:rsid w:val="009E46B7"/>
    <w:rsid w:val="009E4E67"/>
    <w:rsid w:val="009E4FCE"/>
    <w:rsid w:val="009E59DF"/>
    <w:rsid w:val="009E7C22"/>
    <w:rsid w:val="009F2E16"/>
    <w:rsid w:val="009F2E78"/>
    <w:rsid w:val="009F4518"/>
    <w:rsid w:val="009F616A"/>
    <w:rsid w:val="009F7618"/>
    <w:rsid w:val="009F7D21"/>
    <w:rsid w:val="00A00105"/>
    <w:rsid w:val="00A0103E"/>
    <w:rsid w:val="00A01768"/>
    <w:rsid w:val="00A01FC0"/>
    <w:rsid w:val="00A022E1"/>
    <w:rsid w:val="00A02BB5"/>
    <w:rsid w:val="00A045CA"/>
    <w:rsid w:val="00A049D7"/>
    <w:rsid w:val="00A04A0B"/>
    <w:rsid w:val="00A04AB4"/>
    <w:rsid w:val="00A05555"/>
    <w:rsid w:val="00A05FB6"/>
    <w:rsid w:val="00A06501"/>
    <w:rsid w:val="00A06D58"/>
    <w:rsid w:val="00A079E5"/>
    <w:rsid w:val="00A12546"/>
    <w:rsid w:val="00A14230"/>
    <w:rsid w:val="00A14B1B"/>
    <w:rsid w:val="00A14B2E"/>
    <w:rsid w:val="00A14E30"/>
    <w:rsid w:val="00A15CA7"/>
    <w:rsid w:val="00A15DD0"/>
    <w:rsid w:val="00A2042B"/>
    <w:rsid w:val="00A20478"/>
    <w:rsid w:val="00A2071A"/>
    <w:rsid w:val="00A21159"/>
    <w:rsid w:val="00A217F7"/>
    <w:rsid w:val="00A228DE"/>
    <w:rsid w:val="00A23BC7"/>
    <w:rsid w:val="00A2454F"/>
    <w:rsid w:val="00A25827"/>
    <w:rsid w:val="00A27B6C"/>
    <w:rsid w:val="00A31438"/>
    <w:rsid w:val="00A31E4C"/>
    <w:rsid w:val="00A326BB"/>
    <w:rsid w:val="00A3354B"/>
    <w:rsid w:val="00A345B8"/>
    <w:rsid w:val="00A37630"/>
    <w:rsid w:val="00A37C54"/>
    <w:rsid w:val="00A37FC2"/>
    <w:rsid w:val="00A40502"/>
    <w:rsid w:val="00A407C8"/>
    <w:rsid w:val="00A40CF8"/>
    <w:rsid w:val="00A416C4"/>
    <w:rsid w:val="00A41B39"/>
    <w:rsid w:val="00A41FDA"/>
    <w:rsid w:val="00A42A2E"/>
    <w:rsid w:val="00A43177"/>
    <w:rsid w:val="00A43F4A"/>
    <w:rsid w:val="00A44022"/>
    <w:rsid w:val="00A4453A"/>
    <w:rsid w:val="00A47C59"/>
    <w:rsid w:val="00A50631"/>
    <w:rsid w:val="00A509D1"/>
    <w:rsid w:val="00A5227D"/>
    <w:rsid w:val="00A53017"/>
    <w:rsid w:val="00A56A88"/>
    <w:rsid w:val="00A57B06"/>
    <w:rsid w:val="00A57FA3"/>
    <w:rsid w:val="00A6063F"/>
    <w:rsid w:val="00A60CBF"/>
    <w:rsid w:val="00A60D9B"/>
    <w:rsid w:val="00A610F6"/>
    <w:rsid w:val="00A613C2"/>
    <w:rsid w:val="00A61B07"/>
    <w:rsid w:val="00A62560"/>
    <w:rsid w:val="00A625B2"/>
    <w:rsid w:val="00A62944"/>
    <w:rsid w:val="00A62F34"/>
    <w:rsid w:val="00A638A1"/>
    <w:rsid w:val="00A655EF"/>
    <w:rsid w:val="00A66276"/>
    <w:rsid w:val="00A66A7F"/>
    <w:rsid w:val="00A6760C"/>
    <w:rsid w:val="00A6771E"/>
    <w:rsid w:val="00A67AB8"/>
    <w:rsid w:val="00A704D3"/>
    <w:rsid w:val="00A7080A"/>
    <w:rsid w:val="00A7258A"/>
    <w:rsid w:val="00A728E8"/>
    <w:rsid w:val="00A73685"/>
    <w:rsid w:val="00A74F35"/>
    <w:rsid w:val="00A7715D"/>
    <w:rsid w:val="00A806E5"/>
    <w:rsid w:val="00A80EB3"/>
    <w:rsid w:val="00A80ECE"/>
    <w:rsid w:val="00A81324"/>
    <w:rsid w:val="00A820FB"/>
    <w:rsid w:val="00A822FE"/>
    <w:rsid w:val="00A82DC6"/>
    <w:rsid w:val="00A831AD"/>
    <w:rsid w:val="00A833A2"/>
    <w:rsid w:val="00A833F6"/>
    <w:rsid w:val="00A83575"/>
    <w:rsid w:val="00A83979"/>
    <w:rsid w:val="00A845B4"/>
    <w:rsid w:val="00A84738"/>
    <w:rsid w:val="00A853A2"/>
    <w:rsid w:val="00A85B90"/>
    <w:rsid w:val="00A86172"/>
    <w:rsid w:val="00A86185"/>
    <w:rsid w:val="00A866DC"/>
    <w:rsid w:val="00A8678D"/>
    <w:rsid w:val="00A874C9"/>
    <w:rsid w:val="00A875F6"/>
    <w:rsid w:val="00A87A9F"/>
    <w:rsid w:val="00A87CF7"/>
    <w:rsid w:val="00A90C2C"/>
    <w:rsid w:val="00A911E5"/>
    <w:rsid w:val="00A91B4F"/>
    <w:rsid w:val="00A92501"/>
    <w:rsid w:val="00A92DC9"/>
    <w:rsid w:val="00A94700"/>
    <w:rsid w:val="00A963D0"/>
    <w:rsid w:val="00A97207"/>
    <w:rsid w:val="00A978C8"/>
    <w:rsid w:val="00A97BC9"/>
    <w:rsid w:val="00AA04B0"/>
    <w:rsid w:val="00AA1E22"/>
    <w:rsid w:val="00AA1FF9"/>
    <w:rsid w:val="00AA2642"/>
    <w:rsid w:val="00AA29B8"/>
    <w:rsid w:val="00AA2D5D"/>
    <w:rsid w:val="00AA4364"/>
    <w:rsid w:val="00AA4484"/>
    <w:rsid w:val="00AA498A"/>
    <w:rsid w:val="00AA4992"/>
    <w:rsid w:val="00AA51AD"/>
    <w:rsid w:val="00AA5308"/>
    <w:rsid w:val="00AA6D89"/>
    <w:rsid w:val="00AA76AE"/>
    <w:rsid w:val="00AA7FFC"/>
    <w:rsid w:val="00AB0198"/>
    <w:rsid w:val="00AB07FD"/>
    <w:rsid w:val="00AB1189"/>
    <w:rsid w:val="00AB122E"/>
    <w:rsid w:val="00AB30B6"/>
    <w:rsid w:val="00AB3695"/>
    <w:rsid w:val="00AB468F"/>
    <w:rsid w:val="00AB61A2"/>
    <w:rsid w:val="00AB7054"/>
    <w:rsid w:val="00AB70E8"/>
    <w:rsid w:val="00AB7599"/>
    <w:rsid w:val="00AB7A1D"/>
    <w:rsid w:val="00AC0881"/>
    <w:rsid w:val="00AC1C22"/>
    <w:rsid w:val="00AC1C62"/>
    <w:rsid w:val="00AC1F6E"/>
    <w:rsid w:val="00AC3199"/>
    <w:rsid w:val="00AC344E"/>
    <w:rsid w:val="00AC411B"/>
    <w:rsid w:val="00AC4BC4"/>
    <w:rsid w:val="00AC5A66"/>
    <w:rsid w:val="00AC5C28"/>
    <w:rsid w:val="00AC64B1"/>
    <w:rsid w:val="00AC64E4"/>
    <w:rsid w:val="00AC6FB6"/>
    <w:rsid w:val="00AD0CE0"/>
    <w:rsid w:val="00AD1F1B"/>
    <w:rsid w:val="00AD3291"/>
    <w:rsid w:val="00AD32D6"/>
    <w:rsid w:val="00AD3A08"/>
    <w:rsid w:val="00AD3D69"/>
    <w:rsid w:val="00AD43E2"/>
    <w:rsid w:val="00AD449D"/>
    <w:rsid w:val="00AD6401"/>
    <w:rsid w:val="00AD6AD2"/>
    <w:rsid w:val="00AD6B70"/>
    <w:rsid w:val="00AE003A"/>
    <w:rsid w:val="00AE09B0"/>
    <w:rsid w:val="00AE16D6"/>
    <w:rsid w:val="00AE236B"/>
    <w:rsid w:val="00AE2D67"/>
    <w:rsid w:val="00AE34A9"/>
    <w:rsid w:val="00AE3869"/>
    <w:rsid w:val="00AE47A6"/>
    <w:rsid w:val="00AE4A32"/>
    <w:rsid w:val="00AE5C74"/>
    <w:rsid w:val="00AE5DFF"/>
    <w:rsid w:val="00AF0EBA"/>
    <w:rsid w:val="00AF18F2"/>
    <w:rsid w:val="00AF2E6F"/>
    <w:rsid w:val="00AF2F6B"/>
    <w:rsid w:val="00AF691C"/>
    <w:rsid w:val="00AF7687"/>
    <w:rsid w:val="00AF7B33"/>
    <w:rsid w:val="00AF7ED0"/>
    <w:rsid w:val="00B02572"/>
    <w:rsid w:val="00B0279F"/>
    <w:rsid w:val="00B02BD6"/>
    <w:rsid w:val="00B0321B"/>
    <w:rsid w:val="00B055AA"/>
    <w:rsid w:val="00B0567E"/>
    <w:rsid w:val="00B06111"/>
    <w:rsid w:val="00B0630E"/>
    <w:rsid w:val="00B06316"/>
    <w:rsid w:val="00B064DB"/>
    <w:rsid w:val="00B06741"/>
    <w:rsid w:val="00B07660"/>
    <w:rsid w:val="00B076F3"/>
    <w:rsid w:val="00B10A28"/>
    <w:rsid w:val="00B112E2"/>
    <w:rsid w:val="00B11597"/>
    <w:rsid w:val="00B1161D"/>
    <w:rsid w:val="00B11732"/>
    <w:rsid w:val="00B1179E"/>
    <w:rsid w:val="00B1751C"/>
    <w:rsid w:val="00B17BFC"/>
    <w:rsid w:val="00B2023C"/>
    <w:rsid w:val="00B211CF"/>
    <w:rsid w:val="00B219AC"/>
    <w:rsid w:val="00B21B1F"/>
    <w:rsid w:val="00B21B30"/>
    <w:rsid w:val="00B22223"/>
    <w:rsid w:val="00B2262C"/>
    <w:rsid w:val="00B23367"/>
    <w:rsid w:val="00B252F9"/>
    <w:rsid w:val="00B3062B"/>
    <w:rsid w:val="00B30E68"/>
    <w:rsid w:val="00B310AF"/>
    <w:rsid w:val="00B313A8"/>
    <w:rsid w:val="00B31FDF"/>
    <w:rsid w:val="00B33C3C"/>
    <w:rsid w:val="00B33D01"/>
    <w:rsid w:val="00B3476B"/>
    <w:rsid w:val="00B362C2"/>
    <w:rsid w:val="00B40CC6"/>
    <w:rsid w:val="00B41DFF"/>
    <w:rsid w:val="00B420C4"/>
    <w:rsid w:val="00B42610"/>
    <w:rsid w:val="00B42DA4"/>
    <w:rsid w:val="00B43C90"/>
    <w:rsid w:val="00B44C27"/>
    <w:rsid w:val="00B45264"/>
    <w:rsid w:val="00B4544E"/>
    <w:rsid w:val="00B45D19"/>
    <w:rsid w:val="00B464BA"/>
    <w:rsid w:val="00B46666"/>
    <w:rsid w:val="00B46F84"/>
    <w:rsid w:val="00B47137"/>
    <w:rsid w:val="00B477BB"/>
    <w:rsid w:val="00B514EB"/>
    <w:rsid w:val="00B5272C"/>
    <w:rsid w:val="00B52730"/>
    <w:rsid w:val="00B52A41"/>
    <w:rsid w:val="00B532B4"/>
    <w:rsid w:val="00B54C01"/>
    <w:rsid w:val="00B561D7"/>
    <w:rsid w:val="00B56B91"/>
    <w:rsid w:val="00B56C04"/>
    <w:rsid w:val="00B5703B"/>
    <w:rsid w:val="00B5792F"/>
    <w:rsid w:val="00B57DFF"/>
    <w:rsid w:val="00B60800"/>
    <w:rsid w:val="00B619EA"/>
    <w:rsid w:val="00B61D48"/>
    <w:rsid w:val="00B62809"/>
    <w:rsid w:val="00B63D9E"/>
    <w:rsid w:val="00B64190"/>
    <w:rsid w:val="00B651B6"/>
    <w:rsid w:val="00B6540C"/>
    <w:rsid w:val="00B65B80"/>
    <w:rsid w:val="00B65C28"/>
    <w:rsid w:val="00B67F8C"/>
    <w:rsid w:val="00B70F3C"/>
    <w:rsid w:val="00B7127D"/>
    <w:rsid w:val="00B71546"/>
    <w:rsid w:val="00B73176"/>
    <w:rsid w:val="00B7323D"/>
    <w:rsid w:val="00B73A05"/>
    <w:rsid w:val="00B73B5D"/>
    <w:rsid w:val="00B74424"/>
    <w:rsid w:val="00B75C48"/>
    <w:rsid w:val="00B7632F"/>
    <w:rsid w:val="00B76912"/>
    <w:rsid w:val="00B77FC5"/>
    <w:rsid w:val="00B81697"/>
    <w:rsid w:val="00B81B3A"/>
    <w:rsid w:val="00B82F7C"/>
    <w:rsid w:val="00B83221"/>
    <w:rsid w:val="00B8390A"/>
    <w:rsid w:val="00B845A1"/>
    <w:rsid w:val="00B8473A"/>
    <w:rsid w:val="00B851CB"/>
    <w:rsid w:val="00B85C7A"/>
    <w:rsid w:val="00B869A2"/>
    <w:rsid w:val="00B91073"/>
    <w:rsid w:val="00B92BED"/>
    <w:rsid w:val="00B934D8"/>
    <w:rsid w:val="00B938D7"/>
    <w:rsid w:val="00B93FEE"/>
    <w:rsid w:val="00B94020"/>
    <w:rsid w:val="00B943D7"/>
    <w:rsid w:val="00B94E47"/>
    <w:rsid w:val="00B95168"/>
    <w:rsid w:val="00B95750"/>
    <w:rsid w:val="00B95B7D"/>
    <w:rsid w:val="00B963E0"/>
    <w:rsid w:val="00B97BD8"/>
    <w:rsid w:val="00B97E19"/>
    <w:rsid w:val="00BA0B6B"/>
    <w:rsid w:val="00BA18DB"/>
    <w:rsid w:val="00BA20C7"/>
    <w:rsid w:val="00BA29D2"/>
    <w:rsid w:val="00BA3087"/>
    <w:rsid w:val="00BA3235"/>
    <w:rsid w:val="00BA4240"/>
    <w:rsid w:val="00BA477E"/>
    <w:rsid w:val="00BA4A88"/>
    <w:rsid w:val="00BA52C1"/>
    <w:rsid w:val="00BA571F"/>
    <w:rsid w:val="00BA5A4F"/>
    <w:rsid w:val="00BA723C"/>
    <w:rsid w:val="00BB1551"/>
    <w:rsid w:val="00BB156D"/>
    <w:rsid w:val="00BB3A61"/>
    <w:rsid w:val="00BB43A2"/>
    <w:rsid w:val="00BB4A1C"/>
    <w:rsid w:val="00BB78A5"/>
    <w:rsid w:val="00BC05AA"/>
    <w:rsid w:val="00BC0BB3"/>
    <w:rsid w:val="00BC0C7D"/>
    <w:rsid w:val="00BC1172"/>
    <w:rsid w:val="00BC15D2"/>
    <w:rsid w:val="00BC268D"/>
    <w:rsid w:val="00BC3489"/>
    <w:rsid w:val="00BC34D8"/>
    <w:rsid w:val="00BC390F"/>
    <w:rsid w:val="00BC4D6D"/>
    <w:rsid w:val="00BC5CD1"/>
    <w:rsid w:val="00BC7736"/>
    <w:rsid w:val="00BC7813"/>
    <w:rsid w:val="00BC798E"/>
    <w:rsid w:val="00BC7E8F"/>
    <w:rsid w:val="00BD1037"/>
    <w:rsid w:val="00BD1962"/>
    <w:rsid w:val="00BD2131"/>
    <w:rsid w:val="00BD72BA"/>
    <w:rsid w:val="00BE022F"/>
    <w:rsid w:val="00BE0816"/>
    <w:rsid w:val="00BE180B"/>
    <w:rsid w:val="00BE267A"/>
    <w:rsid w:val="00BE34F3"/>
    <w:rsid w:val="00BE37CC"/>
    <w:rsid w:val="00BE384E"/>
    <w:rsid w:val="00BE38CB"/>
    <w:rsid w:val="00BE5121"/>
    <w:rsid w:val="00BE5E45"/>
    <w:rsid w:val="00BE6ED3"/>
    <w:rsid w:val="00BE6F94"/>
    <w:rsid w:val="00BE70CB"/>
    <w:rsid w:val="00BE7956"/>
    <w:rsid w:val="00BF0A62"/>
    <w:rsid w:val="00BF1125"/>
    <w:rsid w:val="00BF1628"/>
    <w:rsid w:val="00BF2035"/>
    <w:rsid w:val="00BF36CE"/>
    <w:rsid w:val="00BF40B4"/>
    <w:rsid w:val="00BF4499"/>
    <w:rsid w:val="00BF6795"/>
    <w:rsid w:val="00BF6B00"/>
    <w:rsid w:val="00C002F2"/>
    <w:rsid w:val="00C005B6"/>
    <w:rsid w:val="00C012A3"/>
    <w:rsid w:val="00C01E3B"/>
    <w:rsid w:val="00C02374"/>
    <w:rsid w:val="00C02B3E"/>
    <w:rsid w:val="00C02BDD"/>
    <w:rsid w:val="00C0326A"/>
    <w:rsid w:val="00C038EC"/>
    <w:rsid w:val="00C04E6D"/>
    <w:rsid w:val="00C058F3"/>
    <w:rsid w:val="00C07430"/>
    <w:rsid w:val="00C07632"/>
    <w:rsid w:val="00C07904"/>
    <w:rsid w:val="00C0794F"/>
    <w:rsid w:val="00C079A3"/>
    <w:rsid w:val="00C103ED"/>
    <w:rsid w:val="00C10881"/>
    <w:rsid w:val="00C10A13"/>
    <w:rsid w:val="00C10A3A"/>
    <w:rsid w:val="00C125E0"/>
    <w:rsid w:val="00C12910"/>
    <w:rsid w:val="00C12BDF"/>
    <w:rsid w:val="00C12CF1"/>
    <w:rsid w:val="00C133E0"/>
    <w:rsid w:val="00C138FA"/>
    <w:rsid w:val="00C14B86"/>
    <w:rsid w:val="00C1526B"/>
    <w:rsid w:val="00C1608E"/>
    <w:rsid w:val="00C167A0"/>
    <w:rsid w:val="00C17282"/>
    <w:rsid w:val="00C20922"/>
    <w:rsid w:val="00C20FBE"/>
    <w:rsid w:val="00C2168A"/>
    <w:rsid w:val="00C21A76"/>
    <w:rsid w:val="00C237B5"/>
    <w:rsid w:val="00C23ADB"/>
    <w:rsid w:val="00C24558"/>
    <w:rsid w:val="00C24DA6"/>
    <w:rsid w:val="00C2540C"/>
    <w:rsid w:val="00C256F0"/>
    <w:rsid w:val="00C257E3"/>
    <w:rsid w:val="00C25AE6"/>
    <w:rsid w:val="00C25BEE"/>
    <w:rsid w:val="00C2650A"/>
    <w:rsid w:val="00C270B7"/>
    <w:rsid w:val="00C270C0"/>
    <w:rsid w:val="00C27B79"/>
    <w:rsid w:val="00C3092A"/>
    <w:rsid w:val="00C30A44"/>
    <w:rsid w:val="00C31598"/>
    <w:rsid w:val="00C317A4"/>
    <w:rsid w:val="00C320A6"/>
    <w:rsid w:val="00C32263"/>
    <w:rsid w:val="00C333EF"/>
    <w:rsid w:val="00C3354F"/>
    <w:rsid w:val="00C33F5D"/>
    <w:rsid w:val="00C349EB"/>
    <w:rsid w:val="00C35161"/>
    <w:rsid w:val="00C35DBA"/>
    <w:rsid w:val="00C361E9"/>
    <w:rsid w:val="00C37BE9"/>
    <w:rsid w:val="00C37ED2"/>
    <w:rsid w:val="00C406E0"/>
    <w:rsid w:val="00C4075D"/>
    <w:rsid w:val="00C40E13"/>
    <w:rsid w:val="00C41CDC"/>
    <w:rsid w:val="00C41D4C"/>
    <w:rsid w:val="00C43051"/>
    <w:rsid w:val="00C43A78"/>
    <w:rsid w:val="00C4492C"/>
    <w:rsid w:val="00C44A9B"/>
    <w:rsid w:val="00C450C2"/>
    <w:rsid w:val="00C45559"/>
    <w:rsid w:val="00C460B2"/>
    <w:rsid w:val="00C46248"/>
    <w:rsid w:val="00C462EF"/>
    <w:rsid w:val="00C476A7"/>
    <w:rsid w:val="00C47CBB"/>
    <w:rsid w:val="00C51715"/>
    <w:rsid w:val="00C51C93"/>
    <w:rsid w:val="00C52509"/>
    <w:rsid w:val="00C52D40"/>
    <w:rsid w:val="00C5503B"/>
    <w:rsid w:val="00C55B45"/>
    <w:rsid w:val="00C5678C"/>
    <w:rsid w:val="00C56C4A"/>
    <w:rsid w:val="00C570CD"/>
    <w:rsid w:val="00C609B3"/>
    <w:rsid w:val="00C61F20"/>
    <w:rsid w:val="00C62476"/>
    <w:rsid w:val="00C653BB"/>
    <w:rsid w:val="00C66782"/>
    <w:rsid w:val="00C66BC2"/>
    <w:rsid w:val="00C66E92"/>
    <w:rsid w:val="00C676FC"/>
    <w:rsid w:val="00C67FF5"/>
    <w:rsid w:val="00C70370"/>
    <w:rsid w:val="00C708EA"/>
    <w:rsid w:val="00C71574"/>
    <w:rsid w:val="00C715D6"/>
    <w:rsid w:val="00C723EF"/>
    <w:rsid w:val="00C74F7D"/>
    <w:rsid w:val="00C767BE"/>
    <w:rsid w:val="00C8026B"/>
    <w:rsid w:val="00C81636"/>
    <w:rsid w:val="00C821C0"/>
    <w:rsid w:val="00C838E1"/>
    <w:rsid w:val="00C84C5B"/>
    <w:rsid w:val="00C84ED6"/>
    <w:rsid w:val="00C851A4"/>
    <w:rsid w:val="00C85761"/>
    <w:rsid w:val="00C86A2D"/>
    <w:rsid w:val="00C91499"/>
    <w:rsid w:val="00C916E7"/>
    <w:rsid w:val="00C918F7"/>
    <w:rsid w:val="00C91998"/>
    <w:rsid w:val="00C92BAC"/>
    <w:rsid w:val="00C93590"/>
    <w:rsid w:val="00C94936"/>
    <w:rsid w:val="00C94C4D"/>
    <w:rsid w:val="00C953F5"/>
    <w:rsid w:val="00C95725"/>
    <w:rsid w:val="00C9607B"/>
    <w:rsid w:val="00C96480"/>
    <w:rsid w:val="00C97E9A"/>
    <w:rsid w:val="00CA07BA"/>
    <w:rsid w:val="00CA1DF0"/>
    <w:rsid w:val="00CA338A"/>
    <w:rsid w:val="00CA34B3"/>
    <w:rsid w:val="00CA3F33"/>
    <w:rsid w:val="00CA4027"/>
    <w:rsid w:val="00CA52C0"/>
    <w:rsid w:val="00CA6E6C"/>
    <w:rsid w:val="00CA797E"/>
    <w:rsid w:val="00CB021B"/>
    <w:rsid w:val="00CB0C0D"/>
    <w:rsid w:val="00CB14E2"/>
    <w:rsid w:val="00CB1960"/>
    <w:rsid w:val="00CB2292"/>
    <w:rsid w:val="00CB38C8"/>
    <w:rsid w:val="00CB38F3"/>
    <w:rsid w:val="00CB3C6B"/>
    <w:rsid w:val="00CB41C1"/>
    <w:rsid w:val="00CB452E"/>
    <w:rsid w:val="00CB4693"/>
    <w:rsid w:val="00CB4A33"/>
    <w:rsid w:val="00CB4DC1"/>
    <w:rsid w:val="00CB52F7"/>
    <w:rsid w:val="00CB5F53"/>
    <w:rsid w:val="00CB67DC"/>
    <w:rsid w:val="00CB6B59"/>
    <w:rsid w:val="00CB6BD8"/>
    <w:rsid w:val="00CB7F50"/>
    <w:rsid w:val="00CC000A"/>
    <w:rsid w:val="00CC123B"/>
    <w:rsid w:val="00CC2453"/>
    <w:rsid w:val="00CC2607"/>
    <w:rsid w:val="00CC296D"/>
    <w:rsid w:val="00CC3502"/>
    <w:rsid w:val="00CC39D0"/>
    <w:rsid w:val="00CC3F22"/>
    <w:rsid w:val="00CC4A94"/>
    <w:rsid w:val="00CC4B38"/>
    <w:rsid w:val="00CC5B8D"/>
    <w:rsid w:val="00CC6819"/>
    <w:rsid w:val="00CC7BDA"/>
    <w:rsid w:val="00CD05CD"/>
    <w:rsid w:val="00CD2012"/>
    <w:rsid w:val="00CD289A"/>
    <w:rsid w:val="00CD2D02"/>
    <w:rsid w:val="00CD2DFA"/>
    <w:rsid w:val="00CD3326"/>
    <w:rsid w:val="00CD3759"/>
    <w:rsid w:val="00CD3789"/>
    <w:rsid w:val="00CD3D16"/>
    <w:rsid w:val="00CD4473"/>
    <w:rsid w:val="00CD4BC5"/>
    <w:rsid w:val="00CD53D1"/>
    <w:rsid w:val="00CD5D4F"/>
    <w:rsid w:val="00CD5D69"/>
    <w:rsid w:val="00CD61D5"/>
    <w:rsid w:val="00CD61EC"/>
    <w:rsid w:val="00CD7CD4"/>
    <w:rsid w:val="00CE04E5"/>
    <w:rsid w:val="00CE06C4"/>
    <w:rsid w:val="00CE21B0"/>
    <w:rsid w:val="00CE2767"/>
    <w:rsid w:val="00CE291C"/>
    <w:rsid w:val="00CE293B"/>
    <w:rsid w:val="00CE2AD1"/>
    <w:rsid w:val="00CE36D0"/>
    <w:rsid w:val="00CE5596"/>
    <w:rsid w:val="00CE777A"/>
    <w:rsid w:val="00CF056E"/>
    <w:rsid w:val="00CF0AF1"/>
    <w:rsid w:val="00CF13F9"/>
    <w:rsid w:val="00CF19F4"/>
    <w:rsid w:val="00CF1DFF"/>
    <w:rsid w:val="00CF2233"/>
    <w:rsid w:val="00CF23D1"/>
    <w:rsid w:val="00CF28AA"/>
    <w:rsid w:val="00CF377F"/>
    <w:rsid w:val="00CF3E86"/>
    <w:rsid w:val="00CF45F7"/>
    <w:rsid w:val="00CF49EB"/>
    <w:rsid w:val="00CF4B3D"/>
    <w:rsid w:val="00CF517E"/>
    <w:rsid w:val="00CF5511"/>
    <w:rsid w:val="00CF5E32"/>
    <w:rsid w:val="00CF6DD2"/>
    <w:rsid w:val="00CF7147"/>
    <w:rsid w:val="00CF7734"/>
    <w:rsid w:val="00D00483"/>
    <w:rsid w:val="00D004A6"/>
    <w:rsid w:val="00D01781"/>
    <w:rsid w:val="00D027D9"/>
    <w:rsid w:val="00D036D0"/>
    <w:rsid w:val="00D041F0"/>
    <w:rsid w:val="00D056F8"/>
    <w:rsid w:val="00D05AF2"/>
    <w:rsid w:val="00D06185"/>
    <w:rsid w:val="00D06587"/>
    <w:rsid w:val="00D06E0B"/>
    <w:rsid w:val="00D07EC8"/>
    <w:rsid w:val="00D07F55"/>
    <w:rsid w:val="00D10E03"/>
    <w:rsid w:val="00D10E5B"/>
    <w:rsid w:val="00D1334D"/>
    <w:rsid w:val="00D1360C"/>
    <w:rsid w:val="00D141D0"/>
    <w:rsid w:val="00D14FC7"/>
    <w:rsid w:val="00D15C5C"/>
    <w:rsid w:val="00D168F9"/>
    <w:rsid w:val="00D20491"/>
    <w:rsid w:val="00D21789"/>
    <w:rsid w:val="00D21E7C"/>
    <w:rsid w:val="00D22DAC"/>
    <w:rsid w:val="00D232AB"/>
    <w:rsid w:val="00D23B7D"/>
    <w:rsid w:val="00D2465F"/>
    <w:rsid w:val="00D24AD9"/>
    <w:rsid w:val="00D2529B"/>
    <w:rsid w:val="00D25B18"/>
    <w:rsid w:val="00D26127"/>
    <w:rsid w:val="00D26CA3"/>
    <w:rsid w:val="00D270F2"/>
    <w:rsid w:val="00D271F8"/>
    <w:rsid w:val="00D27B79"/>
    <w:rsid w:val="00D30E4A"/>
    <w:rsid w:val="00D31F5C"/>
    <w:rsid w:val="00D31F6A"/>
    <w:rsid w:val="00D32FA6"/>
    <w:rsid w:val="00D33688"/>
    <w:rsid w:val="00D3469F"/>
    <w:rsid w:val="00D34787"/>
    <w:rsid w:val="00D34881"/>
    <w:rsid w:val="00D348C9"/>
    <w:rsid w:val="00D35423"/>
    <w:rsid w:val="00D35AFA"/>
    <w:rsid w:val="00D3656E"/>
    <w:rsid w:val="00D368D9"/>
    <w:rsid w:val="00D37457"/>
    <w:rsid w:val="00D37F96"/>
    <w:rsid w:val="00D40B3D"/>
    <w:rsid w:val="00D40FFA"/>
    <w:rsid w:val="00D41E14"/>
    <w:rsid w:val="00D42D18"/>
    <w:rsid w:val="00D431EF"/>
    <w:rsid w:val="00D432C6"/>
    <w:rsid w:val="00D43636"/>
    <w:rsid w:val="00D43B4C"/>
    <w:rsid w:val="00D4497F"/>
    <w:rsid w:val="00D44B22"/>
    <w:rsid w:val="00D44E34"/>
    <w:rsid w:val="00D44FB8"/>
    <w:rsid w:val="00D45196"/>
    <w:rsid w:val="00D45306"/>
    <w:rsid w:val="00D46164"/>
    <w:rsid w:val="00D46EB5"/>
    <w:rsid w:val="00D46EE6"/>
    <w:rsid w:val="00D47856"/>
    <w:rsid w:val="00D47F4B"/>
    <w:rsid w:val="00D5046D"/>
    <w:rsid w:val="00D51A6D"/>
    <w:rsid w:val="00D52667"/>
    <w:rsid w:val="00D53820"/>
    <w:rsid w:val="00D5401B"/>
    <w:rsid w:val="00D54977"/>
    <w:rsid w:val="00D54AE6"/>
    <w:rsid w:val="00D54B2E"/>
    <w:rsid w:val="00D54E0B"/>
    <w:rsid w:val="00D5585D"/>
    <w:rsid w:val="00D55B00"/>
    <w:rsid w:val="00D56832"/>
    <w:rsid w:val="00D56B41"/>
    <w:rsid w:val="00D5791D"/>
    <w:rsid w:val="00D57DD2"/>
    <w:rsid w:val="00D6076B"/>
    <w:rsid w:val="00D60F7F"/>
    <w:rsid w:val="00D61298"/>
    <w:rsid w:val="00D63E72"/>
    <w:rsid w:val="00D640BD"/>
    <w:rsid w:val="00D66154"/>
    <w:rsid w:val="00D661E5"/>
    <w:rsid w:val="00D663D2"/>
    <w:rsid w:val="00D66AFA"/>
    <w:rsid w:val="00D6709F"/>
    <w:rsid w:val="00D6755B"/>
    <w:rsid w:val="00D678FE"/>
    <w:rsid w:val="00D67F1B"/>
    <w:rsid w:val="00D7006B"/>
    <w:rsid w:val="00D70A7E"/>
    <w:rsid w:val="00D7191C"/>
    <w:rsid w:val="00D71A60"/>
    <w:rsid w:val="00D71F2F"/>
    <w:rsid w:val="00D72046"/>
    <w:rsid w:val="00D722AA"/>
    <w:rsid w:val="00D7268F"/>
    <w:rsid w:val="00D72A74"/>
    <w:rsid w:val="00D73053"/>
    <w:rsid w:val="00D73190"/>
    <w:rsid w:val="00D73B09"/>
    <w:rsid w:val="00D75363"/>
    <w:rsid w:val="00D757A7"/>
    <w:rsid w:val="00D75832"/>
    <w:rsid w:val="00D763C9"/>
    <w:rsid w:val="00D77166"/>
    <w:rsid w:val="00D775E9"/>
    <w:rsid w:val="00D77C85"/>
    <w:rsid w:val="00D803C1"/>
    <w:rsid w:val="00D80BDD"/>
    <w:rsid w:val="00D8293B"/>
    <w:rsid w:val="00D832A2"/>
    <w:rsid w:val="00D835DB"/>
    <w:rsid w:val="00D8376C"/>
    <w:rsid w:val="00D8613E"/>
    <w:rsid w:val="00D86BC8"/>
    <w:rsid w:val="00D915F7"/>
    <w:rsid w:val="00D91769"/>
    <w:rsid w:val="00D91881"/>
    <w:rsid w:val="00D91C39"/>
    <w:rsid w:val="00D929F3"/>
    <w:rsid w:val="00D92D25"/>
    <w:rsid w:val="00D92E6B"/>
    <w:rsid w:val="00D93548"/>
    <w:rsid w:val="00D938A3"/>
    <w:rsid w:val="00D938BF"/>
    <w:rsid w:val="00D94CB2"/>
    <w:rsid w:val="00D94F82"/>
    <w:rsid w:val="00D95309"/>
    <w:rsid w:val="00D96660"/>
    <w:rsid w:val="00D97876"/>
    <w:rsid w:val="00DA0355"/>
    <w:rsid w:val="00DA04A6"/>
    <w:rsid w:val="00DA0983"/>
    <w:rsid w:val="00DA1F1E"/>
    <w:rsid w:val="00DA281F"/>
    <w:rsid w:val="00DA3C10"/>
    <w:rsid w:val="00DA58FA"/>
    <w:rsid w:val="00DA5EB2"/>
    <w:rsid w:val="00DA6A75"/>
    <w:rsid w:val="00DA6CBC"/>
    <w:rsid w:val="00DA7938"/>
    <w:rsid w:val="00DB1489"/>
    <w:rsid w:val="00DB25FD"/>
    <w:rsid w:val="00DB398D"/>
    <w:rsid w:val="00DB3C89"/>
    <w:rsid w:val="00DB4B00"/>
    <w:rsid w:val="00DB5274"/>
    <w:rsid w:val="00DB74A5"/>
    <w:rsid w:val="00DB78BE"/>
    <w:rsid w:val="00DC054A"/>
    <w:rsid w:val="00DC0BDD"/>
    <w:rsid w:val="00DC1C2D"/>
    <w:rsid w:val="00DC21A0"/>
    <w:rsid w:val="00DC22D7"/>
    <w:rsid w:val="00DC3CBD"/>
    <w:rsid w:val="00DC462B"/>
    <w:rsid w:val="00DC47BB"/>
    <w:rsid w:val="00DC48EE"/>
    <w:rsid w:val="00DC5D44"/>
    <w:rsid w:val="00DC6788"/>
    <w:rsid w:val="00DC695D"/>
    <w:rsid w:val="00DC6D51"/>
    <w:rsid w:val="00DC6FE8"/>
    <w:rsid w:val="00DC71FB"/>
    <w:rsid w:val="00DC7507"/>
    <w:rsid w:val="00DC7D3D"/>
    <w:rsid w:val="00DD00F9"/>
    <w:rsid w:val="00DD01D7"/>
    <w:rsid w:val="00DD04C6"/>
    <w:rsid w:val="00DD2761"/>
    <w:rsid w:val="00DD317C"/>
    <w:rsid w:val="00DD5F3D"/>
    <w:rsid w:val="00DD6A5D"/>
    <w:rsid w:val="00DD6B42"/>
    <w:rsid w:val="00DD7038"/>
    <w:rsid w:val="00DD75E3"/>
    <w:rsid w:val="00DD76B1"/>
    <w:rsid w:val="00DE000B"/>
    <w:rsid w:val="00DE09E2"/>
    <w:rsid w:val="00DE0F38"/>
    <w:rsid w:val="00DE18C4"/>
    <w:rsid w:val="00DE1BDA"/>
    <w:rsid w:val="00DE309D"/>
    <w:rsid w:val="00DE3951"/>
    <w:rsid w:val="00DE414F"/>
    <w:rsid w:val="00DE4847"/>
    <w:rsid w:val="00DE7355"/>
    <w:rsid w:val="00DE7687"/>
    <w:rsid w:val="00DF0E5C"/>
    <w:rsid w:val="00DF2135"/>
    <w:rsid w:val="00DF4378"/>
    <w:rsid w:val="00DF51BA"/>
    <w:rsid w:val="00DF59C0"/>
    <w:rsid w:val="00DF5AF8"/>
    <w:rsid w:val="00DF6674"/>
    <w:rsid w:val="00DF74B2"/>
    <w:rsid w:val="00DF75E4"/>
    <w:rsid w:val="00DF7D56"/>
    <w:rsid w:val="00E000E1"/>
    <w:rsid w:val="00E01006"/>
    <w:rsid w:val="00E014B1"/>
    <w:rsid w:val="00E02CA0"/>
    <w:rsid w:val="00E05863"/>
    <w:rsid w:val="00E05FDF"/>
    <w:rsid w:val="00E06302"/>
    <w:rsid w:val="00E069F8"/>
    <w:rsid w:val="00E074D0"/>
    <w:rsid w:val="00E07CBE"/>
    <w:rsid w:val="00E07F55"/>
    <w:rsid w:val="00E11027"/>
    <w:rsid w:val="00E1150A"/>
    <w:rsid w:val="00E11754"/>
    <w:rsid w:val="00E11B56"/>
    <w:rsid w:val="00E12226"/>
    <w:rsid w:val="00E124A7"/>
    <w:rsid w:val="00E125EB"/>
    <w:rsid w:val="00E12B9D"/>
    <w:rsid w:val="00E13459"/>
    <w:rsid w:val="00E1345F"/>
    <w:rsid w:val="00E1464D"/>
    <w:rsid w:val="00E14AD9"/>
    <w:rsid w:val="00E150AE"/>
    <w:rsid w:val="00E1557D"/>
    <w:rsid w:val="00E15C57"/>
    <w:rsid w:val="00E15F6B"/>
    <w:rsid w:val="00E1710B"/>
    <w:rsid w:val="00E1712A"/>
    <w:rsid w:val="00E17164"/>
    <w:rsid w:val="00E17F25"/>
    <w:rsid w:val="00E20327"/>
    <w:rsid w:val="00E2032D"/>
    <w:rsid w:val="00E21370"/>
    <w:rsid w:val="00E21886"/>
    <w:rsid w:val="00E2196A"/>
    <w:rsid w:val="00E22708"/>
    <w:rsid w:val="00E22C0C"/>
    <w:rsid w:val="00E23F1F"/>
    <w:rsid w:val="00E240A9"/>
    <w:rsid w:val="00E2443E"/>
    <w:rsid w:val="00E27229"/>
    <w:rsid w:val="00E272D6"/>
    <w:rsid w:val="00E27529"/>
    <w:rsid w:val="00E3149F"/>
    <w:rsid w:val="00E33A1C"/>
    <w:rsid w:val="00E35040"/>
    <w:rsid w:val="00E3643C"/>
    <w:rsid w:val="00E36BB2"/>
    <w:rsid w:val="00E40827"/>
    <w:rsid w:val="00E409D6"/>
    <w:rsid w:val="00E40E16"/>
    <w:rsid w:val="00E414E3"/>
    <w:rsid w:val="00E42469"/>
    <w:rsid w:val="00E431F3"/>
    <w:rsid w:val="00E43522"/>
    <w:rsid w:val="00E43562"/>
    <w:rsid w:val="00E4372C"/>
    <w:rsid w:val="00E43DAF"/>
    <w:rsid w:val="00E4409A"/>
    <w:rsid w:val="00E46AF3"/>
    <w:rsid w:val="00E47726"/>
    <w:rsid w:val="00E47C86"/>
    <w:rsid w:val="00E47EF8"/>
    <w:rsid w:val="00E485F1"/>
    <w:rsid w:val="00E501C1"/>
    <w:rsid w:val="00E51819"/>
    <w:rsid w:val="00E52B8B"/>
    <w:rsid w:val="00E5315C"/>
    <w:rsid w:val="00E5538A"/>
    <w:rsid w:val="00E55AE0"/>
    <w:rsid w:val="00E60620"/>
    <w:rsid w:val="00E60692"/>
    <w:rsid w:val="00E61230"/>
    <w:rsid w:val="00E61722"/>
    <w:rsid w:val="00E6279F"/>
    <w:rsid w:val="00E62BFF"/>
    <w:rsid w:val="00E65177"/>
    <w:rsid w:val="00E652A9"/>
    <w:rsid w:val="00E66CBE"/>
    <w:rsid w:val="00E66D57"/>
    <w:rsid w:val="00E67168"/>
    <w:rsid w:val="00E67AE5"/>
    <w:rsid w:val="00E67DDC"/>
    <w:rsid w:val="00E67E98"/>
    <w:rsid w:val="00E70100"/>
    <w:rsid w:val="00E70599"/>
    <w:rsid w:val="00E71759"/>
    <w:rsid w:val="00E71E67"/>
    <w:rsid w:val="00E71E85"/>
    <w:rsid w:val="00E72429"/>
    <w:rsid w:val="00E7265E"/>
    <w:rsid w:val="00E72CA9"/>
    <w:rsid w:val="00E7318E"/>
    <w:rsid w:val="00E74FCA"/>
    <w:rsid w:val="00E76241"/>
    <w:rsid w:val="00E76B66"/>
    <w:rsid w:val="00E773A4"/>
    <w:rsid w:val="00E80048"/>
    <w:rsid w:val="00E8019F"/>
    <w:rsid w:val="00E80803"/>
    <w:rsid w:val="00E82FD3"/>
    <w:rsid w:val="00E83334"/>
    <w:rsid w:val="00E839F3"/>
    <w:rsid w:val="00E84920"/>
    <w:rsid w:val="00E84EDF"/>
    <w:rsid w:val="00E85021"/>
    <w:rsid w:val="00E858F0"/>
    <w:rsid w:val="00E865F5"/>
    <w:rsid w:val="00E872C1"/>
    <w:rsid w:val="00E87810"/>
    <w:rsid w:val="00E87D89"/>
    <w:rsid w:val="00E87FA9"/>
    <w:rsid w:val="00E93CD5"/>
    <w:rsid w:val="00E94AA7"/>
    <w:rsid w:val="00E95222"/>
    <w:rsid w:val="00E953E6"/>
    <w:rsid w:val="00E95BF7"/>
    <w:rsid w:val="00E95D06"/>
    <w:rsid w:val="00EA0048"/>
    <w:rsid w:val="00EA02DE"/>
    <w:rsid w:val="00EA1AA2"/>
    <w:rsid w:val="00EA1D6D"/>
    <w:rsid w:val="00EA39EB"/>
    <w:rsid w:val="00EA43C7"/>
    <w:rsid w:val="00EA48AF"/>
    <w:rsid w:val="00EA49BC"/>
    <w:rsid w:val="00EA4F7B"/>
    <w:rsid w:val="00EA5387"/>
    <w:rsid w:val="00EA5E20"/>
    <w:rsid w:val="00EA6F02"/>
    <w:rsid w:val="00EA7C22"/>
    <w:rsid w:val="00EB051D"/>
    <w:rsid w:val="00EB2E12"/>
    <w:rsid w:val="00EB385A"/>
    <w:rsid w:val="00EB51FD"/>
    <w:rsid w:val="00EB5485"/>
    <w:rsid w:val="00EB56C5"/>
    <w:rsid w:val="00EB698D"/>
    <w:rsid w:val="00EB6ACD"/>
    <w:rsid w:val="00EC0076"/>
    <w:rsid w:val="00EC1849"/>
    <w:rsid w:val="00EC1BF6"/>
    <w:rsid w:val="00EC2857"/>
    <w:rsid w:val="00EC3855"/>
    <w:rsid w:val="00EC59D0"/>
    <w:rsid w:val="00EC5F9B"/>
    <w:rsid w:val="00EC6554"/>
    <w:rsid w:val="00EC7792"/>
    <w:rsid w:val="00ECC610"/>
    <w:rsid w:val="00ED085A"/>
    <w:rsid w:val="00ED0D3F"/>
    <w:rsid w:val="00ED1681"/>
    <w:rsid w:val="00ED387B"/>
    <w:rsid w:val="00ED38AC"/>
    <w:rsid w:val="00ED39CF"/>
    <w:rsid w:val="00ED3ECC"/>
    <w:rsid w:val="00ED470D"/>
    <w:rsid w:val="00ED493D"/>
    <w:rsid w:val="00ED5347"/>
    <w:rsid w:val="00ED5684"/>
    <w:rsid w:val="00ED56A3"/>
    <w:rsid w:val="00ED5ED6"/>
    <w:rsid w:val="00EE0E43"/>
    <w:rsid w:val="00EE1194"/>
    <w:rsid w:val="00EE1369"/>
    <w:rsid w:val="00EE1C0D"/>
    <w:rsid w:val="00EE1F11"/>
    <w:rsid w:val="00EE2981"/>
    <w:rsid w:val="00EE31E6"/>
    <w:rsid w:val="00EE331B"/>
    <w:rsid w:val="00EE4E91"/>
    <w:rsid w:val="00EE4F52"/>
    <w:rsid w:val="00EE5473"/>
    <w:rsid w:val="00EE59C1"/>
    <w:rsid w:val="00EE6190"/>
    <w:rsid w:val="00EE7689"/>
    <w:rsid w:val="00EF03BE"/>
    <w:rsid w:val="00EF1742"/>
    <w:rsid w:val="00EF3BBF"/>
    <w:rsid w:val="00EF41CF"/>
    <w:rsid w:val="00EF6997"/>
    <w:rsid w:val="00EF742C"/>
    <w:rsid w:val="00EF793F"/>
    <w:rsid w:val="00EF7AAD"/>
    <w:rsid w:val="00F0013B"/>
    <w:rsid w:val="00F00B5D"/>
    <w:rsid w:val="00F018CA"/>
    <w:rsid w:val="00F01CF7"/>
    <w:rsid w:val="00F02787"/>
    <w:rsid w:val="00F02C48"/>
    <w:rsid w:val="00F02F2C"/>
    <w:rsid w:val="00F04720"/>
    <w:rsid w:val="00F052E6"/>
    <w:rsid w:val="00F05AF5"/>
    <w:rsid w:val="00F07340"/>
    <w:rsid w:val="00F0765C"/>
    <w:rsid w:val="00F07750"/>
    <w:rsid w:val="00F0791B"/>
    <w:rsid w:val="00F104FB"/>
    <w:rsid w:val="00F1214C"/>
    <w:rsid w:val="00F13FE1"/>
    <w:rsid w:val="00F14514"/>
    <w:rsid w:val="00F14565"/>
    <w:rsid w:val="00F16E48"/>
    <w:rsid w:val="00F179BF"/>
    <w:rsid w:val="00F17CB2"/>
    <w:rsid w:val="00F17E05"/>
    <w:rsid w:val="00F20458"/>
    <w:rsid w:val="00F20479"/>
    <w:rsid w:val="00F2203E"/>
    <w:rsid w:val="00F2217A"/>
    <w:rsid w:val="00F22D88"/>
    <w:rsid w:val="00F23C47"/>
    <w:rsid w:val="00F25948"/>
    <w:rsid w:val="00F260C9"/>
    <w:rsid w:val="00F26461"/>
    <w:rsid w:val="00F26C59"/>
    <w:rsid w:val="00F26E8F"/>
    <w:rsid w:val="00F27491"/>
    <w:rsid w:val="00F27A7A"/>
    <w:rsid w:val="00F27D1A"/>
    <w:rsid w:val="00F30EF6"/>
    <w:rsid w:val="00F329C0"/>
    <w:rsid w:val="00F32E2E"/>
    <w:rsid w:val="00F33068"/>
    <w:rsid w:val="00F33453"/>
    <w:rsid w:val="00F334AB"/>
    <w:rsid w:val="00F33BEB"/>
    <w:rsid w:val="00F34B17"/>
    <w:rsid w:val="00F34F3B"/>
    <w:rsid w:val="00F34FD3"/>
    <w:rsid w:val="00F36DD8"/>
    <w:rsid w:val="00F409E0"/>
    <w:rsid w:val="00F40E26"/>
    <w:rsid w:val="00F41323"/>
    <w:rsid w:val="00F416F2"/>
    <w:rsid w:val="00F41ACD"/>
    <w:rsid w:val="00F422CA"/>
    <w:rsid w:val="00F42404"/>
    <w:rsid w:val="00F4264C"/>
    <w:rsid w:val="00F42778"/>
    <w:rsid w:val="00F43D04"/>
    <w:rsid w:val="00F4454B"/>
    <w:rsid w:val="00F4459D"/>
    <w:rsid w:val="00F46031"/>
    <w:rsid w:val="00F46CA4"/>
    <w:rsid w:val="00F47091"/>
    <w:rsid w:val="00F51534"/>
    <w:rsid w:val="00F51628"/>
    <w:rsid w:val="00F532DD"/>
    <w:rsid w:val="00F54078"/>
    <w:rsid w:val="00F5492B"/>
    <w:rsid w:val="00F54E91"/>
    <w:rsid w:val="00F55380"/>
    <w:rsid w:val="00F55383"/>
    <w:rsid w:val="00F558F1"/>
    <w:rsid w:val="00F56206"/>
    <w:rsid w:val="00F5688D"/>
    <w:rsid w:val="00F57211"/>
    <w:rsid w:val="00F5768D"/>
    <w:rsid w:val="00F600D0"/>
    <w:rsid w:val="00F603D4"/>
    <w:rsid w:val="00F60A59"/>
    <w:rsid w:val="00F6103D"/>
    <w:rsid w:val="00F61A1B"/>
    <w:rsid w:val="00F61C40"/>
    <w:rsid w:val="00F62BD3"/>
    <w:rsid w:val="00F63834"/>
    <w:rsid w:val="00F63B88"/>
    <w:rsid w:val="00F63FB4"/>
    <w:rsid w:val="00F66C58"/>
    <w:rsid w:val="00F67081"/>
    <w:rsid w:val="00F674C9"/>
    <w:rsid w:val="00F70156"/>
    <w:rsid w:val="00F763B6"/>
    <w:rsid w:val="00F76B15"/>
    <w:rsid w:val="00F77F9E"/>
    <w:rsid w:val="00F814DB"/>
    <w:rsid w:val="00F82F68"/>
    <w:rsid w:val="00F870A5"/>
    <w:rsid w:val="00F87101"/>
    <w:rsid w:val="00F911A2"/>
    <w:rsid w:val="00F91B08"/>
    <w:rsid w:val="00F91D2F"/>
    <w:rsid w:val="00F92354"/>
    <w:rsid w:val="00F937A1"/>
    <w:rsid w:val="00F9388F"/>
    <w:rsid w:val="00F94256"/>
    <w:rsid w:val="00F94D3D"/>
    <w:rsid w:val="00F953BD"/>
    <w:rsid w:val="00F958DE"/>
    <w:rsid w:val="00F97B7A"/>
    <w:rsid w:val="00FA038E"/>
    <w:rsid w:val="00FA1306"/>
    <w:rsid w:val="00FA2186"/>
    <w:rsid w:val="00FA30A8"/>
    <w:rsid w:val="00FA31B0"/>
    <w:rsid w:val="00FA5019"/>
    <w:rsid w:val="00FA5F85"/>
    <w:rsid w:val="00FA61E5"/>
    <w:rsid w:val="00FA74CC"/>
    <w:rsid w:val="00FA7918"/>
    <w:rsid w:val="00FA7B09"/>
    <w:rsid w:val="00FB0C66"/>
    <w:rsid w:val="00FB0E1E"/>
    <w:rsid w:val="00FB19E3"/>
    <w:rsid w:val="00FB1FD5"/>
    <w:rsid w:val="00FB30CD"/>
    <w:rsid w:val="00FB512D"/>
    <w:rsid w:val="00FB52DA"/>
    <w:rsid w:val="00FB55DB"/>
    <w:rsid w:val="00FB5D3E"/>
    <w:rsid w:val="00FB6F75"/>
    <w:rsid w:val="00FB744B"/>
    <w:rsid w:val="00FC0D05"/>
    <w:rsid w:val="00FC21FA"/>
    <w:rsid w:val="00FC3028"/>
    <w:rsid w:val="00FC371F"/>
    <w:rsid w:val="00FC38F9"/>
    <w:rsid w:val="00FC4249"/>
    <w:rsid w:val="00FC4B50"/>
    <w:rsid w:val="00FC513F"/>
    <w:rsid w:val="00FC6132"/>
    <w:rsid w:val="00FC686D"/>
    <w:rsid w:val="00FC6DA6"/>
    <w:rsid w:val="00FC78E4"/>
    <w:rsid w:val="00FC7C3F"/>
    <w:rsid w:val="00FD1154"/>
    <w:rsid w:val="00FD1837"/>
    <w:rsid w:val="00FD2FD9"/>
    <w:rsid w:val="00FD3B78"/>
    <w:rsid w:val="00FD3E7C"/>
    <w:rsid w:val="00FD4057"/>
    <w:rsid w:val="00FD4DF6"/>
    <w:rsid w:val="00FD4FA4"/>
    <w:rsid w:val="00FD5DF0"/>
    <w:rsid w:val="00FD6CB6"/>
    <w:rsid w:val="00FD6F21"/>
    <w:rsid w:val="00FE014B"/>
    <w:rsid w:val="00FE02A6"/>
    <w:rsid w:val="00FE03A0"/>
    <w:rsid w:val="00FE0850"/>
    <w:rsid w:val="00FE1B13"/>
    <w:rsid w:val="00FE2DBD"/>
    <w:rsid w:val="00FE32B6"/>
    <w:rsid w:val="00FE3BB4"/>
    <w:rsid w:val="00FE40D2"/>
    <w:rsid w:val="00FE42F7"/>
    <w:rsid w:val="00FE438A"/>
    <w:rsid w:val="00FE4837"/>
    <w:rsid w:val="00FE58BC"/>
    <w:rsid w:val="00FE6021"/>
    <w:rsid w:val="00FE6726"/>
    <w:rsid w:val="00FE6C26"/>
    <w:rsid w:val="00FE7547"/>
    <w:rsid w:val="00FF15BA"/>
    <w:rsid w:val="00FF2E2B"/>
    <w:rsid w:val="00FF3370"/>
    <w:rsid w:val="00FF4434"/>
    <w:rsid w:val="00FF563B"/>
    <w:rsid w:val="00FF58AA"/>
    <w:rsid w:val="00FF640F"/>
    <w:rsid w:val="00FF744B"/>
    <w:rsid w:val="014ABD23"/>
    <w:rsid w:val="0151D14F"/>
    <w:rsid w:val="017FB6B3"/>
    <w:rsid w:val="01BC1A1C"/>
    <w:rsid w:val="020F7EC3"/>
    <w:rsid w:val="02602357"/>
    <w:rsid w:val="02A454BC"/>
    <w:rsid w:val="02D3E1F4"/>
    <w:rsid w:val="02F6FAAD"/>
    <w:rsid w:val="0303D4B5"/>
    <w:rsid w:val="0378CD8F"/>
    <w:rsid w:val="03E01969"/>
    <w:rsid w:val="04229C0A"/>
    <w:rsid w:val="04A0E317"/>
    <w:rsid w:val="04B6D8B3"/>
    <w:rsid w:val="04E1AB26"/>
    <w:rsid w:val="04E7177E"/>
    <w:rsid w:val="05019AAF"/>
    <w:rsid w:val="053B71C9"/>
    <w:rsid w:val="0560FCF3"/>
    <w:rsid w:val="056C90C3"/>
    <w:rsid w:val="05873970"/>
    <w:rsid w:val="05D1A2D9"/>
    <w:rsid w:val="05FC5602"/>
    <w:rsid w:val="06781417"/>
    <w:rsid w:val="06944604"/>
    <w:rsid w:val="0737EF3E"/>
    <w:rsid w:val="07723897"/>
    <w:rsid w:val="07AEDAFB"/>
    <w:rsid w:val="07F23E53"/>
    <w:rsid w:val="0804D42A"/>
    <w:rsid w:val="086DEA17"/>
    <w:rsid w:val="0898260D"/>
    <w:rsid w:val="089D4579"/>
    <w:rsid w:val="08E9F71D"/>
    <w:rsid w:val="092671A4"/>
    <w:rsid w:val="0935122D"/>
    <w:rsid w:val="09C32CB7"/>
    <w:rsid w:val="09EEF4E7"/>
    <w:rsid w:val="0A0EE117"/>
    <w:rsid w:val="0A9343D9"/>
    <w:rsid w:val="0AA4CD31"/>
    <w:rsid w:val="0B2D0AA3"/>
    <w:rsid w:val="0B5ACE0E"/>
    <w:rsid w:val="0B7FC2A2"/>
    <w:rsid w:val="0BA7E459"/>
    <w:rsid w:val="0BB9F871"/>
    <w:rsid w:val="0C3E841F"/>
    <w:rsid w:val="0C80210F"/>
    <w:rsid w:val="0C943FA2"/>
    <w:rsid w:val="0CC90975"/>
    <w:rsid w:val="0CFA0306"/>
    <w:rsid w:val="0CFDAF15"/>
    <w:rsid w:val="0EBE7033"/>
    <w:rsid w:val="0F6460AD"/>
    <w:rsid w:val="1147652B"/>
    <w:rsid w:val="12885263"/>
    <w:rsid w:val="129EBA3B"/>
    <w:rsid w:val="12BF106D"/>
    <w:rsid w:val="12C5919A"/>
    <w:rsid w:val="12FCDFE9"/>
    <w:rsid w:val="13267014"/>
    <w:rsid w:val="13439D40"/>
    <w:rsid w:val="1354E4E3"/>
    <w:rsid w:val="13A8E3F4"/>
    <w:rsid w:val="13F7AA7F"/>
    <w:rsid w:val="13FDE17A"/>
    <w:rsid w:val="1440E48B"/>
    <w:rsid w:val="146161FB"/>
    <w:rsid w:val="14C1514C"/>
    <w:rsid w:val="14E29608"/>
    <w:rsid w:val="15239E7D"/>
    <w:rsid w:val="1558FCB4"/>
    <w:rsid w:val="155E3BF0"/>
    <w:rsid w:val="15BBDCE4"/>
    <w:rsid w:val="16056D92"/>
    <w:rsid w:val="1629816F"/>
    <w:rsid w:val="16361418"/>
    <w:rsid w:val="16B5419F"/>
    <w:rsid w:val="1761839F"/>
    <w:rsid w:val="1798EBC6"/>
    <w:rsid w:val="17B4F73E"/>
    <w:rsid w:val="17E4EA18"/>
    <w:rsid w:val="18096C2D"/>
    <w:rsid w:val="1828ADB7"/>
    <w:rsid w:val="18542498"/>
    <w:rsid w:val="18564D8C"/>
    <w:rsid w:val="187D260B"/>
    <w:rsid w:val="187E21A1"/>
    <w:rsid w:val="18C1E909"/>
    <w:rsid w:val="18D94345"/>
    <w:rsid w:val="18FE2A44"/>
    <w:rsid w:val="191A172A"/>
    <w:rsid w:val="1961996F"/>
    <w:rsid w:val="198FE45C"/>
    <w:rsid w:val="19A17552"/>
    <w:rsid w:val="19CC43A8"/>
    <w:rsid w:val="19DBE46D"/>
    <w:rsid w:val="1A01F183"/>
    <w:rsid w:val="1A282C0F"/>
    <w:rsid w:val="1A38AC90"/>
    <w:rsid w:val="1AFCF0D3"/>
    <w:rsid w:val="1BB4FBA0"/>
    <w:rsid w:val="1C49615F"/>
    <w:rsid w:val="1C5F0247"/>
    <w:rsid w:val="1CB7ACCC"/>
    <w:rsid w:val="1D9403FE"/>
    <w:rsid w:val="1DF9D12E"/>
    <w:rsid w:val="1E078490"/>
    <w:rsid w:val="1E0F1BF7"/>
    <w:rsid w:val="1E2B6B10"/>
    <w:rsid w:val="1E5C1625"/>
    <w:rsid w:val="1F068078"/>
    <w:rsid w:val="1F651200"/>
    <w:rsid w:val="201CF97F"/>
    <w:rsid w:val="2100169C"/>
    <w:rsid w:val="21CAD562"/>
    <w:rsid w:val="21D7558D"/>
    <w:rsid w:val="22319607"/>
    <w:rsid w:val="225F2B01"/>
    <w:rsid w:val="22646EB6"/>
    <w:rsid w:val="22871735"/>
    <w:rsid w:val="233D9AF1"/>
    <w:rsid w:val="24019B7D"/>
    <w:rsid w:val="240D1938"/>
    <w:rsid w:val="24D1FF8B"/>
    <w:rsid w:val="24EF6E83"/>
    <w:rsid w:val="24FF4597"/>
    <w:rsid w:val="2503D6C0"/>
    <w:rsid w:val="2506C974"/>
    <w:rsid w:val="2543753A"/>
    <w:rsid w:val="25CDC7BF"/>
    <w:rsid w:val="260B4162"/>
    <w:rsid w:val="262759BC"/>
    <w:rsid w:val="26E49E10"/>
    <w:rsid w:val="26FB9A63"/>
    <w:rsid w:val="27846FBF"/>
    <w:rsid w:val="279F03A9"/>
    <w:rsid w:val="27C92B60"/>
    <w:rsid w:val="28B3D8CA"/>
    <w:rsid w:val="28FB7E5D"/>
    <w:rsid w:val="2A2AF6E9"/>
    <w:rsid w:val="2A78C98C"/>
    <w:rsid w:val="2A81B331"/>
    <w:rsid w:val="2AA74909"/>
    <w:rsid w:val="2AB63CF7"/>
    <w:rsid w:val="2B18B9FC"/>
    <w:rsid w:val="2BA33F52"/>
    <w:rsid w:val="2BA7FFDF"/>
    <w:rsid w:val="2C092957"/>
    <w:rsid w:val="2C8F656C"/>
    <w:rsid w:val="2CC72F2F"/>
    <w:rsid w:val="2CFE8AFF"/>
    <w:rsid w:val="2D2884A1"/>
    <w:rsid w:val="2D43ADD2"/>
    <w:rsid w:val="2DAF1463"/>
    <w:rsid w:val="2DB95651"/>
    <w:rsid w:val="2E32EEC3"/>
    <w:rsid w:val="2E51C4B9"/>
    <w:rsid w:val="2E7ACB87"/>
    <w:rsid w:val="2F5BE774"/>
    <w:rsid w:val="2F7C64BA"/>
    <w:rsid w:val="2FB8C3BD"/>
    <w:rsid w:val="2FDE4A47"/>
    <w:rsid w:val="30C60DEC"/>
    <w:rsid w:val="30C6F628"/>
    <w:rsid w:val="315A36B2"/>
    <w:rsid w:val="315CBC56"/>
    <w:rsid w:val="317F797F"/>
    <w:rsid w:val="32518E10"/>
    <w:rsid w:val="3284AA1A"/>
    <w:rsid w:val="32D2C491"/>
    <w:rsid w:val="32EDEE32"/>
    <w:rsid w:val="3328C1B1"/>
    <w:rsid w:val="3347E936"/>
    <w:rsid w:val="3359BDA0"/>
    <w:rsid w:val="342061C5"/>
    <w:rsid w:val="3436E051"/>
    <w:rsid w:val="34598F08"/>
    <w:rsid w:val="34DC1282"/>
    <w:rsid w:val="3591E7A8"/>
    <w:rsid w:val="3593440E"/>
    <w:rsid w:val="35A3B9F7"/>
    <w:rsid w:val="35DA9D3D"/>
    <w:rsid w:val="3624F997"/>
    <w:rsid w:val="370CE734"/>
    <w:rsid w:val="371B767B"/>
    <w:rsid w:val="37399409"/>
    <w:rsid w:val="3831223C"/>
    <w:rsid w:val="38B0F880"/>
    <w:rsid w:val="38F9D99A"/>
    <w:rsid w:val="3998842B"/>
    <w:rsid w:val="39FCB2A6"/>
    <w:rsid w:val="3AEAE193"/>
    <w:rsid w:val="3AFC8BA9"/>
    <w:rsid w:val="3B10FDA1"/>
    <w:rsid w:val="3B47A37E"/>
    <w:rsid w:val="3B4FCAE7"/>
    <w:rsid w:val="3B5483D7"/>
    <w:rsid w:val="3B551FAF"/>
    <w:rsid w:val="3B7975E0"/>
    <w:rsid w:val="3B89BF30"/>
    <w:rsid w:val="3BA1D153"/>
    <w:rsid w:val="3C1BE0C0"/>
    <w:rsid w:val="3CA152A5"/>
    <w:rsid w:val="3CC6887C"/>
    <w:rsid w:val="3CDAEFDC"/>
    <w:rsid w:val="3CEF7694"/>
    <w:rsid w:val="3D263B5F"/>
    <w:rsid w:val="3D2DFA74"/>
    <w:rsid w:val="3DED69D7"/>
    <w:rsid w:val="3E53ED83"/>
    <w:rsid w:val="3E699DA6"/>
    <w:rsid w:val="3E73E500"/>
    <w:rsid w:val="3EA3BDBF"/>
    <w:rsid w:val="3ED7DE7E"/>
    <w:rsid w:val="3EE10491"/>
    <w:rsid w:val="3F12B878"/>
    <w:rsid w:val="3F4F0589"/>
    <w:rsid w:val="3F62D313"/>
    <w:rsid w:val="3FA3AED8"/>
    <w:rsid w:val="400616C4"/>
    <w:rsid w:val="400CD45F"/>
    <w:rsid w:val="407F0001"/>
    <w:rsid w:val="409D4717"/>
    <w:rsid w:val="40FF4974"/>
    <w:rsid w:val="4108A403"/>
    <w:rsid w:val="411A8DE3"/>
    <w:rsid w:val="412CCFE6"/>
    <w:rsid w:val="4140CA47"/>
    <w:rsid w:val="415EB5A3"/>
    <w:rsid w:val="41AFFCA3"/>
    <w:rsid w:val="42009CEE"/>
    <w:rsid w:val="424734AD"/>
    <w:rsid w:val="42C198CE"/>
    <w:rsid w:val="430F6539"/>
    <w:rsid w:val="4340DEB4"/>
    <w:rsid w:val="43A855E9"/>
    <w:rsid w:val="43F6080C"/>
    <w:rsid w:val="43F66853"/>
    <w:rsid w:val="4414233C"/>
    <w:rsid w:val="446470A8"/>
    <w:rsid w:val="447E9524"/>
    <w:rsid w:val="44F3EB2F"/>
    <w:rsid w:val="45DEEEB8"/>
    <w:rsid w:val="45ECA650"/>
    <w:rsid w:val="46155660"/>
    <w:rsid w:val="4685C8D6"/>
    <w:rsid w:val="46F91F08"/>
    <w:rsid w:val="470F566D"/>
    <w:rsid w:val="474864C2"/>
    <w:rsid w:val="47B0D614"/>
    <w:rsid w:val="48B6461A"/>
    <w:rsid w:val="4914E32D"/>
    <w:rsid w:val="493DA347"/>
    <w:rsid w:val="495CA212"/>
    <w:rsid w:val="4983ECE6"/>
    <w:rsid w:val="4A21939F"/>
    <w:rsid w:val="4A4DE33B"/>
    <w:rsid w:val="4ACAFB58"/>
    <w:rsid w:val="4ACFF184"/>
    <w:rsid w:val="4AEF97B5"/>
    <w:rsid w:val="4C7962F6"/>
    <w:rsid w:val="4C8D32DE"/>
    <w:rsid w:val="4CD2FEAE"/>
    <w:rsid w:val="4D0E69E8"/>
    <w:rsid w:val="4D360A95"/>
    <w:rsid w:val="4D61A656"/>
    <w:rsid w:val="4D718067"/>
    <w:rsid w:val="4DAB5E42"/>
    <w:rsid w:val="4E31C2A9"/>
    <w:rsid w:val="4E53D5B2"/>
    <w:rsid w:val="4EF80E68"/>
    <w:rsid w:val="4F19A807"/>
    <w:rsid w:val="4F8872C2"/>
    <w:rsid w:val="4FC1A975"/>
    <w:rsid w:val="4FD90B6A"/>
    <w:rsid w:val="5063C593"/>
    <w:rsid w:val="50819C56"/>
    <w:rsid w:val="5088CF86"/>
    <w:rsid w:val="511358E3"/>
    <w:rsid w:val="512C8DDA"/>
    <w:rsid w:val="515D0135"/>
    <w:rsid w:val="5193FA77"/>
    <w:rsid w:val="519C7F75"/>
    <w:rsid w:val="51C09352"/>
    <w:rsid w:val="521E1B26"/>
    <w:rsid w:val="5223DCA2"/>
    <w:rsid w:val="52BE5529"/>
    <w:rsid w:val="52C15979"/>
    <w:rsid w:val="5367A02B"/>
    <w:rsid w:val="53C3446B"/>
    <w:rsid w:val="53C6B949"/>
    <w:rsid w:val="541BCEB6"/>
    <w:rsid w:val="542F7665"/>
    <w:rsid w:val="5451BA3D"/>
    <w:rsid w:val="5451D617"/>
    <w:rsid w:val="546884BA"/>
    <w:rsid w:val="5541BBFF"/>
    <w:rsid w:val="555CDF25"/>
    <w:rsid w:val="556204C9"/>
    <w:rsid w:val="562B68E8"/>
    <w:rsid w:val="563D0406"/>
    <w:rsid w:val="56DB2471"/>
    <w:rsid w:val="571710F8"/>
    <w:rsid w:val="572228CE"/>
    <w:rsid w:val="57A84B10"/>
    <w:rsid w:val="57B09705"/>
    <w:rsid w:val="57B2957B"/>
    <w:rsid w:val="57F22F95"/>
    <w:rsid w:val="58C61F78"/>
    <w:rsid w:val="58D41F3E"/>
    <w:rsid w:val="5997071B"/>
    <w:rsid w:val="5A1DC5BE"/>
    <w:rsid w:val="5AAEF6A1"/>
    <w:rsid w:val="5ADF58BA"/>
    <w:rsid w:val="5AE66CFF"/>
    <w:rsid w:val="5B0D832A"/>
    <w:rsid w:val="5B1AF265"/>
    <w:rsid w:val="5B32BD61"/>
    <w:rsid w:val="5BCBA50B"/>
    <w:rsid w:val="5CCC62B3"/>
    <w:rsid w:val="5CE45C20"/>
    <w:rsid w:val="5D78A9C8"/>
    <w:rsid w:val="5D853055"/>
    <w:rsid w:val="5DD754CA"/>
    <w:rsid w:val="5E33DC1F"/>
    <w:rsid w:val="5F0301BA"/>
    <w:rsid w:val="5F44927D"/>
    <w:rsid w:val="5F81CBEC"/>
    <w:rsid w:val="5FF10034"/>
    <w:rsid w:val="607BFCA9"/>
    <w:rsid w:val="6086838A"/>
    <w:rsid w:val="60AC7225"/>
    <w:rsid w:val="60F2FCAB"/>
    <w:rsid w:val="6102170B"/>
    <w:rsid w:val="610AA1E2"/>
    <w:rsid w:val="61206132"/>
    <w:rsid w:val="61ABEAE1"/>
    <w:rsid w:val="61B50781"/>
    <w:rsid w:val="61E4C665"/>
    <w:rsid w:val="61FB90E2"/>
    <w:rsid w:val="62776D75"/>
    <w:rsid w:val="6347282A"/>
    <w:rsid w:val="636119D5"/>
    <w:rsid w:val="6392EEF1"/>
    <w:rsid w:val="63AC00B1"/>
    <w:rsid w:val="63ED0767"/>
    <w:rsid w:val="6462F907"/>
    <w:rsid w:val="6553E645"/>
    <w:rsid w:val="6566633A"/>
    <w:rsid w:val="6580B4E6"/>
    <w:rsid w:val="65A6EC7D"/>
    <w:rsid w:val="65C741B4"/>
    <w:rsid w:val="65F2E2D0"/>
    <w:rsid w:val="662068B9"/>
    <w:rsid w:val="662197C2"/>
    <w:rsid w:val="664B3B45"/>
    <w:rsid w:val="668FA7B2"/>
    <w:rsid w:val="66A53BA4"/>
    <w:rsid w:val="66E6FB72"/>
    <w:rsid w:val="6755339B"/>
    <w:rsid w:val="683FAA44"/>
    <w:rsid w:val="68E6CAD3"/>
    <w:rsid w:val="68EDED58"/>
    <w:rsid w:val="68F04FAE"/>
    <w:rsid w:val="693068E7"/>
    <w:rsid w:val="693B81FB"/>
    <w:rsid w:val="69595604"/>
    <w:rsid w:val="69B5B1A2"/>
    <w:rsid w:val="6A9E19CC"/>
    <w:rsid w:val="6AB2C027"/>
    <w:rsid w:val="6AD88689"/>
    <w:rsid w:val="6B43BFBD"/>
    <w:rsid w:val="6C4200F3"/>
    <w:rsid w:val="6C9EFBE7"/>
    <w:rsid w:val="6CABF023"/>
    <w:rsid w:val="6D3C187A"/>
    <w:rsid w:val="6D7EF94C"/>
    <w:rsid w:val="6D9ECA52"/>
    <w:rsid w:val="6DC722B1"/>
    <w:rsid w:val="6DEED5F5"/>
    <w:rsid w:val="6E024673"/>
    <w:rsid w:val="6F0619AD"/>
    <w:rsid w:val="6F2B7695"/>
    <w:rsid w:val="6FC74F78"/>
    <w:rsid w:val="70159B15"/>
    <w:rsid w:val="708A8819"/>
    <w:rsid w:val="70D76733"/>
    <w:rsid w:val="70E9AE1C"/>
    <w:rsid w:val="70FB493A"/>
    <w:rsid w:val="71193C4F"/>
    <w:rsid w:val="71810933"/>
    <w:rsid w:val="71C72EF9"/>
    <w:rsid w:val="71E4E9FB"/>
    <w:rsid w:val="7206D3EE"/>
    <w:rsid w:val="729A448F"/>
    <w:rsid w:val="72BB2A26"/>
    <w:rsid w:val="73500B2A"/>
    <w:rsid w:val="73583DCA"/>
    <w:rsid w:val="73AF9BC6"/>
    <w:rsid w:val="73B5DB9A"/>
    <w:rsid w:val="73C580D8"/>
    <w:rsid w:val="73D3B25D"/>
    <w:rsid w:val="744CA9D1"/>
    <w:rsid w:val="74504599"/>
    <w:rsid w:val="747D1ED2"/>
    <w:rsid w:val="74F3BB20"/>
    <w:rsid w:val="750591CF"/>
    <w:rsid w:val="751C8ABD"/>
    <w:rsid w:val="75ECAD72"/>
    <w:rsid w:val="760832B4"/>
    <w:rsid w:val="760DEFD0"/>
    <w:rsid w:val="76443B9E"/>
    <w:rsid w:val="76D59D0A"/>
    <w:rsid w:val="7714D43C"/>
    <w:rsid w:val="77249D0B"/>
    <w:rsid w:val="7727BEDE"/>
    <w:rsid w:val="77286447"/>
    <w:rsid w:val="77D8841B"/>
    <w:rsid w:val="77E818C4"/>
    <w:rsid w:val="77F797D3"/>
    <w:rsid w:val="785B763D"/>
    <w:rsid w:val="788685D6"/>
    <w:rsid w:val="78B90D8C"/>
    <w:rsid w:val="7918CE45"/>
    <w:rsid w:val="7927C312"/>
    <w:rsid w:val="796E2FBC"/>
    <w:rsid w:val="79C50134"/>
    <w:rsid w:val="79DA39EF"/>
    <w:rsid w:val="7A3E7D89"/>
    <w:rsid w:val="7A46BD1F"/>
    <w:rsid w:val="7AB62E39"/>
    <w:rsid w:val="7AD9C678"/>
    <w:rsid w:val="7B9685EB"/>
    <w:rsid w:val="7B98E91B"/>
    <w:rsid w:val="7B9A7BC2"/>
    <w:rsid w:val="7C022E5E"/>
    <w:rsid w:val="7C45B7BB"/>
    <w:rsid w:val="7CD2FE73"/>
    <w:rsid w:val="7CEE2E06"/>
    <w:rsid w:val="7D2DF9F6"/>
    <w:rsid w:val="7D530AED"/>
    <w:rsid w:val="7DF427EF"/>
    <w:rsid w:val="7E195206"/>
    <w:rsid w:val="7E811D58"/>
    <w:rsid w:val="7EAC423F"/>
    <w:rsid w:val="7F073962"/>
    <w:rsid w:val="7F2821B1"/>
    <w:rsid w:val="7F2F7994"/>
    <w:rsid w:val="7FED27B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CC73F"/>
  <w15:docId w15:val="{9E8417B4-3480-4128-8A91-0C4E231CF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74368"/>
  </w:style>
  <w:style w:type="paragraph" w:styleId="Nagwek1">
    <w:name w:val="heading 1"/>
    <w:basedOn w:val="Normalny"/>
    <w:next w:val="Normalny"/>
    <w:link w:val="Nagwek1Znak"/>
    <w:uiPriority w:val="9"/>
    <w:qFormat/>
    <w:rsid w:val="00674368"/>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Nagwek2">
    <w:name w:val="heading 2"/>
    <w:basedOn w:val="Normalny"/>
    <w:next w:val="Normalny"/>
    <w:link w:val="Nagwek2Znak"/>
    <w:uiPriority w:val="9"/>
    <w:unhideWhenUsed/>
    <w:qFormat/>
    <w:rsid w:val="00674368"/>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Nagwek3">
    <w:name w:val="heading 3"/>
    <w:basedOn w:val="Normalny"/>
    <w:next w:val="Normalny"/>
    <w:link w:val="Nagwek3Znak"/>
    <w:uiPriority w:val="9"/>
    <w:unhideWhenUsed/>
    <w:qFormat/>
    <w:rsid w:val="00674368"/>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Nagwek4">
    <w:name w:val="heading 4"/>
    <w:basedOn w:val="Normalny"/>
    <w:next w:val="Normalny"/>
    <w:link w:val="Nagwek4Znak"/>
    <w:uiPriority w:val="9"/>
    <w:unhideWhenUsed/>
    <w:qFormat/>
    <w:rsid w:val="00674368"/>
    <w:pPr>
      <w:keepNext/>
      <w:keepLines/>
      <w:spacing w:before="40" w:after="0"/>
      <w:outlineLvl w:val="3"/>
    </w:pPr>
    <w:rPr>
      <w:i/>
      <w:iCs/>
    </w:rPr>
  </w:style>
  <w:style w:type="paragraph" w:styleId="Nagwek5">
    <w:name w:val="heading 5"/>
    <w:basedOn w:val="Normalny"/>
    <w:next w:val="Normalny"/>
    <w:link w:val="Nagwek5Znak"/>
    <w:uiPriority w:val="9"/>
    <w:semiHidden/>
    <w:unhideWhenUsed/>
    <w:qFormat/>
    <w:rsid w:val="00674368"/>
    <w:pPr>
      <w:keepNext/>
      <w:keepLines/>
      <w:spacing w:before="40" w:after="0"/>
      <w:outlineLvl w:val="4"/>
    </w:pPr>
    <w:rPr>
      <w:color w:val="404040" w:themeColor="text1" w:themeTint="BF"/>
    </w:rPr>
  </w:style>
  <w:style w:type="paragraph" w:styleId="Nagwek6">
    <w:name w:val="heading 6"/>
    <w:basedOn w:val="Normalny"/>
    <w:next w:val="Normalny"/>
    <w:link w:val="Nagwek6Znak"/>
    <w:uiPriority w:val="9"/>
    <w:semiHidden/>
    <w:unhideWhenUsed/>
    <w:qFormat/>
    <w:rsid w:val="00674368"/>
    <w:pPr>
      <w:keepNext/>
      <w:keepLines/>
      <w:spacing w:before="40" w:after="0"/>
      <w:outlineLvl w:val="5"/>
    </w:pPr>
  </w:style>
  <w:style w:type="paragraph" w:styleId="Nagwek7">
    <w:name w:val="heading 7"/>
    <w:basedOn w:val="Normalny"/>
    <w:next w:val="Normalny"/>
    <w:link w:val="Nagwek7Znak"/>
    <w:uiPriority w:val="9"/>
    <w:semiHidden/>
    <w:unhideWhenUsed/>
    <w:qFormat/>
    <w:rsid w:val="00674368"/>
    <w:pPr>
      <w:keepNext/>
      <w:keepLines/>
      <w:spacing w:before="40"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674368"/>
    <w:pPr>
      <w:keepNext/>
      <w:keepLines/>
      <w:spacing w:before="40" w:after="0"/>
      <w:outlineLvl w:val="7"/>
    </w:pPr>
    <w:rPr>
      <w:color w:val="262626" w:themeColor="text1" w:themeTint="D9"/>
      <w:sz w:val="21"/>
      <w:szCs w:val="21"/>
    </w:rPr>
  </w:style>
  <w:style w:type="paragraph" w:styleId="Nagwek9">
    <w:name w:val="heading 9"/>
    <w:basedOn w:val="Normalny"/>
    <w:next w:val="Normalny"/>
    <w:link w:val="Nagwek9Znak"/>
    <w:uiPriority w:val="9"/>
    <w:semiHidden/>
    <w:unhideWhenUsed/>
    <w:qFormat/>
    <w:rsid w:val="0067436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ytaty"/>
    <w:basedOn w:val="Normalny"/>
    <w:link w:val="AkapitzlistZnak"/>
    <w:uiPriority w:val="34"/>
    <w:qFormat/>
    <w:rsid w:val="00EC7792"/>
    <w:pPr>
      <w:ind w:left="720"/>
      <w:contextualSpacing/>
    </w:pPr>
  </w:style>
  <w:style w:type="character" w:customStyle="1" w:styleId="tpstatlink">
    <w:name w:val="tpstatlink"/>
    <w:basedOn w:val="Domylnaczcionkaakapitu"/>
    <w:rsid w:val="00AC4BC4"/>
  </w:style>
  <w:style w:type="character" w:styleId="Hipercze">
    <w:name w:val="Hyperlink"/>
    <w:basedOn w:val="Domylnaczcionkaakapitu"/>
    <w:uiPriority w:val="99"/>
    <w:unhideWhenUsed/>
    <w:rsid w:val="00AC4BC4"/>
    <w:rPr>
      <w:color w:val="0000FF"/>
      <w:u w:val="single"/>
    </w:rPr>
  </w:style>
  <w:style w:type="character" w:styleId="Uwydatnienie">
    <w:name w:val="Emphasis"/>
    <w:basedOn w:val="Domylnaczcionkaakapitu"/>
    <w:uiPriority w:val="20"/>
    <w:qFormat/>
    <w:rsid w:val="00674368"/>
    <w:rPr>
      <w:i/>
      <w:iCs/>
      <w:color w:val="auto"/>
    </w:rPr>
  </w:style>
  <w:style w:type="paragraph" w:customStyle="1" w:styleId="Default">
    <w:name w:val="Default"/>
    <w:rsid w:val="00FD4FA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2Znak">
    <w:name w:val="Nagłówek 2 Znak"/>
    <w:basedOn w:val="Domylnaczcionkaakapitu"/>
    <w:link w:val="Nagwek2"/>
    <w:uiPriority w:val="9"/>
    <w:rsid w:val="00674368"/>
    <w:rPr>
      <w:rFonts w:asciiTheme="majorHAnsi" w:eastAsiaTheme="majorEastAsia" w:hAnsiTheme="majorHAnsi" w:cstheme="majorBidi"/>
      <w:color w:val="262626" w:themeColor="text1" w:themeTint="D9"/>
      <w:sz w:val="28"/>
      <w:szCs w:val="28"/>
    </w:rPr>
  </w:style>
  <w:style w:type="character" w:styleId="Pogrubienie">
    <w:name w:val="Strong"/>
    <w:basedOn w:val="Domylnaczcionkaakapitu"/>
    <w:qFormat/>
    <w:rsid w:val="00674368"/>
    <w:rPr>
      <w:b/>
      <w:bCs/>
      <w:color w:val="auto"/>
    </w:rPr>
  </w:style>
  <w:style w:type="character" w:styleId="Tytuksiki">
    <w:name w:val="Book Title"/>
    <w:basedOn w:val="Domylnaczcionkaakapitu"/>
    <w:uiPriority w:val="33"/>
    <w:qFormat/>
    <w:rsid w:val="00674368"/>
    <w:rPr>
      <w:b/>
      <w:bCs/>
      <w:i/>
      <w:iCs/>
      <w:spacing w:val="5"/>
    </w:rPr>
  </w:style>
  <w:style w:type="character" w:customStyle="1" w:styleId="Nagwek1Znak">
    <w:name w:val="Nagłówek 1 Znak"/>
    <w:basedOn w:val="Domylnaczcionkaakapitu"/>
    <w:link w:val="Nagwek1"/>
    <w:uiPriority w:val="99"/>
    <w:rsid w:val="00674368"/>
    <w:rPr>
      <w:rFonts w:asciiTheme="majorHAnsi" w:eastAsiaTheme="majorEastAsia" w:hAnsiTheme="majorHAnsi" w:cstheme="majorBidi"/>
      <w:color w:val="262626" w:themeColor="text1" w:themeTint="D9"/>
      <w:sz w:val="32"/>
      <w:szCs w:val="32"/>
    </w:rPr>
  </w:style>
  <w:style w:type="character" w:customStyle="1" w:styleId="Nagwek3Znak">
    <w:name w:val="Nagłówek 3 Znak"/>
    <w:basedOn w:val="Domylnaczcionkaakapitu"/>
    <w:link w:val="Nagwek3"/>
    <w:uiPriority w:val="9"/>
    <w:rsid w:val="00674368"/>
    <w:rPr>
      <w:rFonts w:asciiTheme="majorHAnsi" w:eastAsiaTheme="majorEastAsia" w:hAnsiTheme="majorHAnsi" w:cstheme="majorBidi"/>
      <w:color w:val="0D0D0D" w:themeColor="text1" w:themeTint="F2"/>
      <w:sz w:val="24"/>
      <w:szCs w:val="24"/>
    </w:rPr>
  </w:style>
  <w:style w:type="character" w:customStyle="1" w:styleId="Nagwek4Znak">
    <w:name w:val="Nagłówek 4 Znak"/>
    <w:basedOn w:val="Domylnaczcionkaakapitu"/>
    <w:link w:val="Nagwek4"/>
    <w:uiPriority w:val="9"/>
    <w:rsid w:val="00674368"/>
    <w:rPr>
      <w:i/>
      <w:iCs/>
    </w:rPr>
  </w:style>
  <w:style w:type="character" w:customStyle="1" w:styleId="Nagwek5Znak">
    <w:name w:val="Nagłówek 5 Znak"/>
    <w:basedOn w:val="Domylnaczcionkaakapitu"/>
    <w:link w:val="Nagwek5"/>
    <w:uiPriority w:val="9"/>
    <w:semiHidden/>
    <w:rsid w:val="00674368"/>
    <w:rPr>
      <w:color w:val="404040" w:themeColor="text1" w:themeTint="BF"/>
    </w:rPr>
  </w:style>
  <w:style w:type="character" w:customStyle="1" w:styleId="Nagwek6Znak">
    <w:name w:val="Nagłówek 6 Znak"/>
    <w:basedOn w:val="Domylnaczcionkaakapitu"/>
    <w:link w:val="Nagwek6"/>
    <w:uiPriority w:val="9"/>
    <w:semiHidden/>
    <w:rsid w:val="00674368"/>
  </w:style>
  <w:style w:type="character" w:customStyle="1" w:styleId="Nagwek7Znak">
    <w:name w:val="Nagłówek 7 Znak"/>
    <w:basedOn w:val="Domylnaczcionkaakapitu"/>
    <w:link w:val="Nagwek7"/>
    <w:uiPriority w:val="9"/>
    <w:semiHidden/>
    <w:rsid w:val="00674368"/>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674368"/>
    <w:rPr>
      <w:color w:val="262626" w:themeColor="text1" w:themeTint="D9"/>
      <w:sz w:val="21"/>
      <w:szCs w:val="21"/>
    </w:rPr>
  </w:style>
  <w:style w:type="character" w:customStyle="1" w:styleId="Nagwek9Znak">
    <w:name w:val="Nagłówek 9 Znak"/>
    <w:basedOn w:val="Domylnaczcionkaakapitu"/>
    <w:link w:val="Nagwek9"/>
    <w:uiPriority w:val="9"/>
    <w:semiHidden/>
    <w:rsid w:val="00674368"/>
    <w:rPr>
      <w:rFonts w:asciiTheme="majorHAnsi" w:eastAsiaTheme="majorEastAsia" w:hAnsiTheme="majorHAnsi" w:cstheme="majorBidi"/>
      <w:i/>
      <w:iCs/>
      <w:color w:val="262626" w:themeColor="text1" w:themeTint="D9"/>
      <w:sz w:val="21"/>
      <w:szCs w:val="21"/>
    </w:rPr>
  </w:style>
  <w:style w:type="paragraph" w:styleId="Legenda">
    <w:name w:val="caption"/>
    <w:basedOn w:val="Normalny"/>
    <w:next w:val="Normalny"/>
    <w:uiPriority w:val="35"/>
    <w:semiHidden/>
    <w:unhideWhenUsed/>
    <w:qFormat/>
    <w:rsid w:val="00674368"/>
    <w:pPr>
      <w:spacing w:after="200" w:line="240" w:lineRule="auto"/>
    </w:pPr>
    <w:rPr>
      <w:i/>
      <w:iCs/>
      <w:color w:val="44546A" w:themeColor="text2"/>
      <w:sz w:val="18"/>
      <w:szCs w:val="18"/>
    </w:rPr>
  </w:style>
  <w:style w:type="paragraph" w:styleId="Tytu">
    <w:name w:val="Title"/>
    <w:basedOn w:val="Normalny"/>
    <w:next w:val="Normalny"/>
    <w:link w:val="TytuZnak"/>
    <w:uiPriority w:val="10"/>
    <w:qFormat/>
    <w:rsid w:val="00674368"/>
    <w:pPr>
      <w:spacing w:after="0" w:line="240" w:lineRule="auto"/>
      <w:contextualSpacing/>
    </w:pPr>
    <w:rPr>
      <w:rFonts w:asciiTheme="majorHAnsi" w:eastAsiaTheme="majorEastAsia" w:hAnsiTheme="majorHAnsi" w:cstheme="majorBidi"/>
      <w:spacing w:val="-10"/>
      <w:sz w:val="56"/>
      <w:szCs w:val="56"/>
    </w:rPr>
  </w:style>
  <w:style w:type="character" w:customStyle="1" w:styleId="TytuZnak">
    <w:name w:val="Tytuł Znak"/>
    <w:basedOn w:val="Domylnaczcionkaakapitu"/>
    <w:link w:val="Tytu"/>
    <w:uiPriority w:val="10"/>
    <w:rsid w:val="00674368"/>
    <w:rPr>
      <w:rFonts w:asciiTheme="majorHAnsi" w:eastAsiaTheme="majorEastAsia" w:hAnsiTheme="majorHAnsi" w:cstheme="majorBidi"/>
      <w:spacing w:val="-10"/>
      <w:sz w:val="56"/>
      <w:szCs w:val="56"/>
    </w:rPr>
  </w:style>
  <w:style w:type="paragraph" w:styleId="Podtytu">
    <w:name w:val="Subtitle"/>
    <w:basedOn w:val="Normalny"/>
    <w:next w:val="Normalny"/>
    <w:link w:val="PodtytuZnak"/>
    <w:uiPriority w:val="11"/>
    <w:qFormat/>
    <w:rsid w:val="00674368"/>
    <w:pPr>
      <w:numPr>
        <w:ilvl w:val="1"/>
      </w:numPr>
    </w:pPr>
    <w:rPr>
      <w:color w:val="5A5A5A" w:themeColor="text1" w:themeTint="A5"/>
      <w:spacing w:val="15"/>
    </w:rPr>
  </w:style>
  <w:style w:type="character" w:customStyle="1" w:styleId="PodtytuZnak">
    <w:name w:val="Podtytuł Znak"/>
    <w:basedOn w:val="Domylnaczcionkaakapitu"/>
    <w:link w:val="Podtytu"/>
    <w:uiPriority w:val="11"/>
    <w:rsid w:val="00674368"/>
    <w:rPr>
      <w:color w:val="5A5A5A" w:themeColor="text1" w:themeTint="A5"/>
      <w:spacing w:val="15"/>
    </w:rPr>
  </w:style>
  <w:style w:type="paragraph" w:styleId="Bezodstpw">
    <w:name w:val="No Spacing"/>
    <w:uiPriority w:val="99"/>
    <w:qFormat/>
    <w:rsid w:val="00674368"/>
    <w:pPr>
      <w:spacing w:after="0" w:line="240" w:lineRule="auto"/>
    </w:pPr>
  </w:style>
  <w:style w:type="paragraph" w:styleId="Cytat">
    <w:name w:val="Quote"/>
    <w:basedOn w:val="Normalny"/>
    <w:next w:val="Normalny"/>
    <w:link w:val="CytatZnak"/>
    <w:uiPriority w:val="29"/>
    <w:qFormat/>
    <w:rsid w:val="00674368"/>
    <w:pPr>
      <w:spacing w:before="200"/>
      <w:ind w:left="864" w:right="864"/>
    </w:pPr>
    <w:rPr>
      <w:i/>
      <w:iCs/>
      <w:color w:val="404040" w:themeColor="text1" w:themeTint="BF"/>
    </w:rPr>
  </w:style>
  <w:style w:type="character" w:customStyle="1" w:styleId="CytatZnak">
    <w:name w:val="Cytat Znak"/>
    <w:basedOn w:val="Domylnaczcionkaakapitu"/>
    <w:link w:val="Cytat"/>
    <w:uiPriority w:val="29"/>
    <w:rsid w:val="00674368"/>
    <w:rPr>
      <w:i/>
      <w:iCs/>
      <w:color w:val="404040" w:themeColor="text1" w:themeTint="BF"/>
    </w:rPr>
  </w:style>
  <w:style w:type="paragraph" w:styleId="Cytatintensywny">
    <w:name w:val="Intense Quote"/>
    <w:basedOn w:val="Normalny"/>
    <w:next w:val="Normalny"/>
    <w:link w:val="CytatintensywnyZnak"/>
    <w:uiPriority w:val="30"/>
    <w:qFormat/>
    <w:rsid w:val="0067436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ytatintensywnyZnak">
    <w:name w:val="Cytat intensywny Znak"/>
    <w:basedOn w:val="Domylnaczcionkaakapitu"/>
    <w:link w:val="Cytatintensywny"/>
    <w:uiPriority w:val="30"/>
    <w:rsid w:val="00674368"/>
    <w:rPr>
      <w:i/>
      <w:iCs/>
      <w:color w:val="404040" w:themeColor="text1" w:themeTint="BF"/>
    </w:rPr>
  </w:style>
  <w:style w:type="character" w:styleId="Wyrnieniedelikatne">
    <w:name w:val="Subtle Emphasis"/>
    <w:basedOn w:val="Domylnaczcionkaakapitu"/>
    <w:uiPriority w:val="19"/>
    <w:qFormat/>
    <w:rsid w:val="00674368"/>
    <w:rPr>
      <w:i/>
      <w:iCs/>
      <w:color w:val="404040" w:themeColor="text1" w:themeTint="BF"/>
    </w:rPr>
  </w:style>
  <w:style w:type="character" w:styleId="Wyrnienieintensywne">
    <w:name w:val="Intense Emphasis"/>
    <w:basedOn w:val="Domylnaczcionkaakapitu"/>
    <w:uiPriority w:val="21"/>
    <w:qFormat/>
    <w:rsid w:val="00674368"/>
    <w:rPr>
      <w:b/>
      <w:bCs/>
      <w:i/>
      <w:iCs/>
      <w:color w:val="auto"/>
    </w:rPr>
  </w:style>
  <w:style w:type="character" w:styleId="Odwoaniedelikatne">
    <w:name w:val="Subtle Reference"/>
    <w:basedOn w:val="Domylnaczcionkaakapitu"/>
    <w:uiPriority w:val="31"/>
    <w:qFormat/>
    <w:rsid w:val="00674368"/>
    <w:rPr>
      <w:smallCaps/>
      <w:color w:val="404040" w:themeColor="text1" w:themeTint="BF"/>
    </w:rPr>
  </w:style>
  <w:style w:type="character" w:styleId="Odwoanieintensywne">
    <w:name w:val="Intense Reference"/>
    <w:basedOn w:val="Domylnaczcionkaakapitu"/>
    <w:uiPriority w:val="32"/>
    <w:qFormat/>
    <w:rsid w:val="00674368"/>
    <w:rPr>
      <w:b/>
      <w:bCs/>
      <w:smallCaps/>
      <w:color w:val="404040" w:themeColor="text1" w:themeTint="BF"/>
      <w:spacing w:val="5"/>
    </w:rPr>
  </w:style>
  <w:style w:type="paragraph" w:styleId="Nagwekspisutreci">
    <w:name w:val="TOC Heading"/>
    <w:basedOn w:val="Nagwek1"/>
    <w:next w:val="Normalny"/>
    <w:uiPriority w:val="39"/>
    <w:unhideWhenUsed/>
    <w:qFormat/>
    <w:rsid w:val="00674368"/>
    <w:pPr>
      <w:outlineLvl w:val="9"/>
    </w:pPr>
  </w:style>
  <w:style w:type="paragraph" w:styleId="Nagwek">
    <w:name w:val="header"/>
    <w:basedOn w:val="Normalny"/>
    <w:link w:val="NagwekZnak"/>
    <w:uiPriority w:val="99"/>
    <w:unhideWhenUsed/>
    <w:rsid w:val="007667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673E"/>
  </w:style>
  <w:style w:type="paragraph" w:styleId="Stopka">
    <w:name w:val="footer"/>
    <w:basedOn w:val="Normalny"/>
    <w:link w:val="StopkaZnak"/>
    <w:uiPriority w:val="99"/>
    <w:unhideWhenUsed/>
    <w:rsid w:val="007667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673E"/>
  </w:style>
  <w:style w:type="paragraph" w:styleId="Spistreci2">
    <w:name w:val="toc 2"/>
    <w:basedOn w:val="Normalny"/>
    <w:next w:val="Normalny"/>
    <w:autoRedefine/>
    <w:uiPriority w:val="39"/>
    <w:unhideWhenUsed/>
    <w:rsid w:val="00A610F6"/>
    <w:pPr>
      <w:spacing w:after="100"/>
      <w:ind w:left="220"/>
    </w:pPr>
    <w:rPr>
      <w:rFonts w:cs="Times New Roman"/>
      <w:lang w:eastAsia="pl-PL"/>
    </w:rPr>
  </w:style>
  <w:style w:type="paragraph" w:styleId="Spistreci1">
    <w:name w:val="toc 1"/>
    <w:basedOn w:val="Normalny"/>
    <w:next w:val="Normalny"/>
    <w:autoRedefine/>
    <w:uiPriority w:val="39"/>
    <w:unhideWhenUsed/>
    <w:rsid w:val="00305E50"/>
    <w:pPr>
      <w:tabs>
        <w:tab w:val="left" w:pos="440"/>
        <w:tab w:val="right" w:leader="dot" w:pos="8777"/>
      </w:tabs>
      <w:spacing w:after="100"/>
    </w:pPr>
    <w:rPr>
      <w:rFonts w:cs="Times New Roman"/>
      <w:b/>
      <w:bCs/>
      <w:noProof/>
      <w:lang w:eastAsia="pl-PL"/>
    </w:rPr>
  </w:style>
  <w:style w:type="paragraph" w:styleId="Spistreci3">
    <w:name w:val="toc 3"/>
    <w:basedOn w:val="Normalny"/>
    <w:next w:val="Normalny"/>
    <w:autoRedefine/>
    <w:uiPriority w:val="39"/>
    <w:unhideWhenUsed/>
    <w:rsid w:val="00443BB3"/>
    <w:pPr>
      <w:tabs>
        <w:tab w:val="right" w:leader="dot" w:pos="8777"/>
      </w:tabs>
      <w:spacing w:after="100"/>
      <w:ind w:left="440"/>
    </w:pPr>
    <w:rPr>
      <w:rFonts w:cs="Times New Roman"/>
      <w:lang w:eastAsia="pl-PL"/>
    </w:rPr>
  </w:style>
  <w:style w:type="character" w:customStyle="1" w:styleId="anchor-text">
    <w:name w:val="anchor-text"/>
    <w:basedOn w:val="Domylnaczcionkaakapitu"/>
    <w:rsid w:val="00CF5E32"/>
  </w:style>
  <w:style w:type="character" w:customStyle="1" w:styleId="identifier">
    <w:name w:val="identifier"/>
    <w:basedOn w:val="Domylnaczcionkaakapitu"/>
    <w:rsid w:val="000E2499"/>
  </w:style>
  <w:style w:type="character" w:customStyle="1" w:styleId="label">
    <w:name w:val="label"/>
    <w:basedOn w:val="Domylnaczcionkaakapitu"/>
    <w:rsid w:val="00CC296D"/>
  </w:style>
  <w:style w:type="character" w:customStyle="1" w:styleId="fif">
    <w:name w:val="f_if"/>
    <w:basedOn w:val="Domylnaczcionkaakapitu"/>
    <w:rsid w:val="00CC296D"/>
  </w:style>
  <w:style w:type="character" w:customStyle="1" w:styleId="fpk">
    <w:name w:val="f_pk"/>
    <w:basedOn w:val="Domylnaczcionkaakapitu"/>
    <w:rsid w:val="00CC296D"/>
  </w:style>
  <w:style w:type="character" w:customStyle="1" w:styleId="fau">
    <w:name w:val="f_au"/>
    <w:basedOn w:val="Domylnaczcionkaakapitu"/>
    <w:rsid w:val="000F2A16"/>
  </w:style>
  <w:style w:type="paragraph" w:styleId="Tekstprzypisukocowego">
    <w:name w:val="endnote text"/>
    <w:basedOn w:val="Normalny"/>
    <w:link w:val="TekstprzypisukocowegoZnak"/>
    <w:uiPriority w:val="99"/>
    <w:semiHidden/>
    <w:unhideWhenUsed/>
    <w:rsid w:val="00B73A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73A05"/>
    <w:rPr>
      <w:sz w:val="20"/>
      <w:szCs w:val="20"/>
    </w:rPr>
  </w:style>
  <w:style w:type="character" w:styleId="Odwoanieprzypisukocowego">
    <w:name w:val="endnote reference"/>
    <w:basedOn w:val="Domylnaczcionkaakapitu"/>
    <w:uiPriority w:val="99"/>
    <w:semiHidden/>
    <w:unhideWhenUsed/>
    <w:rsid w:val="00B73A05"/>
    <w:rPr>
      <w:vertAlign w:val="superscript"/>
    </w:rPr>
  </w:style>
  <w:style w:type="character" w:customStyle="1" w:styleId="f974a">
    <w:name w:val="f_974a"/>
    <w:basedOn w:val="Domylnaczcionkaakapitu"/>
    <w:rsid w:val="00FB5D3E"/>
  </w:style>
  <w:style w:type="character" w:customStyle="1" w:styleId="f974b">
    <w:name w:val="f_974b"/>
    <w:basedOn w:val="Domylnaczcionkaakapitu"/>
    <w:rsid w:val="00FB5D3E"/>
  </w:style>
  <w:style w:type="character" w:customStyle="1" w:styleId="f974c">
    <w:name w:val="f_974c"/>
    <w:basedOn w:val="Domylnaczcionkaakapitu"/>
    <w:rsid w:val="00FB5D3E"/>
  </w:style>
  <w:style w:type="paragraph" w:styleId="NormalnyWeb">
    <w:name w:val="Normal (Web)"/>
    <w:basedOn w:val="Normalny"/>
    <w:uiPriority w:val="99"/>
    <w:unhideWhenUsed/>
    <w:rsid w:val="0007257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aps">
    <w:name w:val="caps"/>
    <w:basedOn w:val="Domylnaczcionkaakapitu"/>
    <w:rsid w:val="00456558"/>
  </w:style>
  <w:style w:type="character" w:customStyle="1" w:styleId="apple-converted-space">
    <w:name w:val="apple-converted-space"/>
    <w:uiPriority w:val="99"/>
    <w:rsid w:val="00177BD5"/>
  </w:style>
  <w:style w:type="character" w:customStyle="1" w:styleId="tb">
    <w:name w:val="tb"/>
    <w:basedOn w:val="Domylnaczcionkaakapitu"/>
    <w:rsid w:val="00625737"/>
  </w:style>
  <w:style w:type="character" w:customStyle="1" w:styleId="A10">
    <w:name w:val="A10"/>
    <w:uiPriority w:val="99"/>
    <w:rsid w:val="006D27B2"/>
    <w:rPr>
      <w:rFonts w:cs="Minion Pro"/>
      <w:color w:val="1C1C1B"/>
      <w:sz w:val="11"/>
      <w:szCs w:val="11"/>
    </w:rPr>
  </w:style>
  <w:style w:type="character" w:styleId="Odwoaniedokomentarza">
    <w:name w:val="annotation reference"/>
    <w:basedOn w:val="Domylnaczcionkaakapitu"/>
    <w:uiPriority w:val="99"/>
    <w:semiHidden/>
    <w:unhideWhenUsed/>
    <w:rsid w:val="00477EF4"/>
    <w:rPr>
      <w:sz w:val="16"/>
      <w:szCs w:val="16"/>
    </w:rPr>
  </w:style>
  <w:style w:type="paragraph" w:styleId="Tekstkomentarza">
    <w:name w:val="annotation text"/>
    <w:basedOn w:val="Normalny"/>
    <w:link w:val="TekstkomentarzaZnak"/>
    <w:uiPriority w:val="99"/>
    <w:semiHidden/>
    <w:unhideWhenUsed/>
    <w:rsid w:val="00477EF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77EF4"/>
    <w:rPr>
      <w:sz w:val="20"/>
      <w:szCs w:val="20"/>
    </w:rPr>
  </w:style>
  <w:style w:type="paragraph" w:styleId="Tematkomentarza">
    <w:name w:val="annotation subject"/>
    <w:basedOn w:val="Tekstkomentarza"/>
    <w:next w:val="Tekstkomentarza"/>
    <w:link w:val="TematkomentarzaZnak"/>
    <w:uiPriority w:val="99"/>
    <w:semiHidden/>
    <w:unhideWhenUsed/>
    <w:rsid w:val="00477EF4"/>
    <w:rPr>
      <w:b/>
      <w:bCs/>
    </w:rPr>
  </w:style>
  <w:style w:type="character" w:customStyle="1" w:styleId="TematkomentarzaZnak">
    <w:name w:val="Temat komentarza Znak"/>
    <w:basedOn w:val="TekstkomentarzaZnak"/>
    <w:link w:val="Tematkomentarza"/>
    <w:uiPriority w:val="99"/>
    <w:semiHidden/>
    <w:rsid w:val="00477EF4"/>
    <w:rPr>
      <w:b/>
      <w:bCs/>
      <w:sz w:val="20"/>
      <w:szCs w:val="20"/>
    </w:rPr>
  </w:style>
  <w:style w:type="paragraph" w:styleId="Poprawka">
    <w:name w:val="Revision"/>
    <w:hidden/>
    <w:uiPriority w:val="99"/>
    <w:semiHidden/>
    <w:rsid w:val="005F4838"/>
    <w:pPr>
      <w:spacing w:after="0" w:line="240" w:lineRule="auto"/>
    </w:pPr>
  </w:style>
  <w:style w:type="table" w:styleId="Tabela-Siatka">
    <w:name w:val="Table Grid"/>
    <w:basedOn w:val="Standardowy"/>
    <w:uiPriority w:val="39"/>
    <w:rsid w:val="0033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21">
    <w:name w:val="Zwykła tabela 21"/>
    <w:basedOn w:val="Standardowy"/>
    <w:uiPriority w:val="42"/>
    <w:rsid w:val="00AC64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iatkatabelijasna1">
    <w:name w:val="Siatka tabeli — jasna1"/>
    <w:basedOn w:val="Standardowy"/>
    <w:uiPriority w:val="40"/>
    <w:rsid w:val="00AC64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gowek5Znak">
    <w:name w:val="Nagłowek 5 Znak"/>
    <w:basedOn w:val="Domylnaczcionkaakapitu"/>
    <w:link w:val="Nagowek5"/>
    <w:locked/>
    <w:rsid w:val="00E124A7"/>
    <w:rPr>
      <w:rFonts w:ascii="Times New Roman" w:hAnsi="Times New Roman" w:cs="Times New Roman"/>
      <w:i/>
      <w:sz w:val="24"/>
      <w:szCs w:val="24"/>
    </w:rPr>
  </w:style>
  <w:style w:type="paragraph" w:customStyle="1" w:styleId="Nagowek5">
    <w:name w:val="Nagłowek 5"/>
    <w:basedOn w:val="Normalny"/>
    <w:link w:val="Nagowek5Znak"/>
    <w:qFormat/>
    <w:rsid w:val="00E124A7"/>
    <w:pPr>
      <w:spacing w:before="120" w:after="200" w:line="360" w:lineRule="auto"/>
      <w:jc w:val="both"/>
    </w:pPr>
    <w:rPr>
      <w:rFonts w:ascii="Times New Roman" w:hAnsi="Times New Roman" w:cs="Times New Roman"/>
      <w:i/>
      <w:sz w:val="24"/>
      <w:szCs w:val="24"/>
    </w:rPr>
  </w:style>
  <w:style w:type="table" w:customStyle="1" w:styleId="Tabela-Siatka1">
    <w:name w:val="Tabela - Siatka1"/>
    <w:basedOn w:val="Standardowy"/>
    <w:next w:val="Tabela-Siatka"/>
    <w:uiPriority w:val="59"/>
    <w:rsid w:val="00E124A7"/>
    <w:pPr>
      <w:spacing w:after="0" w:line="240" w:lineRule="auto"/>
    </w:pPr>
    <w:rPr>
      <w:rFonts w:eastAsiaTheme="minorHAnsi"/>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ierozpoznanawzmianka1">
    <w:name w:val="Nierozpoznana wzmianka1"/>
    <w:basedOn w:val="Domylnaczcionkaakapitu"/>
    <w:uiPriority w:val="99"/>
    <w:semiHidden/>
    <w:unhideWhenUsed/>
    <w:rsid w:val="00956ED9"/>
    <w:rPr>
      <w:color w:val="605E5C"/>
      <w:shd w:val="clear" w:color="auto" w:fill="E1DFDD"/>
    </w:rPr>
  </w:style>
  <w:style w:type="character" w:customStyle="1" w:styleId="AkapitzlistZnak">
    <w:name w:val="Akapit z listą Znak"/>
    <w:aliases w:val="Cytaty Znak"/>
    <w:basedOn w:val="Domylnaczcionkaakapitu"/>
    <w:link w:val="Akapitzlist"/>
    <w:uiPriority w:val="34"/>
    <w:locked/>
    <w:rsid w:val="00E4409A"/>
  </w:style>
  <w:style w:type="paragraph" w:customStyle="1" w:styleId="firstitem">
    <w:name w:val="firstitem"/>
    <w:basedOn w:val="Normalny"/>
    <w:rsid w:val="008D36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astitem">
    <w:name w:val="lastitem"/>
    <w:basedOn w:val="Normalny"/>
    <w:rsid w:val="008D363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ustomtitle1">
    <w:name w:val="custom_title_1"/>
    <w:basedOn w:val="Domylnaczcionkaakapitu"/>
    <w:rsid w:val="00640907"/>
  </w:style>
  <w:style w:type="character" w:customStyle="1" w:styleId="customtitle2">
    <w:name w:val="custom_title_2"/>
    <w:basedOn w:val="Domylnaczcionkaakapitu"/>
    <w:rsid w:val="00640907"/>
  </w:style>
  <w:style w:type="paragraph" w:styleId="Tekstdymka">
    <w:name w:val="Balloon Text"/>
    <w:basedOn w:val="Normalny"/>
    <w:link w:val="TekstdymkaZnak"/>
    <w:uiPriority w:val="99"/>
    <w:semiHidden/>
    <w:unhideWhenUsed/>
    <w:rsid w:val="004B6C8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B6C8C"/>
    <w:rPr>
      <w:rFonts w:ascii="Tahoma" w:hAnsi="Tahoma" w:cs="Tahoma"/>
      <w:sz w:val="16"/>
      <w:szCs w:val="16"/>
    </w:rPr>
  </w:style>
  <w:style w:type="paragraph" w:customStyle="1" w:styleId="Styl1">
    <w:name w:val="Styl1"/>
    <w:basedOn w:val="Nagwek1"/>
    <w:link w:val="Styl1Znak"/>
    <w:qFormat/>
    <w:rsid w:val="006C6CAA"/>
    <w:pPr>
      <w:numPr>
        <w:numId w:val="13"/>
      </w:numPr>
    </w:pPr>
    <w:rPr>
      <w:rFonts w:ascii="Times New Roman" w:hAnsi="Times New Roman" w:cs="Times New Roman"/>
      <w:b/>
      <w:bCs/>
      <w:sz w:val="28"/>
      <w:szCs w:val="28"/>
    </w:rPr>
  </w:style>
  <w:style w:type="paragraph" w:customStyle="1" w:styleId="NAGWEK10">
    <w:name w:val="NAGŁÓWEK 1"/>
    <w:basedOn w:val="Styl1"/>
    <w:link w:val="NAGWEK1Znak0"/>
    <w:qFormat/>
    <w:rsid w:val="006C6CAA"/>
  </w:style>
  <w:style w:type="character" w:customStyle="1" w:styleId="Styl1Znak">
    <w:name w:val="Styl1 Znak"/>
    <w:basedOn w:val="Nagwek1Znak"/>
    <w:link w:val="Styl1"/>
    <w:rsid w:val="006C6CAA"/>
    <w:rPr>
      <w:rFonts w:ascii="Times New Roman" w:eastAsiaTheme="majorEastAsia" w:hAnsi="Times New Roman" w:cs="Times New Roman"/>
      <w:b/>
      <w:bCs/>
      <w:color w:val="262626" w:themeColor="text1" w:themeTint="D9"/>
      <w:sz w:val="28"/>
      <w:szCs w:val="28"/>
    </w:rPr>
  </w:style>
  <w:style w:type="character" w:customStyle="1" w:styleId="NAGWEK1Znak0">
    <w:name w:val="NAGŁÓWEK 1 Znak"/>
    <w:basedOn w:val="Styl1Znak"/>
    <w:link w:val="NAGWEK10"/>
    <w:rsid w:val="006C6CAA"/>
    <w:rPr>
      <w:rFonts w:ascii="Times New Roman" w:eastAsiaTheme="majorEastAsia" w:hAnsi="Times New Roman" w:cs="Times New Roman"/>
      <w:b/>
      <w:bCs/>
      <w:color w:val="262626" w:themeColor="text1" w:themeTint="D9"/>
      <w:sz w:val="28"/>
      <w:szCs w:val="28"/>
    </w:rPr>
  </w:style>
  <w:style w:type="character" w:styleId="Numerwiersza">
    <w:name w:val="line number"/>
    <w:basedOn w:val="Domylnaczcionkaakapitu"/>
    <w:uiPriority w:val="99"/>
    <w:semiHidden/>
    <w:unhideWhenUsed/>
    <w:rsid w:val="00D91881"/>
  </w:style>
  <w:style w:type="character" w:styleId="Tekstzastpczy">
    <w:name w:val="Placeholder Text"/>
    <w:basedOn w:val="Domylnaczcionkaakapitu"/>
    <w:uiPriority w:val="99"/>
    <w:semiHidden/>
    <w:rsid w:val="00CC000A"/>
    <w:rPr>
      <w:color w:val="808080"/>
    </w:rPr>
  </w:style>
  <w:style w:type="table" w:styleId="Zwykatabela4">
    <w:name w:val="Plain Table 4"/>
    <w:basedOn w:val="Standardowy"/>
    <w:uiPriority w:val="44"/>
    <w:rsid w:val="00A6760C"/>
    <w:pPr>
      <w:spacing w:after="0" w:line="240" w:lineRule="auto"/>
    </w:pPr>
    <w:rPr>
      <w:rFonts w:eastAsiaTheme="minorHAnsi"/>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ieldid">
    <w:name w:val="field_id"/>
    <w:basedOn w:val="Domylnaczcionkaakapitu"/>
    <w:rsid w:val="0053230B"/>
  </w:style>
  <w:style w:type="character" w:customStyle="1" w:styleId="fid">
    <w:name w:val="f_id"/>
    <w:basedOn w:val="Domylnaczcionkaakapitu"/>
    <w:rsid w:val="0053230B"/>
  </w:style>
  <w:style w:type="character" w:customStyle="1" w:styleId="fieldau">
    <w:name w:val="field_au"/>
    <w:basedOn w:val="Domylnaczcionkaakapitu"/>
    <w:rsid w:val="0053230B"/>
  </w:style>
  <w:style w:type="character" w:customStyle="1" w:styleId="f245a">
    <w:name w:val="f_245a"/>
    <w:basedOn w:val="Domylnaczcionkaakapitu"/>
    <w:rsid w:val="0053230B"/>
  </w:style>
  <w:style w:type="character" w:customStyle="1" w:styleId="fieldtc">
    <w:name w:val="field_tc"/>
    <w:basedOn w:val="Domylnaczcionkaakapitu"/>
    <w:rsid w:val="0053230B"/>
  </w:style>
  <w:style w:type="character" w:customStyle="1" w:styleId="f975a">
    <w:name w:val="f_975a"/>
    <w:basedOn w:val="Domylnaczcionkaakapitu"/>
    <w:rsid w:val="0053230B"/>
  </w:style>
  <w:style w:type="character" w:customStyle="1" w:styleId="f976a">
    <w:name w:val="f_976a"/>
    <w:basedOn w:val="Domylnaczcionkaakapitu"/>
    <w:rsid w:val="00AE47A6"/>
  </w:style>
  <w:style w:type="character" w:customStyle="1" w:styleId="fieldaw">
    <w:name w:val="field_aw"/>
    <w:basedOn w:val="Domylnaczcionkaakapitu"/>
    <w:rsid w:val="00AE47A6"/>
  </w:style>
  <w:style w:type="character" w:customStyle="1" w:styleId="f977a">
    <w:name w:val="f_977a"/>
    <w:basedOn w:val="Domylnaczcionkaakapitu"/>
    <w:rsid w:val="00AE47A6"/>
  </w:style>
  <w:style w:type="character" w:customStyle="1" w:styleId="f977b">
    <w:name w:val="f_977b"/>
    <w:basedOn w:val="Domylnaczcionkaakapitu"/>
    <w:rsid w:val="00AE47A6"/>
  </w:style>
  <w:style w:type="character" w:customStyle="1" w:styleId="f977c">
    <w:name w:val="f_977c"/>
    <w:basedOn w:val="Domylnaczcionkaakapitu"/>
    <w:rsid w:val="00AE47A6"/>
  </w:style>
  <w:style w:type="character" w:customStyle="1" w:styleId="f977d">
    <w:name w:val="f_977d"/>
    <w:basedOn w:val="Domylnaczcionkaakapitu"/>
    <w:rsid w:val="00247241"/>
  </w:style>
  <w:style w:type="character" w:customStyle="1" w:styleId="f500a">
    <w:name w:val="f_500a"/>
    <w:basedOn w:val="Domylnaczcionkaakapitu"/>
    <w:rsid w:val="00247241"/>
  </w:style>
  <w:style w:type="character" w:customStyle="1" w:styleId="fieldsz">
    <w:name w:val="field_sz"/>
    <w:basedOn w:val="Domylnaczcionkaakapitu"/>
    <w:rsid w:val="00756293"/>
  </w:style>
  <w:style w:type="character" w:customStyle="1" w:styleId="f977f">
    <w:name w:val="f_977f"/>
    <w:basedOn w:val="Domylnaczcionkaakapitu"/>
    <w:rsid w:val="00756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5158">
      <w:bodyDiv w:val="1"/>
      <w:marLeft w:val="0"/>
      <w:marRight w:val="0"/>
      <w:marTop w:val="0"/>
      <w:marBottom w:val="0"/>
      <w:divBdr>
        <w:top w:val="none" w:sz="0" w:space="0" w:color="auto"/>
        <w:left w:val="none" w:sz="0" w:space="0" w:color="auto"/>
        <w:bottom w:val="none" w:sz="0" w:space="0" w:color="auto"/>
        <w:right w:val="none" w:sz="0" w:space="0" w:color="auto"/>
      </w:divBdr>
    </w:div>
    <w:div w:id="101535053">
      <w:bodyDiv w:val="1"/>
      <w:marLeft w:val="0"/>
      <w:marRight w:val="0"/>
      <w:marTop w:val="0"/>
      <w:marBottom w:val="0"/>
      <w:divBdr>
        <w:top w:val="none" w:sz="0" w:space="0" w:color="auto"/>
        <w:left w:val="none" w:sz="0" w:space="0" w:color="auto"/>
        <w:bottom w:val="none" w:sz="0" w:space="0" w:color="auto"/>
        <w:right w:val="none" w:sz="0" w:space="0" w:color="auto"/>
      </w:divBdr>
    </w:div>
    <w:div w:id="116997815">
      <w:bodyDiv w:val="1"/>
      <w:marLeft w:val="0"/>
      <w:marRight w:val="0"/>
      <w:marTop w:val="0"/>
      <w:marBottom w:val="0"/>
      <w:divBdr>
        <w:top w:val="none" w:sz="0" w:space="0" w:color="auto"/>
        <w:left w:val="none" w:sz="0" w:space="0" w:color="auto"/>
        <w:bottom w:val="none" w:sz="0" w:space="0" w:color="auto"/>
        <w:right w:val="none" w:sz="0" w:space="0" w:color="auto"/>
      </w:divBdr>
    </w:div>
    <w:div w:id="233318027">
      <w:bodyDiv w:val="1"/>
      <w:marLeft w:val="0"/>
      <w:marRight w:val="0"/>
      <w:marTop w:val="0"/>
      <w:marBottom w:val="0"/>
      <w:divBdr>
        <w:top w:val="none" w:sz="0" w:space="0" w:color="auto"/>
        <w:left w:val="none" w:sz="0" w:space="0" w:color="auto"/>
        <w:bottom w:val="none" w:sz="0" w:space="0" w:color="auto"/>
        <w:right w:val="none" w:sz="0" w:space="0" w:color="auto"/>
      </w:divBdr>
    </w:div>
    <w:div w:id="412162458">
      <w:bodyDiv w:val="1"/>
      <w:marLeft w:val="0"/>
      <w:marRight w:val="0"/>
      <w:marTop w:val="0"/>
      <w:marBottom w:val="0"/>
      <w:divBdr>
        <w:top w:val="none" w:sz="0" w:space="0" w:color="auto"/>
        <w:left w:val="none" w:sz="0" w:space="0" w:color="auto"/>
        <w:bottom w:val="none" w:sz="0" w:space="0" w:color="auto"/>
        <w:right w:val="none" w:sz="0" w:space="0" w:color="auto"/>
      </w:divBdr>
    </w:div>
    <w:div w:id="413674900">
      <w:bodyDiv w:val="1"/>
      <w:marLeft w:val="0"/>
      <w:marRight w:val="0"/>
      <w:marTop w:val="0"/>
      <w:marBottom w:val="0"/>
      <w:divBdr>
        <w:top w:val="none" w:sz="0" w:space="0" w:color="auto"/>
        <w:left w:val="none" w:sz="0" w:space="0" w:color="auto"/>
        <w:bottom w:val="none" w:sz="0" w:space="0" w:color="auto"/>
        <w:right w:val="none" w:sz="0" w:space="0" w:color="auto"/>
      </w:divBdr>
      <w:divsChild>
        <w:div w:id="885608182">
          <w:marLeft w:val="547"/>
          <w:marRight w:val="0"/>
          <w:marTop w:val="200"/>
          <w:marBottom w:val="0"/>
          <w:divBdr>
            <w:top w:val="none" w:sz="0" w:space="0" w:color="auto"/>
            <w:left w:val="none" w:sz="0" w:space="0" w:color="auto"/>
            <w:bottom w:val="none" w:sz="0" w:space="0" w:color="auto"/>
            <w:right w:val="none" w:sz="0" w:space="0" w:color="auto"/>
          </w:divBdr>
        </w:div>
        <w:div w:id="1644508022">
          <w:marLeft w:val="547"/>
          <w:marRight w:val="0"/>
          <w:marTop w:val="200"/>
          <w:marBottom w:val="0"/>
          <w:divBdr>
            <w:top w:val="none" w:sz="0" w:space="0" w:color="auto"/>
            <w:left w:val="none" w:sz="0" w:space="0" w:color="auto"/>
            <w:bottom w:val="none" w:sz="0" w:space="0" w:color="auto"/>
            <w:right w:val="none" w:sz="0" w:space="0" w:color="auto"/>
          </w:divBdr>
        </w:div>
        <w:div w:id="1824544708">
          <w:marLeft w:val="547"/>
          <w:marRight w:val="0"/>
          <w:marTop w:val="200"/>
          <w:marBottom w:val="0"/>
          <w:divBdr>
            <w:top w:val="none" w:sz="0" w:space="0" w:color="auto"/>
            <w:left w:val="none" w:sz="0" w:space="0" w:color="auto"/>
            <w:bottom w:val="none" w:sz="0" w:space="0" w:color="auto"/>
            <w:right w:val="none" w:sz="0" w:space="0" w:color="auto"/>
          </w:divBdr>
        </w:div>
      </w:divsChild>
    </w:div>
    <w:div w:id="416874625">
      <w:bodyDiv w:val="1"/>
      <w:marLeft w:val="0"/>
      <w:marRight w:val="0"/>
      <w:marTop w:val="0"/>
      <w:marBottom w:val="0"/>
      <w:divBdr>
        <w:top w:val="none" w:sz="0" w:space="0" w:color="auto"/>
        <w:left w:val="none" w:sz="0" w:space="0" w:color="auto"/>
        <w:bottom w:val="none" w:sz="0" w:space="0" w:color="auto"/>
        <w:right w:val="none" w:sz="0" w:space="0" w:color="auto"/>
      </w:divBdr>
    </w:div>
    <w:div w:id="455564900">
      <w:bodyDiv w:val="1"/>
      <w:marLeft w:val="0"/>
      <w:marRight w:val="0"/>
      <w:marTop w:val="0"/>
      <w:marBottom w:val="0"/>
      <w:divBdr>
        <w:top w:val="none" w:sz="0" w:space="0" w:color="auto"/>
        <w:left w:val="none" w:sz="0" w:space="0" w:color="auto"/>
        <w:bottom w:val="none" w:sz="0" w:space="0" w:color="auto"/>
        <w:right w:val="none" w:sz="0" w:space="0" w:color="auto"/>
      </w:divBdr>
    </w:div>
    <w:div w:id="553586457">
      <w:bodyDiv w:val="1"/>
      <w:marLeft w:val="0"/>
      <w:marRight w:val="0"/>
      <w:marTop w:val="0"/>
      <w:marBottom w:val="0"/>
      <w:divBdr>
        <w:top w:val="none" w:sz="0" w:space="0" w:color="auto"/>
        <w:left w:val="none" w:sz="0" w:space="0" w:color="auto"/>
        <w:bottom w:val="none" w:sz="0" w:space="0" w:color="auto"/>
        <w:right w:val="none" w:sz="0" w:space="0" w:color="auto"/>
      </w:divBdr>
    </w:div>
    <w:div w:id="574321945">
      <w:bodyDiv w:val="1"/>
      <w:marLeft w:val="0"/>
      <w:marRight w:val="0"/>
      <w:marTop w:val="0"/>
      <w:marBottom w:val="0"/>
      <w:divBdr>
        <w:top w:val="none" w:sz="0" w:space="0" w:color="auto"/>
        <w:left w:val="none" w:sz="0" w:space="0" w:color="auto"/>
        <w:bottom w:val="none" w:sz="0" w:space="0" w:color="auto"/>
        <w:right w:val="none" w:sz="0" w:space="0" w:color="auto"/>
      </w:divBdr>
    </w:div>
    <w:div w:id="662123011">
      <w:bodyDiv w:val="1"/>
      <w:marLeft w:val="0"/>
      <w:marRight w:val="0"/>
      <w:marTop w:val="0"/>
      <w:marBottom w:val="0"/>
      <w:divBdr>
        <w:top w:val="none" w:sz="0" w:space="0" w:color="auto"/>
        <w:left w:val="none" w:sz="0" w:space="0" w:color="auto"/>
        <w:bottom w:val="none" w:sz="0" w:space="0" w:color="auto"/>
        <w:right w:val="none" w:sz="0" w:space="0" w:color="auto"/>
      </w:divBdr>
    </w:div>
    <w:div w:id="663976815">
      <w:bodyDiv w:val="1"/>
      <w:marLeft w:val="0"/>
      <w:marRight w:val="0"/>
      <w:marTop w:val="0"/>
      <w:marBottom w:val="0"/>
      <w:divBdr>
        <w:top w:val="none" w:sz="0" w:space="0" w:color="auto"/>
        <w:left w:val="none" w:sz="0" w:space="0" w:color="auto"/>
        <w:bottom w:val="none" w:sz="0" w:space="0" w:color="auto"/>
        <w:right w:val="none" w:sz="0" w:space="0" w:color="auto"/>
      </w:divBdr>
    </w:div>
    <w:div w:id="707871173">
      <w:bodyDiv w:val="1"/>
      <w:marLeft w:val="0"/>
      <w:marRight w:val="0"/>
      <w:marTop w:val="0"/>
      <w:marBottom w:val="0"/>
      <w:divBdr>
        <w:top w:val="none" w:sz="0" w:space="0" w:color="auto"/>
        <w:left w:val="none" w:sz="0" w:space="0" w:color="auto"/>
        <w:bottom w:val="none" w:sz="0" w:space="0" w:color="auto"/>
        <w:right w:val="none" w:sz="0" w:space="0" w:color="auto"/>
      </w:divBdr>
    </w:div>
    <w:div w:id="742070637">
      <w:bodyDiv w:val="1"/>
      <w:marLeft w:val="0"/>
      <w:marRight w:val="0"/>
      <w:marTop w:val="0"/>
      <w:marBottom w:val="0"/>
      <w:divBdr>
        <w:top w:val="none" w:sz="0" w:space="0" w:color="auto"/>
        <w:left w:val="none" w:sz="0" w:space="0" w:color="auto"/>
        <w:bottom w:val="none" w:sz="0" w:space="0" w:color="auto"/>
        <w:right w:val="none" w:sz="0" w:space="0" w:color="auto"/>
      </w:divBdr>
    </w:div>
    <w:div w:id="746148023">
      <w:bodyDiv w:val="1"/>
      <w:marLeft w:val="0"/>
      <w:marRight w:val="0"/>
      <w:marTop w:val="0"/>
      <w:marBottom w:val="0"/>
      <w:divBdr>
        <w:top w:val="none" w:sz="0" w:space="0" w:color="auto"/>
        <w:left w:val="none" w:sz="0" w:space="0" w:color="auto"/>
        <w:bottom w:val="none" w:sz="0" w:space="0" w:color="auto"/>
        <w:right w:val="none" w:sz="0" w:space="0" w:color="auto"/>
      </w:divBdr>
    </w:div>
    <w:div w:id="748304756">
      <w:bodyDiv w:val="1"/>
      <w:marLeft w:val="0"/>
      <w:marRight w:val="0"/>
      <w:marTop w:val="0"/>
      <w:marBottom w:val="0"/>
      <w:divBdr>
        <w:top w:val="none" w:sz="0" w:space="0" w:color="auto"/>
        <w:left w:val="none" w:sz="0" w:space="0" w:color="auto"/>
        <w:bottom w:val="none" w:sz="0" w:space="0" w:color="auto"/>
        <w:right w:val="none" w:sz="0" w:space="0" w:color="auto"/>
      </w:divBdr>
    </w:div>
    <w:div w:id="777918775">
      <w:bodyDiv w:val="1"/>
      <w:marLeft w:val="0"/>
      <w:marRight w:val="0"/>
      <w:marTop w:val="0"/>
      <w:marBottom w:val="0"/>
      <w:divBdr>
        <w:top w:val="none" w:sz="0" w:space="0" w:color="auto"/>
        <w:left w:val="none" w:sz="0" w:space="0" w:color="auto"/>
        <w:bottom w:val="none" w:sz="0" w:space="0" w:color="auto"/>
        <w:right w:val="none" w:sz="0" w:space="0" w:color="auto"/>
      </w:divBdr>
    </w:div>
    <w:div w:id="862207320">
      <w:bodyDiv w:val="1"/>
      <w:marLeft w:val="0"/>
      <w:marRight w:val="0"/>
      <w:marTop w:val="0"/>
      <w:marBottom w:val="0"/>
      <w:divBdr>
        <w:top w:val="none" w:sz="0" w:space="0" w:color="auto"/>
        <w:left w:val="none" w:sz="0" w:space="0" w:color="auto"/>
        <w:bottom w:val="none" w:sz="0" w:space="0" w:color="auto"/>
        <w:right w:val="none" w:sz="0" w:space="0" w:color="auto"/>
      </w:divBdr>
    </w:div>
    <w:div w:id="875047265">
      <w:bodyDiv w:val="1"/>
      <w:marLeft w:val="0"/>
      <w:marRight w:val="0"/>
      <w:marTop w:val="0"/>
      <w:marBottom w:val="0"/>
      <w:divBdr>
        <w:top w:val="none" w:sz="0" w:space="0" w:color="auto"/>
        <w:left w:val="none" w:sz="0" w:space="0" w:color="auto"/>
        <w:bottom w:val="none" w:sz="0" w:space="0" w:color="auto"/>
        <w:right w:val="none" w:sz="0" w:space="0" w:color="auto"/>
      </w:divBdr>
    </w:div>
    <w:div w:id="877938682">
      <w:bodyDiv w:val="1"/>
      <w:marLeft w:val="0"/>
      <w:marRight w:val="0"/>
      <w:marTop w:val="0"/>
      <w:marBottom w:val="0"/>
      <w:divBdr>
        <w:top w:val="none" w:sz="0" w:space="0" w:color="auto"/>
        <w:left w:val="none" w:sz="0" w:space="0" w:color="auto"/>
        <w:bottom w:val="none" w:sz="0" w:space="0" w:color="auto"/>
        <w:right w:val="none" w:sz="0" w:space="0" w:color="auto"/>
      </w:divBdr>
    </w:div>
    <w:div w:id="891117273">
      <w:bodyDiv w:val="1"/>
      <w:marLeft w:val="0"/>
      <w:marRight w:val="0"/>
      <w:marTop w:val="0"/>
      <w:marBottom w:val="0"/>
      <w:divBdr>
        <w:top w:val="none" w:sz="0" w:space="0" w:color="auto"/>
        <w:left w:val="none" w:sz="0" w:space="0" w:color="auto"/>
        <w:bottom w:val="none" w:sz="0" w:space="0" w:color="auto"/>
        <w:right w:val="none" w:sz="0" w:space="0" w:color="auto"/>
      </w:divBdr>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179197700">
      <w:bodyDiv w:val="1"/>
      <w:marLeft w:val="0"/>
      <w:marRight w:val="0"/>
      <w:marTop w:val="0"/>
      <w:marBottom w:val="0"/>
      <w:divBdr>
        <w:top w:val="none" w:sz="0" w:space="0" w:color="auto"/>
        <w:left w:val="none" w:sz="0" w:space="0" w:color="auto"/>
        <w:bottom w:val="none" w:sz="0" w:space="0" w:color="auto"/>
        <w:right w:val="none" w:sz="0" w:space="0" w:color="auto"/>
      </w:divBdr>
    </w:div>
    <w:div w:id="1454984699">
      <w:bodyDiv w:val="1"/>
      <w:marLeft w:val="0"/>
      <w:marRight w:val="0"/>
      <w:marTop w:val="0"/>
      <w:marBottom w:val="0"/>
      <w:divBdr>
        <w:top w:val="none" w:sz="0" w:space="0" w:color="auto"/>
        <w:left w:val="none" w:sz="0" w:space="0" w:color="auto"/>
        <w:bottom w:val="none" w:sz="0" w:space="0" w:color="auto"/>
        <w:right w:val="none" w:sz="0" w:space="0" w:color="auto"/>
      </w:divBdr>
    </w:div>
    <w:div w:id="1566448635">
      <w:bodyDiv w:val="1"/>
      <w:marLeft w:val="0"/>
      <w:marRight w:val="0"/>
      <w:marTop w:val="0"/>
      <w:marBottom w:val="0"/>
      <w:divBdr>
        <w:top w:val="none" w:sz="0" w:space="0" w:color="auto"/>
        <w:left w:val="none" w:sz="0" w:space="0" w:color="auto"/>
        <w:bottom w:val="none" w:sz="0" w:space="0" w:color="auto"/>
        <w:right w:val="none" w:sz="0" w:space="0" w:color="auto"/>
      </w:divBdr>
    </w:div>
    <w:div w:id="1596552792">
      <w:bodyDiv w:val="1"/>
      <w:marLeft w:val="0"/>
      <w:marRight w:val="0"/>
      <w:marTop w:val="0"/>
      <w:marBottom w:val="0"/>
      <w:divBdr>
        <w:top w:val="none" w:sz="0" w:space="0" w:color="auto"/>
        <w:left w:val="none" w:sz="0" w:space="0" w:color="auto"/>
        <w:bottom w:val="none" w:sz="0" w:space="0" w:color="auto"/>
        <w:right w:val="none" w:sz="0" w:space="0" w:color="auto"/>
      </w:divBdr>
    </w:div>
    <w:div w:id="1634097023">
      <w:bodyDiv w:val="1"/>
      <w:marLeft w:val="0"/>
      <w:marRight w:val="0"/>
      <w:marTop w:val="0"/>
      <w:marBottom w:val="0"/>
      <w:divBdr>
        <w:top w:val="none" w:sz="0" w:space="0" w:color="auto"/>
        <w:left w:val="none" w:sz="0" w:space="0" w:color="auto"/>
        <w:bottom w:val="none" w:sz="0" w:space="0" w:color="auto"/>
        <w:right w:val="none" w:sz="0" w:space="0" w:color="auto"/>
      </w:divBdr>
    </w:div>
    <w:div w:id="1664964427">
      <w:bodyDiv w:val="1"/>
      <w:marLeft w:val="0"/>
      <w:marRight w:val="0"/>
      <w:marTop w:val="0"/>
      <w:marBottom w:val="0"/>
      <w:divBdr>
        <w:top w:val="none" w:sz="0" w:space="0" w:color="auto"/>
        <w:left w:val="none" w:sz="0" w:space="0" w:color="auto"/>
        <w:bottom w:val="none" w:sz="0" w:space="0" w:color="auto"/>
        <w:right w:val="none" w:sz="0" w:space="0" w:color="auto"/>
      </w:divBdr>
    </w:div>
    <w:div w:id="1900168573">
      <w:bodyDiv w:val="1"/>
      <w:marLeft w:val="0"/>
      <w:marRight w:val="0"/>
      <w:marTop w:val="0"/>
      <w:marBottom w:val="0"/>
      <w:divBdr>
        <w:top w:val="none" w:sz="0" w:space="0" w:color="auto"/>
        <w:left w:val="none" w:sz="0" w:space="0" w:color="auto"/>
        <w:bottom w:val="none" w:sz="0" w:space="0" w:color="auto"/>
        <w:right w:val="none" w:sz="0" w:space="0" w:color="auto"/>
      </w:divBdr>
    </w:div>
    <w:div w:id="1944025035">
      <w:bodyDiv w:val="1"/>
      <w:marLeft w:val="0"/>
      <w:marRight w:val="0"/>
      <w:marTop w:val="0"/>
      <w:marBottom w:val="0"/>
      <w:divBdr>
        <w:top w:val="none" w:sz="0" w:space="0" w:color="auto"/>
        <w:left w:val="none" w:sz="0" w:space="0" w:color="auto"/>
        <w:bottom w:val="none" w:sz="0" w:space="0" w:color="auto"/>
        <w:right w:val="none" w:sz="0" w:space="0" w:color="auto"/>
      </w:divBdr>
    </w:div>
    <w:div w:id="1962489749">
      <w:bodyDiv w:val="1"/>
      <w:marLeft w:val="0"/>
      <w:marRight w:val="0"/>
      <w:marTop w:val="0"/>
      <w:marBottom w:val="0"/>
      <w:divBdr>
        <w:top w:val="none" w:sz="0" w:space="0" w:color="auto"/>
        <w:left w:val="none" w:sz="0" w:space="0" w:color="auto"/>
        <w:bottom w:val="none" w:sz="0" w:space="0" w:color="auto"/>
        <w:right w:val="none" w:sz="0" w:space="0" w:color="auto"/>
      </w:divBdr>
    </w:div>
    <w:div w:id="2005931196">
      <w:bodyDiv w:val="1"/>
      <w:marLeft w:val="0"/>
      <w:marRight w:val="0"/>
      <w:marTop w:val="0"/>
      <w:marBottom w:val="0"/>
      <w:divBdr>
        <w:top w:val="none" w:sz="0" w:space="0" w:color="auto"/>
        <w:left w:val="none" w:sz="0" w:space="0" w:color="auto"/>
        <w:bottom w:val="none" w:sz="0" w:space="0" w:color="auto"/>
        <w:right w:val="none" w:sz="0" w:space="0" w:color="auto"/>
      </w:divBdr>
    </w:div>
    <w:div w:id="2043824580">
      <w:bodyDiv w:val="1"/>
      <w:marLeft w:val="0"/>
      <w:marRight w:val="0"/>
      <w:marTop w:val="0"/>
      <w:marBottom w:val="0"/>
      <w:divBdr>
        <w:top w:val="none" w:sz="0" w:space="0" w:color="auto"/>
        <w:left w:val="none" w:sz="0" w:space="0" w:color="auto"/>
        <w:bottom w:val="none" w:sz="0" w:space="0" w:color="auto"/>
        <w:right w:val="none" w:sz="0" w:space="0" w:color="auto"/>
      </w:divBdr>
      <w:divsChild>
        <w:div w:id="501966585">
          <w:marLeft w:val="547"/>
          <w:marRight w:val="0"/>
          <w:marTop w:val="200"/>
          <w:marBottom w:val="0"/>
          <w:divBdr>
            <w:top w:val="none" w:sz="0" w:space="0" w:color="auto"/>
            <w:left w:val="none" w:sz="0" w:space="0" w:color="auto"/>
            <w:bottom w:val="none" w:sz="0" w:space="0" w:color="auto"/>
            <w:right w:val="none" w:sz="0" w:space="0" w:color="auto"/>
          </w:divBdr>
        </w:div>
        <w:div w:id="726489509">
          <w:marLeft w:val="547"/>
          <w:marRight w:val="0"/>
          <w:marTop w:val="200"/>
          <w:marBottom w:val="0"/>
          <w:divBdr>
            <w:top w:val="none" w:sz="0" w:space="0" w:color="auto"/>
            <w:left w:val="none" w:sz="0" w:space="0" w:color="auto"/>
            <w:bottom w:val="none" w:sz="0" w:space="0" w:color="auto"/>
            <w:right w:val="none" w:sz="0" w:space="0" w:color="auto"/>
          </w:divBdr>
        </w:div>
        <w:div w:id="1445884533">
          <w:marLeft w:val="547"/>
          <w:marRight w:val="0"/>
          <w:marTop w:val="200"/>
          <w:marBottom w:val="0"/>
          <w:divBdr>
            <w:top w:val="none" w:sz="0" w:space="0" w:color="auto"/>
            <w:left w:val="none" w:sz="0" w:space="0" w:color="auto"/>
            <w:bottom w:val="none" w:sz="0" w:space="0" w:color="auto"/>
            <w:right w:val="none" w:sz="0" w:space="0" w:color="auto"/>
          </w:divBdr>
        </w:div>
        <w:div w:id="1774207785">
          <w:marLeft w:val="547"/>
          <w:marRight w:val="0"/>
          <w:marTop w:val="200"/>
          <w:marBottom w:val="0"/>
          <w:divBdr>
            <w:top w:val="none" w:sz="0" w:space="0" w:color="auto"/>
            <w:left w:val="none" w:sz="0" w:space="0" w:color="auto"/>
            <w:bottom w:val="none" w:sz="0" w:space="0" w:color="auto"/>
            <w:right w:val="none" w:sz="0" w:space="0" w:color="auto"/>
          </w:divBdr>
        </w:div>
        <w:div w:id="2110932059">
          <w:marLeft w:val="547"/>
          <w:marRight w:val="0"/>
          <w:marTop w:val="200"/>
          <w:marBottom w:val="0"/>
          <w:divBdr>
            <w:top w:val="none" w:sz="0" w:space="0" w:color="auto"/>
            <w:left w:val="none" w:sz="0" w:space="0" w:color="auto"/>
            <w:bottom w:val="none" w:sz="0" w:space="0" w:color="auto"/>
            <w:right w:val="none" w:sz="0" w:space="0" w:color="auto"/>
          </w:divBdr>
        </w:div>
      </w:divsChild>
    </w:div>
    <w:div w:id="2045594829">
      <w:bodyDiv w:val="1"/>
      <w:marLeft w:val="0"/>
      <w:marRight w:val="0"/>
      <w:marTop w:val="0"/>
      <w:marBottom w:val="0"/>
      <w:divBdr>
        <w:top w:val="none" w:sz="0" w:space="0" w:color="auto"/>
        <w:left w:val="none" w:sz="0" w:space="0" w:color="auto"/>
        <w:bottom w:val="none" w:sz="0" w:space="0" w:color="auto"/>
        <w:right w:val="none" w:sz="0" w:space="0" w:color="auto"/>
      </w:divBdr>
    </w:div>
    <w:div w:id="2122411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E848C-F29A-46D1-97AA-D637FA7F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168358</Words>
  <Characters>1010154</Characters>
  <Application>Microsoft Office Word</Application>
  <DocSecurity>0</DocSecurity>
  <Lines>8417</Lines>
  <Paragraphs>2352</Paragraphs>
  <ScaleCrop>false</ScaleCrop>
  <Company/>
  <LinksUpToDate>false</LinksUpToDate>
  <CharactersWithSpaces>1176160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rudzinska</dc:creator>
  <cp:keywords/>
  <dc:description/>
  <cp:lastModifiedBy>olga rudzinska</cp:lastModifiedBy>
  <cp:revision>2</cp:revision>
  <cp:lastPrinted>2023-06-15T09:54:00Z</cp:lastPrinted>
  <dcterms:created xsi:type="dcterms:W3CDTF">2023-06-15T09:56:00Z</dcterms:created>
  <dcterms:modified xsi:type="dcterms:W3CDTF">2023-06-15T09:56:00Z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92db18a8-d74b-3258-a957-2b52d4282e91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