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840FD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E840FD">
        <w:rPr>
          <w:rFonts w:asciiTheme="majorHAnsi" w:hAnsiTheme="majorHAnsi"/>
          <w:szCs w:val="24"/>
          <w:lang w:eastAsia="pl-PL"/>
        </w:rPr>
        <w:t>16</w:t>
      </w:r>
      <w:r w:rsidR="00681EF6">
        <w:rPr>
          <w:rFonts w:asciiTheme="majorHAnsi" w:hAnsiTheme="majorHAnsi"/>
          <w:szCs w:val="24"/>
          <w:lang w:eastAsia="pl-PL"/>
        </w:rPr>
        <w:t xml:space="preserve"> lutego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E840FD">
        <w:rPr>
          <w:rFonts w:asciiTheme="majorHAnsi" w:hAnsiTheme="majorHAnsi"/>
          <w:b/>
          <w:szCs w:val="24"/>
        </w:rPr>
        <w:t>2 marca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E840FD">
        <w:rPr>
          <w:rFonts w:asciiTheme="majorHAnsi" w:hAnsiTheme="majorHAnsi"/>
          <w:b/>
          <w:szCs w:val="24"/>
        </w:rPr>
        <w:t>0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="0016033D" w:rsidRPr="0016033D">
        <w:rPr>
          <w:rFonts w:ascii="Cambria" w:hAnsi="Cambria"/>
          <w:b/>
          <w:bCs/>
          <w:sz w:val="24"/>
          <w:szCs w:val="24"/>
        </w:rPr>
        <w:t xml:space="preserve"> </w:t>
      </w:r>
      <w:r w:rsidR="006621BE">
        <w:rPr>
          <w:rFonts w:ascii="Cambria" w:hAnsi="Cambria"/>
          <w:b/>
          <w:bCs/>
          <w:sz w:val="24"/>
          <w:szCs w:val="24"/>
        </w:rPr>
        <w:t xml:space="preserve">farm. </w:t>
      </w:r>
      <w:r w:rsidR="00E840FD">
        <w:rPr>
          <w:rFonts w:ascii="Cambria" w:hAnsi="Cambria"/>
          <w:b/>
          <w:bCs/>
          <w:sz w:val="24"/>
          <w:szCs w:val="24"/>
        </w:rPr>
        <w:t>Agnieszki Borsuk – De Moor</w:t>
      </w:r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AF055C" w:rsidRPr="00E840FD" w:rsidRDefault="00AF055C" w:rsidP="00E840FD">
      <w:pPr>
        <w:spacing w:after="0" w:line="240" w:lineRule="auto"/>
        <w:jc w:val="both"/>
        <w:rPr>
          <w:rFonts w:ascii="Cambria" w:hAnsi="Cambria" w:cs="Arial"/>
          <w:b/>
          <w:i/>
          <w:iCs/>
          <w:sz w:val="24"/>
          <w:szCs w:val="24"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  <w:r w:rsidR="00FA0D8D" w:rsidRPr="008547D0">
        <w:rPr>
          <w:rFonts w:asciiTheme="majorHAnsi" w:hAnsiTheme="majorHAnsi"/>
          <w:b/>
          <w:sz w:val="24"/>
          <w:szCs w:val="24"/>
        </w:rPr>
        <w:t>„</w:t>
      </w:r>
      <w:r w:rsidR="00E840FD" w:rsidRPr="00E840FD">
        <w:rPr>
          <w:rFonts w:ascii="Cambria" w:hAnsi="Cambria" w:cs="Arial"/>
          <w:b/>
          <w:i/>
          <w:iCs/>
          <w:sz w:val="24"/>
          <w:szCs w:val="24"/>
        </w:rPr>
        <w:t xml:space="preserve">Modelowanie populacyjne jako narzędzie optymalizacji farmakoterapii </w:t>
      </w:r>
      <w:r w:rsidR="00E840FD">
        <w:rPr>
          <w:rFonts w:ascii="Cambria" w:hAnsi="Cambria" w:cs="Arial"/>
          <w:b/>
          <w:i/>
          <w:iCs/>
          <w:sz w:val="24"/>
          <w:szCs w:val="24"/>
        </w:rPr>
        <w:br/>
        <w:t xml:space="preserve">dla leków wykorzystywanych </w:t>
      </w:r>
      <w:r w:rsidR="00E840FD" w:rsidRPr="00E840FD">
        <w:rPr>
          <w:rFonts w:ascii="Cambria" w:hAnsi="Cambria" w:cs="Arial"/>
          <w:b/>
          <w:i/>
          <w:iCs/>
          <w:sz w:val="24"/>
          <w:szCs w:val="24"/>
        </w:rPr>
        <w:t>w anestezjologii i intensywnej terapii</w:t>
      </w:r>
      <w:r w:rsidR="00100DFD" w:rsidRPr="00681EF6">
        <w:rPr>
          <w:rFonts w:ascii="Cambria" w:hAnsi="Cambria" w:cs="Arial"/>
          <w:b/>
          <w:i/>
          <w:sz w:val="24"/>
          <w:szCs w:val="24"/>
        </w:rPr>
        <w:t>”</w:t>
      </w:r>
      <w:r w:rsidR="00100DFD" w:rsidRPr="00100DFD">
        <w:rPr>
          <w:rFonts w:ascii="Cambria" w:hAnsi="Cambria" w:cs="Arial"/>
          <w:b/>
          <w:i/>
          <w:sz w:val="24"/>
          <w:szCs w:val="24"/>
        </w:rPr>
        <w:t>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Promotor:   </w:t>
      </w:r>
    </w:p>
    <w:p w:rsidR="00E840FD" w:rsidRPr="00E840FD" w:rsidRDefault="00E840FD" w:rsidP="00E840FD">
      <w:pPr>
        <w:spacing w:after="0" w:line="240" w:lineRule="auto"/>
        <w:jc w:val="both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  <w:i/>
        </w:rPr>
        <w:t>prof. dr hab. P</w:t>
      </w:r>
      <w:r w:rsidR="00220DF7">
        <w:rPr>
          <w:rFonts w:asciiTheme="majorHAnsi" w:eastAsia="Times New Roman" w:hAnsiTheme="majorHAnsi"/>
          <w:i/>
        </w:rPr>
        <w:t>aweł Wiczling</w:t>
      </w:r>
      <w:bookmarkStart w:id="0" w:name="_GoBack"/>
      <w:bookmarkEnd w:id="0"/>
      <w:r w:rsidR="00220DF7">
        <w:rPr>
          <w:rFonts w:asciiTheme="majorHAnsi" w:eastAsia="Times New Roman" w:hAnsiTheme="majorHAnsi"/>
          <w:i/>
        </w:rPr>
        <w:t xml:space="preserve"> </w:t>
      </w:r>
      <w:r w:rsidRPr="00E840FD">
        <w:rPr>
          <w:rFonts w:asciiTheme="majorHAnsi" w:eastAsia="Times New Roman" w:hAnsiTheme="majorHAnsi"/>
          <w:i/>
        </w:rPr>
        <w:t xml:space="preserve">– </w:t>
      </w:r>
      <w:r w:rsidRPr="00E840FD">
        <w:rPr>
          <w:rFonts w:asciiTheme="majorHAnsi" w:eastAsia="Times New Roman" w:hAnsiTheme="majorHAnsi"/>
        </w:rPr>
        <w:t xml:space="preserve">Zakład Biofarmacji i Farmakokinetyki Katedry Biofarmacji </w:t>
      </w:r>
      <w:r w:rsidRPr="00E840FD">
        <w:rPr>
          <w:rFonts w:asciiTheme="majorHAnsi" w:eastAsia="Times New Roman" w:hAnsiTheme="majorHAnsi"/>
        </w:rPr>
        <w:br/>
        <w:t>i Farmakodynamiki GUMed</w:t>
      </w: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Recenzenci:  </w:t>
      </w:r>
    </w:p>
    <w:p w:rsidR="00E840FD" w:rsidRPr="00E840FD" w:rsidRDefault="00E840FD" w:rsidP="00E840FD">
      <w:pPr>
        <w:spacing w:after="0" w:line="240" w:lineRule="auto"/>
        <w:jc w:val="both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  <w:i/>
        </w:rPr>
        <w:t>dr. hab. n. fa</w:t>
      </w:r>
      <w:r w:rsidR="007172FB">
        <w:rPr>
          <w:rFonts w:asciiTheme="majorHAnsi" w:eastAsia="Times New Roman" w:hAnsiTheme="majorHAnsi"/>
          <w:i/>
        </w:rPr>
        <w:t>rm. Sebastian Polak, prof. UJ –</w:t>
      </w:r>
      <w:r w:rsidR="00220DF7">
        <w:rPr>
          <w:rFonts w:asciiTheme="majorHAnsi" w:eastAsia="Times New Roman" w:hAnsiTheme="majorHAnsi"/>
          <w:i/>
        </w:rPr>
        <w:t xml:space="preserve"> </w:t>
      </w:r>
      <w:r w:rsidRPr="00E840FD">
        <w:rPr>
          <w:rFonts w:asciiTheme="majorHAnsi" w:eastAsia="Times New Roman" w:hAnsiTheme="majorHAnsi"/>
        </w:rPr>
        <w:t xml:space="preserve">kierownik Pracowni </w:t>
      </w:r>
      <w:proofErr w:type="spellStart"/>
      <w:r w:rsidRPr="00E840FD">
        <w:rPr>
          <w:rFonts w:asciiTheme="majorHAnsi" w:eastAsia="Times New Roman" w:hAnsiTheme="majorHAnsi"/>
        </w:rPr>
        <w:t>Farmakoepidemiologii</w:t>
      </w:r>
      <w:proofErr w:type="spellEnd"/>
      <w:r w:rsidRPr="00E840FD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</w:rPr>
        <w:br/>
      </w:r>
      <w:r w:rsidRPr="00E840FD">
        <w:rPr>
          <w:rFonts w:asciiTheme="majorHAnsi" w:eastAsia="Times New Roman" w:hAnsiTheme="majorHAnsi"/>
        </w:rPr>
        <w:t xml:space="preserve">i Farmakoekonomiki Zakładu Farmacji Społecznej, Wydział Farmaceutyczny, Collegium </w:t>
      </w:r>
      <w:proofErr w:type="spellStart"/>
      <w:r w:rsidRPr="00E840FD">
        <w:rPr>
          <w:rFonts w:asciiTheme="majorHAnsi" w:eastAsia="Times New Roman" w:hAnsiTheme="majorHAnsi"/>
        </w:rPr>
        <w:t>Medicum</w:t>
      </w:r>
      <w:proofErr w:type="spellEnd"/>
      <w:r w:rsidRPr="00E840FD">
        <w:rPr>
          <w:rFonts w:asciiTheme="majorHAnsi" w:eastAsia="Times New Roman" w:hAnsiTheme="majorHAnsi"/>
        </w:rPr>
        <w:t>, Uniwersytet Jagielloński</w:t>
      </w: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  <w:sz w:val="16"/>
          <w:szCs w:val="16"/>
        </w:rPr>
      </w:pPr>
    </w:p>
    <w:p w:rsidR="00E840FD" w:rsidRPr="007172FB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  <w:i/>
        </w:rPr>
        <w:t xml:space="preserve">prof. dr. hab. n. farm. Tomasz Grabowski – </w:t>
      </w:r>
      <w:r w:rsidRPr="007172FB">
        <w:rPr>
          <w:rFonts w:asciiTheme="majorHAnsi" w:eastAsia="Times New Roman" w:hAnsiTheme="majorHAnsi"/>
        </w:rPr>
        <w:t xml:space="preserve">kierownik  ds. Badań Przedklinicznych, Polpharma </w:t>
      </w:r>
      <w:proofErr w:type="spellStart"/>
      <w:r w:rsidRPr="007172FB">
        <w:rPr>
          <w:rFonts w:asciiTheme="majorHAnsi" w:eastAsia="Times New Roman" w:hAnsiTheme="majorHAnsi"/>
        </w:rPr>
        <w:t>Biologics</w:t>
      </w:r>
      <w:proofErr w:type="spellEnd"/>
      <w:r w:rsidRPr="007172FB">
        <w:rPr>
          <w:rFonts w:asciiTheme="majorHAnsi" w:eastAsia="Times New Roman" w:hAnsiTheme="majorHAnsi"/>
        </w:rPr>
        <w:t xml:space="preserve"> SA 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A06F2B" w:rsidRDefault="00AF055C" w:rsidP="00AF055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7172FB" w:rsidRPr="007172FB" w:rsidRDefault="007172FB" w:rsidP="0071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lang w:eastAsia="pl-PL"/>
        </w:rPr>
      </w:pPr>
      <w:hyperlink r:id="rId8" w:tgtFrame="_blank" w:history="1">
        <w:r w:rsidRPr="007172FB">
          <w:rPr>
            <w:rFonts w:ascii="Cambria" w:eastAsia="Times New Roman" w:hAnsi="Cambria" w:cs="Courier New"/>
            <w:color w:val="0000FF"/>
            <w:u w:val="single"/>
            <w:lang w:eastAsia="pl-PL"/>
          </w:rPr>
          <w:t>https://zoom.us/j/99471617446?pwd=RjZOYmZ1SlYvM0x0VGtrb0RpdUs5UT09</w:t>
        </w:r>
      </w:hyperlink>
    </w:p>
    <w:p w:rsidR="007172FB" w:rsidRPr="007172FB" w:rsidRDefault="007172FB" w:rsidP="0071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lang w:eastAsia="pl-PL"/>
        </w:rPr>
      </w:pPr>
      <w:r w:rsidRPr="007172FB">
        <w:rPr>
          <w:rFonts w:ascii="Cambria" w:eastAsia="Times New Roman" w:hAnsi="Cambria" w:cs="Courier New"/>
          <w:lang w:eastAsia="pl-PL"/>
        </w:rPr>
        <w:t>Meeting ID: 994 7161 7446</w:t>
      </w:r>
    </w:p>
    <w:p w:rsidR="007172FB" w:rsidRPr="007172FB" w:rsidRDefault="007172FB" w:rsidP="00717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lang w:eastAsia="pl-PL"/>
        </w:rPr>
      </w:pPr>
      <w:proofErr w:type="spellStart"/>
      <w:r w:rsidRPr="007172FB">
        <w:rPr>
          <w:rFonts w:ascii="Cambria" w:eastAsia="Times New Roman" w:hAnsi="Cambria" w:cs="Courier New"/>
          <w:lang w:eastAsia="pl-PL"/>
        </w:rPr>
        <w:t>Passcode</w:t>
      </w:r>
      <w:proofErr w:type="spellEnd"/>
      <w:r w:rsidRPr="007172FB">
        <w:rPr>
          <w:rFonts w:ascii="Cambria" w:eastAsia="Times New Roman" w:hAnsi="Cambria" w:cs="Courier New"/>
          <w:lang w:eastAsia="pl-PL"/>
        </w:rPr>
        <w:t>: 001813</w:t>
      </w:r>
    </w:p>
    <w:p w:rsidR="00AF055C" w:rsidRPr="00E5337E" w:rsidRDefault="00AF055C" w:rsidP="001F4C35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1F4C3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1F4C35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E840FD" w:rsidRPr="00010D1C" w:rsidRDefault="00E840FD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E840FD" w:rsidRPr="00E840FD">
          <w:rPr>
            <w:rStyle w:val="Hipercze"/>
            <w:rFonts w:ascii="Cambria" w:hAnsi="Cambria"/>
          </w:rPr>
          <w:t>https://doktoratyihabilitacje.gumed.edu.pl/63001.html</w:t>
        </w:r>
      </w:hyperlink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B1716C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B1716C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30" w:rsidRDefault="00335530" w:rsidP="000A396A">
      <w:pPr>
        <w:spacing w:after="0" w:line="240" w:lineRule="auto"/>
      </w:pPr>
      <w:r>
        <w:separator/>
      </w:r>
    </w:p>
  </w:endnote>
  <w:endnote w:type="continuationSeparator" w:id="0">
    <w:p w:rsidR="00335530" w:rsidRDefault="0033553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30" w:rsidRDefault="00335530" w:rsidP="000A396A">
      <w:pPr>
        <w:spacing w:after="0" w:line="240" w:lineRule="auto"/>
      </w:pPr>
      <w:r>
        <w:separator/>
      </w:r>
    </w:p>
  </w:footnote>
  <w:footnote w:type="continuationSeparator" w:id="0">
    <w:p w:rsidR="00335530" w:rsidRDefault="0033553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621BE"/>
    <w:rsid w:val="00681EF6"/>
    <w:rsid w:val="006844A9"/>
    <w:rsid w:val="006954D8"/>
    <w:rsid w:val="006A2E7C"/>
    <w:rsid w:val="006A4DF5"/>
    <w:rsid w:val="006A6F1F"/>
    <w:rsid w:val="006B6172"/>
    <w:rsid w:val="006C6511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61457"/>
    <w:rsid w:val="00B676E4"/>
    <w:rsid w:val="00B7392A"/>
    <w:rsid w:val="00B77CC9"/>
    <w:rsid w:val="00B8422E"/>
    <w:rsid w:val="00B844A3"/>
    <w:rsid w:val="00BC45B4"/>
    <w:rsid w:val="00BC68AD"/>
    <w:rsid w:val="00C17CFB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82750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471617446?pwd=RjZOYmZ1SlYvM0x0VGtrb0RpdUs5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300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4681-F539-408C-94BB-058FFAB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4</cp:revision>
  <cp:lastPrinted>2021-02-19T07:58:00Z</cp:lastPrinted>
  <dcterms:created xsi:type="dcterms:W3CDTF">2021-02-19T07:26:00Z</dcterms:created>
  <dcterms:modified xsi:type="dcterms:W3CDTF">2021-02-19T08:00:00Z</dcterms:modified>
</cp:coreProperties>
</file>